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7D51E" w14:textId="77777777" w:rsidR="00F84B26" w:rsidRPr="00CB11A3" w:rsidRDefault="00F84B26" w:rsidP="00F84B26">
      <w:pPr>
        <w:spacing w:line="360" w:lineRule="auto"/>
        <w:ind w:left="567" w:hanging="567"/>
        <w:jc w:val="both"/>
        <w:rPr>
          <w:rFonts w:ascii="Calibri" w:hAnsi="Calibri" w:cs="Calibri"/>
          <w:sz w:val="20"/>
          <w:szCs w:val="20"/>
          <w:lang w:val="en-US"/>
        </w:rPr>
      </w:pPr>
      <w:r w:rsidRPr="00CB11A3">
        <w:rPr>
          <w:rFonts w:ascii="Calibri" w:hAnsi="Calibri" w:cs="Calibri"/>
          <w:b/>
          <w:bCs/>
          <w:color w:val="0070C0"/>
          <w:sz w:val="20"/>
          <w:szCs w:val="20"/>
          <w:lang w:val="en-US"/>
        </w:rPr>
        <w:t xml:space="preserve">Table 2: </w:t>
      </w:r>
      <w:r w:rsidRPr="00CB11A3">
        <w:rPr>
          <w:rFonts w:ascii="Calibri" w:hAnsi="Calibri" w:cs="Calibri"/>
          <w:sz w:val="20"/>
          <w:szCs w:val="20"/>
          <w:lang w:val="en-US"/>
        </w:rPr>
        <w:t>Risk of bias in the studies included in the present systematic review</w:t>
      </w:r>
    </w:p>
    <w:p w14:paraId="4C678AAF" w14:textId="77777777" w:rsidR="00F84B26" w:rsidRPr="00CB11A3" w:rsidRDefault="00F84B26" w:rsidP="00F84B26">
      <w:pPr>
        <w:spacing w:after="120"/>
        <w:outlineLvl w:val="2"/>
        <w:rPr>
          <w:rFonts w:ascii="Calibri" w:hAnsi="Calibri" w:cs="Calibri"/>
          <w:b/>
          <w:bCs/>
          <w:color w:val="0070C0"/>
          <w:sz w:val="20"/>
          <w:szCs w:val="20"/>
          <w:lang w:val="en-US" w:eastAsia="es-ES"/>
        </w:rPr>
      </w:pPr>
      <w:r w:rsidRPr="00CB11A3">
        <w:rPr>
          <w:rFonts w:ascii="Calibri" w:hAnsi="Calibri" w:cs="Calibri"/>
          <w:b/>
          <w:bCs/>
          <w:color w:val="0070C0"/>
          <w:sz w:val="20"/>
          <w:szCs w:val="20"/>
          <w:lang w:val="en-US"/>
        </w:rPr>
        <w:t xml:space="preserve">Randomized controlled trials </w:t>
      </w:r>
      <w:r w:rsidRPr="00CB11A3">
        <w:rPr>
          <w:rFonts w:ascii="Calibri" w:hAnsi="Calibri" w:cs="Calibri"/>
          <w:b/>
          <w:bCs/>
          <w:color w:val="0070C0"/>
          <w:sz w:val="20"/>
          <w:szCs w:val="20"/>
          <w:lang w:val="en-US" w:eastAsia="es-ES"/>
        </w:rPr>
        <w:t>assessed with the RoB 2 tool</w:t>
      </w:r>
    </w:p>
    <w:tbl>
      <w:tblPr>
        <w:tblW w:w="15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3"/>
        <w:gridCol w:w="1150"/>
        <w:gridCol w:w="976"/>
        <w:gridCol w:w="1134"/>
        <w:gridCol w:w="1134"/>
        <w:gridCol w:w="1276"/>
        <w:gridCol w:w="850"/>
        <w:gridCol w:w="8053"/>
      </w:tblGrid>
      <w:tr w:rsidR="00F84B26" w:rsidRPr="00CB11A3" w14:paraId="481E6D5F" w14:textId="77777777" w:rsidTr="0028131C">
        <w:trPr>
          <w:trHeight w:val="353"/>
        </w:trPr>
        <w:tc>
          <w:tcPr>
            <w:tcW w:w="923" w:type="dxa"/>
            <w:shd w:val="clear" w:color="auto" w:fill="D9E2F3"/>
            <w:tcMar>
              <w:top w:w="48" w:type="dxa"/>
              <w:left w:w="72" w:type="dxa"/>
              <w:bottom w:w="48" w:type="dxa"/>
              <w:right w:w="72" w:type="dxa"/>
            </w:tcMar>
            <w:hideMark/>
          </w:tcPr>
          <w:p w14:paraId="3B402A8D" w14:textId="77777777" w:rsidR="00F84B26" w:rsidRPr="00CB11A3" w:rsidRDefault="00F84B26" w:rsidP="0028131C">
            <w:pPr>
              <w:rPr>
                <w:rFonts w:ascii="Calibri" w:eastAsia="Calibri" w:hAnsi="Calibri" w:cs="Calibri"/>
                <w:color w:val="000000"/>
                <w:sz w:val="16"/>
                <w:szCs w:val="16"/>
                <w:lang w:eastAsia="en-US"/>
              </w:rPr>
            </w:pPr>
            <w:r w:rsidRPr="00CB11A3">
              <w:rPr>
                <w:rFonts w:ascii="Calibri" w:eastAsia="Calibri" w:hAnsi="Calibri" w:cs="Calibri"/>
                <w:b/>
                <w:bCs/>
                <w:color w:val="000000"/>
                <w:sz w:val="16"/>
                <w:szCs w:val="16"/>
                <w:lang w:eastAsia="en-US"/>
              </w:rPr>
              <w:t>Study ID</w:t>
            </w:r>
          </w:p>
        </w:tc>
        <w:tc>
          <w:tcPr>
            <w:tcW w:w="1150" w:type="dxa"/>
            <w:shd w:val="clear" w:color="auto" w:fill="D9E2F3"/>
            <w:tcMar>
              <w:top w:w="48" w:type="dxa"/>
              <w:left w:w="72" w:type="dxa"/>
              <w:bottom w:w="48" w:type="dxa"/>
              <w:right w:w="72" w:type="dxa"/>
            </w:tcMar>
            <w:hideMark/>
          </w:tcPr>
          <w:p w14:paraId="27AD27EF" w14:textId="77777777" w:rsidR="00F84B26" w:rsidRPr="00CB11A3" w:rsidRDefault="00F84B26" w:rsidP="0028131C">
            <w:pPr>
              <w:tabs>
                <w:tab w:val="left" w:pos="1003"/>
              </w:tabs>
              <w:jc w:val="center"/>
              <w:rPr>
                <w:rFonts w:ascii="Calibri" w:eastAsia="Calibri" w:hAnsi="Calibri" w:cs="Calibri"/>
                <w:b/>
                <w:bCs/>
                <w:color w:val="000000"/>
                <w:sz w:val="16"/>
                <w:szCs w:val="16"/>
                <w:lang w:eastAsia="en-US"/>
              </w:rPr>
            </w:pPr>
            <w:r w:rsidRPr="00CB11A3">
              <w:rPr>
                <w:rFonts w:ascii="Calibri" w:eastAsia="Calibri" w:hAnsi="Calibri" w:cs="Calibri"/>
                <w:b/>
                <w:bCs/>
                <w:color w:val="000000"/>
                <w:sz w:val="16"/>
                <w:szCs w:val="16"/>
                <w:lang w:eastAsia="en-US"/>
              </w:rPr>
              <w:t>D1:</w:t>
            </w:r>
          </w:p>
          <w:p w14:paraId="38E1C4F4" w14:textId="77777777" w:rsidR="00F84B26" w:rsidRPr="00CB11A3" w:rsidRDefault="00F84B26" w:rsidP="0028131C">
            <w:pPr>
              <w:tabs>
                <w:tab w:val="left" w:pos="1003"/>
              </w:tabs>
              <w:jc w:val="center"/>
              <w:rPr>
                <w:rFonts w:ascii="Calibri" w:eastAsia="Calibri" w:hAnsi="Calibri" w:cs="Calibri"/>
                <w:color w:val="000000"/>
                <w:sz w:val="16"/>
                <w:szCs w:val="16"/>
                <w:lang w:eastAsia="en-US"/>
              </w:rPr>
            </w:pPr>
            <w:r w:rsidRPr="00CB11A3">
              <w:rPr>
                <w:rFonts w:ascii="Calibri" w:eastAsia="Calibri" w:hAnsi="Calibri" w:cs="Calibri"/>
                <w:b/>
                <w:bCs/>
                <w:color w:val="000000"/>
                <w:sz w:val="16"/>
                <w:szCs w:val="16"/>
                <w:lang w:eastAsia="en-US"/>
              </w:rPr>
              <w:t>Randomization</w:t>
            </w:r>
          </w:p>
        </w:tc>
        <w:tc>
          <w:tcPr>
            <w:tcW w:w="976" w:type="dxa"/>
            <w:shd w:val="clear" w:color="auto" w:fill="D9E2F3"/>
            <w:tcMar>
              <w:top w:w="48" w:type="dxa"/>
              <w:left w:w="72" w:type="dxa"/>
              <w:bottom w:w="48" w:type="dxa"/>
              <w:right w:w="72" w:type="dxa"/>
            </w:tcMar>
            <w:hideMark/>
          </w:tcPr>
          <w:p w14:paraId="484DA945" w14:textId="77777777" w:rsidR="00F84B26" w:rsidRPr="00CB11A3" w:rsidRDefault="00F84B26" w:rsidP="0028131C">
            <w:pPr>
              <w:tabs>
                <w:tab w:val="left" w:pos="1003"/>
              </w:tabs>
              <w:jc w:val="center"/>
              <w:rPr>
                <w:rFonts w:ascii="Calibri" w:eastAsia="Calibri" w:hAnsi="Calibri" w:cs="Calibri"/>
                <w:b/>
                <w:bCs/>
                <w:color w:val="000000"/>
                <w:sz w:val="16"/>
                <w:szCs w:val="16"/>
                <w:lang w:eastAsia="en-US"/>
              </w:rPr>
            </w:pPr>
            <w:r w:rsidRPr="00CB11A3">
              <w:rPr>
                <w:rFonts w:ascii="Calibri" w:eastAsia="Calibri" w:hAnsi="Calibri" w:cs="Calibri"/>
                <w:b/>
                <w:bCs/>
                <w:color w:val="000000"/>
                <w:sz w:val="16"/>
                <w:szCs w:val="16"/>
                <w:lang w:eastAsia="en-US"/>
              </w:rPr>
              <w:t>D2:</w:t>
            </w:r>
          </w:p>
          <w:p w14:paraId="666393BB" w14:textId="77777777" w:rsidR="00F84B26" w:rsidRPr="00CB11A3" w:rsidRDefault="00F84B26" w:rsidP="0028131C">
            <w:pPr>
              <w:tabs>
                <w:tab w:val="left" w:pos="1003"/>
              </w:tabs>
              <w:jc w:val="center"/>
              <w:rPr>
                <w:rFonts w:ascii="Calibri" w:eastAsia="Calibri" w:hAnsi="Calibri" w:cs="Calibri"/>
                <w:color w:val="000000"/>
                <w:sz w:val="16"/>
                <w:szCs w:val="16"/>
                <w:lang w:eastAsia="en-US"/>
              </w:rPr>
            </w:pPr>
            <w:r w:rsidRPr="00CB11A3">
              <w:rPr>
                <w:rFonts w:ascii="Calibri" w:eastAsia="Calibri" w:hAnsi="Calibri" w:cs="Calibri"/>
                <w:b/>
                <w:bCs/>
                <w:color w:val="000000"/>
                <w:sz w:val="16"/>
                <w:szCs w:val="16"/>
                <w:lang w:eastAsia="en-US"/>
              </w:rPr>
              <w:t>Deviations (ITT)</w:t>
            </w:r>
          </w:p>
        </w:tc>
        <w:tc>
          <w:tcPr>
            <w:tcW w:w="1134" w:type="dxa"/>
            <w:shd w:val="clear" w:color="auto" w:fill="D9E2F3"/>
            <w:tcMar>
              <w:top w:w="48" w:type="dxa"/>
              <w:left w:w="72" w:type="dxa"/>
              <w:bottom w:w="48" w:type="dxa"/>
              <w:right w:w="72" w:type="dxa"/>
            </w:tcMar>
            <w:hideMark/>
          </w:tcPr>
          <w:p w14:paraId="15275AB5" w14:textId="77777777" w:rsidR="00F84B26" w:rsidRPr="00CB11A3" w:rsidRDefault="00F84B26" w:rsidP="0028131C">
            <w:pPr>
              <w:tabs>
                <w:tab w:val="left" w:pos="1003"/>
              </w:tabs>
              <w:jc w:val="center"/>
              <w:rPr>
                <w:rFonts w:ascii="Calibri" w:eastAsia="Calibri" w:hAnsi="Calibri" w:cs="Calibri"/>
                <w:b/>
                <w:bCs/>
                <w:color w:val="000000"/>
                <w:sz w:val="16"/>
                <w:szCs w:val="16"/>
                <w:lang w:eastAsia="en-US"/>
              </w:rPr>
            </w:pPr>
            <w:r w:rsidRPr="00CB11A3">
              <w:rPr>
                <w:rFonts w:ascii="Calibri" w:eastAsia="Calibri" w:hAnsi="Calibri" w:cs="Calibri"/>
                <w:b/>
                <w:bCs/>
                <w:color w:val="000000"/>
                <w:sz w:val="16"/>
                <w:szCs w:val="16"/>
                <w:lang w:eastAsia="en-US"/>
              </w:rPr>
              <w:t>D3:</w:t>
            </w:r>
          </w:p>
          <w:p w14:paraId="21CF8934" w14:textId="77777777" w:rsidR="00F84B26" w:rsidRPr="00CB11A3" w:rsidRDefault="00F84B26" w:rsidP="0028131C">
            <w:pPr>
              <w:tabs>
                <w:tab w:val="left" w:pos="983"/>
              </w:tabs>
              <w:jc w:val="center"/>
              <w:rPr>
                <w:rFonts w:ascii="Calibri" w:eastAsia="Calibri" w:hAnsi="Calibri" w:cs="Calibri"/>
                <w:color w:val="000000"/>
                <w:sz w:val="16"/>
                <w:szCs w:val="16"/>
                <w:lang w:eastAsia="en-US"/>
              </w:rPr>
            </w:pPr>
            <w:r w:rsidRPr="00CB11A3">
              <w:rPr>
                <w:rFonts w:ascii="Calibri" w:eastAsia="Calibri" w:hAnsi="Calibri" w:cs="Calibri"/>
                <w:b/>
                <w:bCs/>
                <w:color w:val="000000"/>
                <w:sz w:val="16"/>
                <w:szCs w:val="16"/>
                <w:lang w:eastAsia="en-US"/>
              </w:rPr>
              <w:t>Missing outcome data</w:t>
            </w:r>
          </w:p>
        </w:tc>
        <w:tc>
          <w:tcPr>
            <w:tcW w:w="1134" w:type="dxa"/>
            <w:shd w:val="clear" w:color="auto" w:fill="D9E2F3"/>
            <w:tcMar>
              <w:top w:w="48" w:type="dxa"/>
              <w:left w:w="72" w:type="dxa"/>
              <w:bottom w:w="48" w:type="dxa"/>
              <w:right w:w="72" w:type="dxa"/>
            </w:tcMar>
            <w:hideMark/>
          </w:tcPr>
          <w:p w14:paraId="31CF5341" w14:textId="77777777" w:rsidR="00F84B26" w:rsidRPr="00CB11A3" w:rsidRDefault="00F84B26" w:rsidP="0028131C">
            <w:pPr>
              <w:tabs>
                <w:tab w:val="left" w:pos="1003"/>
              </w:tabs>
              <w:ind w:left="10" w:hanging="10"/>
              <w:jc w:val="center"/>
              <w:rPr>
                <w:rFonts w:ascii="Calibri" w:eastAsia="Calibri" w:hAnsi="Calibri" w:cs="Calibri"/>
                <w:b/>
                <w:bCs/>
                <w:color w:val="000000"/>
                <w:sz w:val="16"/>
                <w:szCs w:val="16"/>
                <w:lang w:eastAsia="en-US"/>
              </w:rPr>
            </w:pPr>
            <w:r w:rsidRPr="00CB11A3">
              <w:rPr>
                <w:rFonts w:ascii="Calibri" w:eastAsia="Calibri" w:hAnsi="Calibri" w:cs="Calibri"/>
                <w:b/>
                <w:bCs/>
                <w:color w:val="000000"/>
                <w:sz w:val="16"/>
                <w:szCs w:val="16"/>
                <w:lang w:eastAsia="en-US"/>
              </w:rPr>
              <w:t xml:space="preserve">D4: </w:t>
            </w:r>
          </w:p>
          <w:p w14:paraId="79B9A366" w14:textId="77777777" w:rsidR="00F84B26" w:rsidRPr="00CB11A3" w:rsidRDefault="00F84B26" w:rsidP="0028131C">
            <w:pPr>
              <w:tabs>
                <w:tab w:val="left" w:pos="1003"/>
              </w:tabs>
              <w:ind w:left="10" w:hanging="10"/>
              <w:jc w:val="center"/>
              <w:rPr>
                <w:rFonts w:ascii="Calibri" w:eastAsia="Calibri" w:hAnsi="Calibri" w:cs="Calibri"/>
                <w:color w:val="000000"/>
                <w:sz w:val="16"/>
                <w:szCs w:val="16"/>
                <w:lang w:eastAsia="en-US"/>
              </w:rPr>
            </w:pPr>
            <w:r w:rsidRPr="00CB11A3">
              <w:rPr>
                <w:rFonts w:ascii="Calibri" w:eastAsia="Calibri" w:hAnsi="Calibri" w:cs="Calibri"/>
                <w:b/>
                <w:bCs/>
                <w:color w:val="000000"/>
                <w:sz w:val="16"/>
                <w:szCs w:val="16"/>
                <w:lang w:eastAsia="en-US"/>
              </w:rPr>
              <w:t>Measurement of outcome</w:t>
            </w:r>
          </w:p>
        </w:tc>
        <w:tc>
          <w:tcPr>
            <w:tcW w:w="1276" w:type="dxa"/>
            <w:shd w:val="clear" w:color="auto" w:fill="D9E2F3"/>
            <w:tcMar>
              <w:top w:w="48" w:type="dxa"/>
              <w:left w:w="72" w:type="dxa"/>
              <w:bottom w:w="48" w:type="dxa"/>
              <w:right w:w="72" w:type="dxa"/>
            </w:tcMar>
            <w:hideMark/>
          </w:tcPr>
          <w:p w14:paraId="61BE887F" w14:textId="77777777" w:rsidR="00F84B26" w:rsidRPr="00CB11A3" w:rsidRDefault="00F84B26" w:rsidP="0028131C">
            <w:pPr>
              <w:tabs>
                <w:tab w:val="left" w:pos="1003"/>
              </w:tabs>
              <w:jc w:val="center"/>
              <w:rPr>
                <w:rFonts w:ascii="Calibri" w:eastAsia="Calibri" w:hAnsi="Calibri" w:cs="Calibri"/>
                <w:b/>
                <w:bCs/>
                <w:color w:val="000000"/>
                <w:sz w:val="16"/>
                <w:szCs w:val="16"/>
                <w:lang w:val="en-US" w:eastAsia="en-US"/>
              </w:rPr>
            </w:pPr>
            <w:r w:rsidRPr="00CB11A3">
              <w:rPr>
                <w:rFonts w:ascii="Calibri" w:eastAsia="Calibri" w:hAnsi="Calibri" w:cs="Calibri"/>
                <w:b/>
                <w:bCs/>
                <w:color w:val="000000"/>
                <w:sz w:val="16"/>
                <w:szCs w:val="16"/>
                <w:lang w:val="en-US" w:eastAsia="en-US"/>
              </w:rPr>
              <w:t>D5:</w:t>
            </w:r>
          </w:p>
          <w:p w14:paraId="6587677F" w14:textId="77777777" w:rsidR="00F84B26" w:rsidRPr="00CB11A3" w:rsidRDefault="00F84B26" w:rsidP="0028131C">
            <w:pPr>
              <w:tabs>
                <w:tab w:val="left" w:pos="1003"/>
              </w:tabs>
              <w:jc w:val="center"/>
              <w:rPr>
                <w:rFonts w:ascii="Calibri" w:eastAsia="Calibri" w:hAnsi="Calibri" w:cs="Calibri"/>
                <w:color w:val="000000"/>
                <w:sz w:val="16"/>
                <w:szCs w:val="16"/>
                <w:lang w:val="en-US" w:eastAsia="en-US"/>
              </w:rPr>
            </w:pPr>
            <w:r w:rsidRPr="00CB11A3">
              <w:rPr>
                <w:rFonts w:ascii="Calibri" w:eastAsia="Calibri" w:hAnsi="Calibri" w:cs="Calibri"/>
                <w:b/>
                <w:bCs/>
                <w:color w:val="000000"/>
                <w:sz w:val="16"/>
                <w:szCs w:val="16"/>
                <w:lang w:val="en-US" w:eastAsia="en-US"/>
              </w:rPr>
              <w:t>Selection of reported result</w:t>
            </w:r>
          </w:p>
        </w:tc>
        <w:tc>
          <w:tcPr>
            <w:tcW w:w="850" w:type="dxa"/>
            <w:shd w:val="clear" w:color="auto" w:fill="D9E2F3"/>
            <w:tcMar>
              <w:top w:w="48" w:type="dxa"/>
              <w:left w:w="72" w:type="dxa"/>
              <w:bottom w:w="48" w:type="dxa"/>
              <w:right w:w="72" w:type="dxa"/>
            </w:tcMar>
            <w:hideMark/>
          </w:tcPr>
          <w:p w14:paraId="169A5A8A" w14:textId="77777777" w:rsidR="00F84B26" w:rsidRPr="00CB11A3" w:rsidRDefault="00F84B26" w:rsidP="0028131C">
            <w:pPr>
              <w:tabs>
                <w:tab w:val="left" w:pos="1003"/>
              </w:tabs>
              <w:jc w:val="center"/>
              <w:rPr>
                <w:rFonts w:ascii="Calibri" w:eastAsia="Calibri" w:hAnsi="Calibri" w:cs="Calibri"/>
                <w:color w:val="000000"/>
                <w:sz w:val="16"/>
                <w:szCs w:val="16"/>
                <w:lang w:eastAsia="en-US"/>
              </w:rPr>
            </w:pPr>
            <w:r w:rsidRPr="00CB11A3">
              <w:rPr>
                <w:rFonts w:ascii="Calibri" w:eastAsia="Calibri" w:hAnsi="Calibri" w:cs="Calibri"/>
                <w:b/>
                <w:bCs/>
                <w:color w:val="000000"/>
                <w:sz w:val="16"/>
                <w:szCs w:val="16"/>
                <w:lang w:eastAsia="en-US"/>
              </w:rPr>
              <w:t>Overall risk of bias</w:t>
            </w:r>
          </w:p>
        </w:tc>
        <w:tc>
          <w:tcPr>
            <w:tcW w:w="8053" w:type="dxa"/>
            <w:shd w:val="clear" w:color="auto" w:fill="D9E2F3"/>
            <w:tcMar>
              <w:top w:w="48" w:type="dxa"/>
              <w:left w:w="72" w:type="dxa"/>
              <w:bottom w:w="48" w:type="dxa"/>
              <w:right w:w="72" w:type="dxa"/>
            </w:tcMar>
            <w:hideMark/>
          </w:tcPr>
          <w:p w14:paraId="3A902D16" w14:textId="77777777" w:rsidR="00F84B26" w:rsidRPr="00CB11A3" w:rsidRDefault="00F84B26" w:rsidP="0028131C">
            <w:pPr>
              <w:tabs>
                <w:tab w:val="left" w:pos="1003"/>
              </w:tabs>
              <w:jc w:val="center"/>
              <w:rPr>
                <w:rFonts w:ascii="Calibri" w:eastAsia="Calibri" w:hAnsi="Calibri" w:cs="Calibri"/>
                <w:color w:val="000000"/>
                <w:sz w:val="16"/>
                <w:szCs w:val="16"/>
                <w:lang w:eastAsia="en-US"/>
              </w:rPr>
            </w:pPr>
            <w:r w:rsidRPr="00CB11A3">
              <w:rPr>
                <w:rFonts w:ascii="Calibri" w:eastAsia="Calibri" w:hAnsi="Calibri" w:cs="Calibri"/>
                <w:b/>
                <w:bCs/>
                <w:color w:val="000000"/>
                <w:sz w:val="16"/>
                <w:szCs w:val="16"/>
                <w:lang w:eastAsia="en-US"/>
              </w:rPr>
              <w:t>Support/Evidence (Direct quotes)</w:t>
            </w:r>
          </w:p>
        </w:tc>
      </w:tr>
      <w:tr w:rsidR="00F84B26" w:rsidRPr="004B3382" w14:paraId="4C1C55EE" w14:textId="77777777" w:rsidTr="0028131C">
        <w:trPr>
          <w:trHeight w:val="460"/>
        </w:trPr>
        <w:tc>
          <w:tcPr>
            <w:tcW w:w="923" w:type="dxa"/>
            <w:shd w:val="clear" w:color="auto" w:fill="FFFFFF"/>
            <w:tcMar>
              <w:top w:w="48" w:type="dxa"/>
              <w:left w:w="72" w:type="dxa"/>
              <w:bottom w:w="48" w:type="dxa"/>
              <w:right w:w="72" w:type="dxa"/>
            </w:tcMar>
            <w:hideMark/>
          </w:tcPr>
          <w:p w14:paraId="5256C12F" w14:textId="77777777" w:rsidR="00F84B26" w:rsidRPr="004B3382" w:rsidRDefault="00F84B26" w:rsidP="0028131C">
            <w:pPr>
              <w:shd w:val="clear" w:color="auto" w:fill="FFFFFF"/>
              <w:rPr>
                <w:rFonts w:ascii="Calibri" w:eastAsia="Calibri" w:hAnsi="Calibri" w:cs="Calibri"/>
                <w:sz w:val="16"/>
                <w:szCs w:val="16"/>
                <w:lang w:eastAsia="en-US"/>
              </w:rPr>
            </w:pPr>
            <w:r w:rsidRPr="00BA7339">
              <w:rPr>
                <w:rFonts w:ascii="Calibri" w:eastAsia="Calibri" w:hAnsi="Calibri" w:cs="Calibri"/>
                <w:sz w:val="16"/>
                <w:szCs w:val="16"/>
                <w:lang w:eastAsia="en-US"/>
              </w:rPr>
              <w:t>Patel et al., 2008</w:t>
            </w:r>
          </w:p>
        </w:tc>
        <w:tc>
          <w:tcPr>
            <w:tcW w:w="1150" w:type="dxa"/>
            <w:shd w:val="clear" w:color="auto" w:fill="FFFFFF"/>
            <w:tcMar>
              <w:top w:w="48" w:type="dxa"/>
              <w:left w:w="72" w:type="dxa"/>
              <w:bottom w:w="48" w:type="dxa"/>
              <w:right w:w="72" w:type="dxa"/>
            </w:tcMar>
            <w:hideMark/>
          </w:tcPr>
          <w:p w14:paraId="653E0296"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 xml:space="preserve">Some </w:t>
            </w:r>
            <w:r>
              <w:rPr>
                <w:rFonts w:ascii="Calibri" w:eastAsia="Calibri" w:hAnsi="Calibri" w:cs="Calibri"/>
                <w:sz w:val="16"/>
                <w:szCs w:val="16"/>
                <w:lang w:eastAsia="en-US"/>
              </w:rPr>
              <w:t>c</w:t>
            </w:r>
            <w:r w:rsidRPr="004B3382">
              <w:rPr>
                <w:rFonts w:ascii="Calibri" w:eastAsia="Calibri" w:hAnsi="Calibri" w:cs="Calibri"/>
                <w:sz w:val="16"/>
                <w:szCs w:val="16"/>
                <w:lang w:eastAsia="en-US"/>
              </w:rPr>
              <w:t>oncerns</w:t>
            </w:r>
          </w:p>
        </w:tc>
        <w:tc>
          <w:tcPr>
            <w:tcW w:w="976" w:type="dxa"/>
            <w:shd w:val="clear" w:color="auto" w:fill="FFFFFF"/>
            <w:tcMar>
              <w:top w:w="48" w:type="dxa"/>
              <w:left w:w="72" w:type="dxa"/>
              <w:bottom w:w="48" w:type="dxa"/>
              <w:right w:w="72" w:type="dxa"/>
            </w:tcMar>
            <w:hideMark/>
          </w:tcPr>
          <w:p w14:paraId="16F61E85"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 xml:space="preserve">Some </w:t>
            </w:r>
            <w:r>
              <w:rPr>
                <w:rFonts w:ascii="Calibri" w:eastAsia="Calibri" w:hAnsi="Calibri" w:cs="Calibri"/>
                <w:sz w:val="16"/>
                <w:szCs w:val="16"/>
                <w:lang w:eastAsia="en-US"/>
              </w:rPr>
              <w:t>c</w:t>
            </w:r>
            <w:r w:rsidRPr="004B3382">
              <w:rPr>
                <w:rFonts w:ascii="Calibri" w:eastAsia="Calibri" w:hAnsi="Calibri" w:cs="Calibri"/>
                <w:sz w:val="16"/>
                <w:szCs w:val="16"/>
                <w:lang w:eastAsia="en-US"/>
              </w:rPr>
              <w:t>oncerns</w:t>
            </w:r>
          </w:p>
        </w:tc>
        <w:tc>
          <w:tcPr>
            <w:tcW w:w="1134" w:type="dxa"/>
            <w:shd w:val="clear" w:color="auto" w:fill="FFFFFF"/>
            <w:tcMar>
              <w:top w:w="48" w:type="dxa"/>
              <w:left w:w="72" w:type="dxa"/>
              <w:bottom w:w="48" w:type="dxa"/>
              <w:right w:w="72" w:type="dxa"/>
            </w:tcMar>
            <w:hideMark/>
          </w:tcPr>
          <w:p w14:paraId="7AFD889D"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Low</w:t>
            </w:r>
          </w:p>
        </w:tc>
        <w:tc>
          <w:tcPr>
            <w:tcW w:w="1134" w:type="dxa"/>
            <w:shd w:val="clear" w:color="auto" w:fill="FFFFFF"/>
            <w:tcMar>
              <w:top w:w="48" w:type="dxa"/>
              <w:left w:w="72" w:type="dxa"/>
              <w:bottom w:w="48" w:type="dxa"/>
              <w:right w:w="72" w:type="dxa"/>
            </w:tcMar>
            <w:hideMark/>
          </w:tcPr>
          <w:p w14:paraId="6B6EE6FE" w14:textId="77777777" w:rsidR="00F84B26" w:rsidRPr="004B3382" w:rsidRDefault="00F84B26" w:rsidP="0028131C">
            <w:pPr>
              <w:shd w:val="clear" w:color="auto" w:fill="FFFFFF"/>
              <w:tabs>
                <w:tab w:val="left" w:pos="1003"/>
              </w:tabs>
              <w:ind w:left="10" w:hanging="10"/>
              <w:jc w:val="center"/>
              <w:rPr>
                <w:rFonts w:ascii="Calibri" w:eastAsia="Calibri" w:hAnsi="Calibri" w:cs="Calibri"/>
                <w:sz w:val="16"/>
                <w:szCs w:val="16"/>
                <w:lang w:eastAsia="en-US"/>
              </w:rPr>
            </w:pPr>
            <w:r w:rsidRPr="004B3382">
              <w:rPr>
                <w:rFonts w:ascii="Calibri" w:eastAsia="Calibri" w:hAnsi="Calibri" w:cs="Calibri"/>
                <w:sz w:val="16"/>
                <w:szCs w:val="16"/>
                <w:lang w:eastAsia="en-US"/>
              </w:rPr>
              <w:t>High</w:t>
            </w:r>
          </w:p>
        </w:tc>
        <w:tc>
          <w:tcPr>
            <w:tcW w:w="1276" w:type="dxa"/>
            <w:shd w:val="clear" w:color="auto" w:fill="FFFFFF"/>
            <w:tcMar>
              <w:top w:w="48" w:type="dxa"/>
              <w:left w:w="72" w:type="dxa"/>
              <w:bottom w:w="48" w:type="dxa"/>
              <w:right w:w="72" w:type="dxa"/>
            </w:tcMar>
            <w:hideMark/>
          </w:tcPr>
          <w:p w14:paraId="18A09723"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Low</w:t>
            </w:r>
          </w:p>
        </w:tc>
        <w:tc>
          <w:tcPr>
            <w:tcW w:w="850" w:type="dxa"/>
            <w:shd w:val="clear" w:color="auto" w:fill="FFFFFF"/>
            <w:tcMar>
              <w:top w:w="48" w:type="dxa"/>
              <w:left w:w="72" w:type="dxa"/>
              <w:bottom w:w="48" w:type="dxa"/>
              <w:right w:w="72" w:type="dxa"/>
            </w:tcMar>
            <w:hideMark/>
          </w:tcPr>
          <w:p w14:paraId="63D2CCBD"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High</w:t>
            </w:r>
          </w:p>
        </w:tc>
        <w:tc>
          <w:tcPr>
            <w:tcW w:w="8053" w:type="dxa"/>
            <w:shd w:val="clear" w:color="auto" w:fill="FFFFFF"/>
            <w:tcMar>
              <w:top w:w="48" w:type="dxa"/>
              <w:left w:w="72" w:type="dxa"/>
              <w:bottom w:w="48" w:type="dxa"/>
              <w:right w:w="72" w:type="dxa"/>
            </w:tcMar>
            <w:hideMark/>
          </w:tcPr>
          <w:p w14:paraId="29056340" w14:textId="77777777" w:rsidR="00F84B26" w:rsidRPr="004B3382" w:rsidRDefault="00F84B26" w:rsidP="0028131C">
            <w:pPr>
              <w:shd w:val="clear" w:color="auto" w:fill="FFFFFF"/>
              <w:tabs>
                <w:tab w:val="left" w:pos="1003"/>
              </w:tabs>
              <w:ind w:left="288" w:hanging="288"/>
              <w:rPr>
                <w:rFonts w:ascii="Calibri" w:eastAsia="Calibri" w:hAnsi="Calibri" w:cs="Calibri"/>
                <w:sz w:val="16"/>
                <w:szCs w:val="16"/>
                <w:lang w:val="en-US" w:eastAsia="en-US"/>
              </w:rPr>
            </w:pPr>
            <w:r w:rsidRPr="004B3382">
              <w:rPr>
                <w:rFonts w:ascii="Calibri" w:eastAsia="Calibri" w:hAnsi="Calibri" w:cs="Calibri"/>
                <w:sz w:val="16"/>
                <w:szCs w:val="16"/>
                <w:lang w:val="en-US" w:eastAsia="en-US"/>
              </w:rPr>
              <w:t>D1: Randomised using a random number generator"</w:t>
            </w:r>
            <w:r w:rsidRPr="004B3382">
              <w:rPr>
                <w:rFonts w:ascii="Calibri" w:eastAsia="Calibri" w:hAnsi="Calibri" w:cs="Calibri"/>
                <w:sz w:val="16"/>
                <w:szCs w:val="16"/>
                <w:vertAlign w:val="superscript"/>
                <w:lang w:val="en-US" w:eastAsia="en-US"/>
              </w:rPr>
              <w:t>4</w:t>
            </w:r>
            <w:r w:rsidRPr="004B3382">
              <w:rPr>
                <w:rFonts w:ascii="Calibri" w:eastAsia="Calibri" w:hAnsi="Calibri" w:cs="Calibri"/>
                <w:sz w:val="16"/>
                <w:szCs w:val="16"/>
                <w:lang w:val="en-US" w:eastAsia="en-US"/>
              </w:rPr>
              <w:t>. No details on allocation concealment (</w:t>
            </w:r>
            <w:r>
              <w:rPr>
                <w:rFonts w:ascii="Calibri" w:eastAsia="Calibri" w:hAnsi="Calibri" w:cs="Calibri"/>
                <w:sz w:val="16"/>
                <w:szCs w:val="16"/>
                <w:lang w:val="en-US" w:eastAsia="en-US"/>
              </w:rPr>
              <w:t xml:space="preserve"> by using </w:t>
            </w:r>
            <w:r w:rsidRPr="004B3382">
              <w:rPr>
                <w:rFonts w:ascii="Calibri" w:eastAsia="Calibri" w:hAnsi="Calibri" w:cs="Calibri"/>
                <w:sz w:val="16"/>
                <w:szCs w:val="16"/>
                <w:lang w:val="en-US" w:eastAsia="en-US"/>
              </w:rPr>
              <w:t>sealed envelopes).</w:t>
            </w:r>
          </w:p>
          <w:p w14:paraId="4EBD5A00" w14:textId="77777777" w:rsidR="00F84B26" w:rsidRDefault="00F84B26" w:rsidP="0028131C">
            <w:pPr>
              <w:shd w:val="clear" w:color="auto" w:fill="FFFFFF"/>
              <w:tabs>
                <w:tab w:val="left" w:pos="1003"/>
              </w:tabs>
              <w:ind w:left="288" w:hanging="288"/>
              <w:rPr>
                <w:rFonts w:ascii="Calibri" w:eastAsia="Calibri" w:hAnsi="Calibri" w:cs="Calibri"/>
                <w:sz w:val="16"/>
                <w:szCs w:val="16"/>
                <w:lang w:val="en-US" w:eastAsia="en-US"/>
              </w:rPr>
            </w:pPr>
            <w:r w:rsidRPr="004B3382">
              <w:rPr>
                <w:rFonts w:ascii="Calibri" w:eastAsia="Calibri" w:hAnsi="Calibri" w:cs="Calibri"/>
                <w:sz w:val="16"/>
                <w:szCs w:val="16"/>
                <w:lang w:val="en-US" w:eastAsia="en-US"/>
              </w:rPr>
              <w:t>D2: 3 patients in CC group "Withdrawn consent"</w:t>
            </w:r>
            <w:r w:rsidRPr="004B3382">
              <w:rPr>
                <w:rFonts w:ascii="Calibri" w:eastAsia="Calibri" w:hAnsi="Calibri" w:cs="Calibri"/>
                <w:sz w:val="16"/>
                <w:szCs w:val="16"/>
                <w:vertAlign w:val="superscript"/>
                <w:lang w:val="en-US" w:eastAsia="en-US"/>
              </w:rPr>
              <w:t>5</w:t>
            </w:r>
            <w:r w:rsidRPr="004B3382">
              <w:rPr>
                <w:rFonts w:ascii="Calibri" w:eastAsia="Calibri" w:hAnsi="Calibri" w:cs="Calibri"/>
                <w:sz w:val="16"/>
                <w:szCs w:val="16"/>
                <w:lang w:val="en-US" w:eastAsia="en-US"/>
              </w:rPr>
              <w:t>. Analysis appears to include available data only.</w:t>
            </w:r>
          </w:p>
          <w:p w14:paraId="5132A457" w14:textId="77777777" w:rsidR="00F84B26" w:rsidRDefault="00F84B26" w:rsidP="0028131C">
            <w:pPr>
              <w:shd w:val="clear" w:color="auto" w:fill="FFFFFF"/>
              <w:tabs>
                <w:tab w:val="left" w:pos="1003"/>
              </w:tabs>
              <w:ind w:left="288" w:hanging="288"/>
              <w:rPr>
                <w:rFonts w:ascii="Calibri" w:eastAsia="Calibri" w:hAnsi="Calibri" w:cs="Calibri"/>
                <w:sz w:val="16"/>
                <w:szCs w:val="16"/>
                <w:lang w:eastAsia="en-US"/>
              </w:rPr>
            </w:pPr>
            <w:r>
              <w:rPr>
                <w:rFonts w:ascii="Calibri" w:eastAsia="Calibri" w:hAnsi="Calibri" w:cs="Calibri"/>
                <w:sz w:val="16"/>
                <w:szCs w:val="16"/>
                <w:lang w:val="en-US" w:eastAsia="en-US"/>
              </w:rPr>
              <w:t xml:space="preserve">D3: </w:t>
            </w:r>
            <w:r w:rsidRPr="000A0FD6">
              <w:rPr>
                <w:rFonts w:ascii="Calibri" w:eastAsia="Calibri" w:hAnsi="Calibri" w:cs="Calibri"/>
                <w:sz w:val="16"/>
                <w:szCs w:val="16"/>
                <w:lang w:eastAsia="en-US"/>
              </w:rPr>
              <w:t>High attrition in the CC group (3/15 patients withdrew consent). Although the authors performed a sensitivity analysis using Last Value Carried Forward (LWCF) to handle missing data for cost and HRQL, the small sample size makes the results sensitive to these losses</w:t>
            </w:r>
          </w:p>
          <w:p w14:paraId="1ED77E7D" w14:textId="77777777" w:rsidR="00F84B26" w:rsidRPr="00325100" w:rsidRDefault="00F84B26" w:rsidP="0028131C">
            <w:pPr>
              <w:shd w:val="clear" w:color="auto" w:fill="FFFFFF"/>
              <w:tabs>
                <w:tab w:val="left" w:pos="1003"/>
              </w:tabs>
              <w:ind w:left="288" w:hanging="288"/>
              <w:rPr>
                <w:rFonts w:ascii="Calibri" w:eastAsia="Calibri" w:hAnsi="Calibri" w:cs="Calibri"/>
                <w:sz w:val="16"/>
                <w:szCs w:val="16"/>
                <w:lang w:eastAsia="en-US"/>
              </w:rPr>
            </w:pPr>
            <w:r w:rsidRPr="004B3382">
              <w:rPr>
                <w:rFonts w:ascii="Calibri" w:eastAsia="Calibri" w:hAnsi="Calibri" w:cs="Calibri"/>
                <w:sz w:val="16"/>
                <w:szCs w:val="16"/>
                <w:lang w:val="en-US" w:eastAsia="en-US"/>
              </w:rPr>
              <w:t xml:space="preserve">D4: Unblinded study assessing subjective HRQL. </w:t>
            </w:r>
            <w:r w:rsidRPr="00325100">
              <w:rPr>
                <w:rFonts w:ascii="Calibri" w:eastAsia="Calibri" w:hAnsi="Calibri" w:cs="Calibri"/>
                <w:sz w:val="16"/>
                <w:szCs w:val="16"/>
                <w:lang w:eastAsia="en-US"/>
              </w:rPr>
              <w:t>Sensitivity analysis was performed for cost and HRQL with last value carried forward (LWCF) for patients who dropped out during the study</w:t>
            </w:r>
            <w:r>
              <w:rPr>
                <w:rFonts w:ascii="Calibri" w:eastAsia="Calibri" w:hAnsi="Calibri" w:cs="Calibri"/>
                <w:sz w:val="16"/>
                <w:szCs w:val="16"/>
                <w:lang w:eastAsia="en-US"/>
              </w:rPr>
              <w:t xml:space="preserve">.  </w:t>
            </w:r>
            <w:r w:rsidRPr="004B3382">
              <w:rPr>
                <w:rFonts w:ascii="Calibri" w:eastAsia="Calibri" w:hAnsi="Calibri" w:cs="Calibri"/>
                <w:sz w:val="16"/>
                <w:szCs w:val="16"/>
                <w:lang w:val="en-US" w:eastAsia="en-US"/>
              </w:rPr>
              <w:t>Open, randomised, controlled pilot study</w:t>
            </w:r>
          </w:p>
        </w:tc>
      </w:tr>
      <w:tr w:rsidR="00F84B26" w:rsidRPr="004B3382" w14:paraId="27FF073B" w14:textId="77777777" w:rsidTr="0028131C">
        <w:trPr>
          <w:trHeight w:val="572"/>
        </w:trPr>
        <w:tc>
          <w:tcPr>
            <w:tcW w:w="923" w:type="dxa"/>
            <w:shd w:val="clear" w:color="auto" w:fill="FFFFFF"/>
            <w:tcMar>
              <w:top w:w="48" w:type="dxa"/>
              <w:left w:w="72" w:type="dxa"/>
              <w:bottom w:w="48" w:type="dxa"/>
              <w:right w:w="72" w:type="dxa"/>
            </w:tcMar>
            <w:hideMark/>
          </w:tcPr>
          <w:p w14:paraId="7619611A" w14:textId="77777777" w:rsidR="00F84B26" w:rsidRPr="004B3382" w:rsidRDefault="00F84B26" w:rsidP="0028131C">
            <w:pPr>
              <w:shd w:val="clear" w:color="auto" w:fill="FFFFFF"/>
              <w:rPr>
                <w:rFonts w:ascii="Calibri" w:eastAsia="Calibri" w:hAnsi="Calibri" w:cs="Calibri"/>
                <w:sz w:val="16"/>
                <w:szCs w:val="16"/>
                <w:lang w:eastAsia="en-US"/>
              </w:rPr>
            </w:pPr>
            <w:r w:rsidRPr="00BA7339">
              <w:rPr>
                <w:rFonts w:ascii="Calibri" w:eastAsia="Calibri" w:hAnsi="Calibri" w:cs="Calibri"/>
                <w:sz w:val="16"/>
                <w:szCs w:val="16"/>
                <w:lang w:eastAsia="en-US"/>
              </w:rPr>
              <w:t>Mendoza et al., 2009</w:t>
            </w:r>
          </w:p>
        </w:tc>
        <w:tc>
          <w:tcPr>
            <w:tcW w:w="1150" w:type="dxa"/>
            <w:shd w:val="clear" w:color="auto" w:fill="FFFFFF"/>
            <w:tcMar>
              <w:top w:w="48" w:type="dxa"/>
              <w:left w:w="72" w:type="dxa"/>
              <w:bottom w:w="48" w:type="dxa"/>
              <w:right w:w="72" w:type="dxa"/>
            </w:tcMar>
            <w:hideMark/>
          </w:tcPr>
          <w:p w14:paraId="46AF13E3"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Low</w:t>
            </w:r>
          </w:p>
        </w:tc>
        <w:tc>
          <w:tcPr>
            <w:tcW w:w="976" w:type="dxa"/>
            <w:shd w:val="clear" w:color="auto" w:fill="FFFFFF"/>
            <w:tcMar>
              <w:top w:w="48" w:type="dxa"/>
              <w:left w:w="72" w:type="dxa"/>
              <w:bottom w:w="48" w:type="dxa"/>
              <w:right w:w="72" w:type="dxa"/>
            </w:tcMar>
            <w:hideMark/>
          </w:tcPr>
          <w:p w14:paraId="459AC59B"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High</w:t>
            </w:r>
          </w:p>
        </w:tc>
        <w:tc>
          <w:tcPr>
            <w:tcW w:w="1134" w:type="dxa"/>
            <w:shd w:val="clear" w:color="auto" w:fill="FFFFFF"/>
            <w:tcMar>
              <w:top w:w="48" w:type="dxa"/>
              <w:left w:w="72" w:type="dxa"/>
              <w:bottom w:w="48" w:type="dxa"/>
              <w:right w:w="72" w:type="dxa"/>
            </w:tcMar>
            <w:hideMark/>
          </w:tcPr>
          <w:p w14:paraId="5D9B927D"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 xml:space="preserve">Some </w:t>
            </w:r>
            <w:r>
              <w:rPr>
                <w:rFonts w:ascii="Calibri" w:eastAsia="Calibri" w:hAnsi="Calibri" w:cs="Calibri"/>
                <w:sz w:val="16"/>
                <w:szCs w:val="16"/>
                <w:lang w:eastAsia="en-US"/>
              </w:rPr>
              <w:t>c</w:t>
            </w:r>
            <w:r w:rsidRPr="004B3382">
              <w:rPr>
                <w:rFonts w:ascii="Calibri" w:eastAsia="Calibri" w:hAnsi="Calibri" w:cs="Calibri"/>
                <w:sz w:val="16"/>
                <w:szCs w:val="16"/>
                <w:lang w:eastAsia="en-US"/>
              </w:rPr>
              <w:t>oncerns</w:t>
            </w:r>
          </w:p>
        </w:tc>
        <w:tc>
          <w:tcPr>
            <w:tcW w:w="1134" w:type="dxa"/>
            <w:shd w:val="clear" w:color="auto" w:fill="FFFFFF"/>
            <w:tcMar>
              <w:top w:w="48" w:type="dxa"/>
              <w:left w:w="72" w:type="dxa"/>
              <w:bottom w:w="48" w:type="dxa"/>
              <w:right w:w="72" w:type="dxa"/>
            </w:tcMar>
            <w:hideMark/>
          </w:tcPr>
          <w:p w14:paraId="344FB4AE" w14:textId="77777777" w:rsidR="00F84B26" w:rsidRPr="004B3382" w:rsidRDefault="00F84B26" w:rsidP="0028131C">
            <w:pPr>
              <w:shd w:val="clear" w:color="auto" w:fill="FFFFFF"/>
              <w:tabs>
                <w:tab w:val="left" w:pos="1003"/>
              </w:tabs>
              <w:ind w:left="10" w:hanging="10"/>
              <w:jc w:val="center"/>
              <w:rPr>
                <w:rFonts w:ascii="Calibri" w:eastAsia="Calibri" w:hAnsi="Calibri" w:cs="Calibri"/>
                <w:sz w:val="16"/>
                <w:szCs w:val="16"/>
                <w:lang w:eastAsia="en-US"/>
              </w:rPr>
            </w:pPr>
            <w:r w:rsidRPr="004B3382">
              <w:rPr>
                <w:rFonts w:ascii="Calibri" w:eastAsia="Calibri" w:hAnsi="Calibri" w:cs="Calibri"/>
                <w:sz w:val="16"/>
                <w:szCs w:val="16"/>
                <w:lang w:eastAsia="en-US"/>
              </w:rPr>
              <w:t>High</w:t>
            </w:r>
          </w:p>
        </w:tc>
        <w:tc>
          <w:tcPr>
            <w:tcW w:w="1276" w:type="dxa"/>
            <w:shd w:val="clear" w:color="auto" w:fill="FFFFFF"/>
            <w:tcMar>
              <w:top w:w="48" w:type="dxa"/>
              <w:left w:w="72" w:type="dxa"/>
              <w:bottom w:w="48" w:type="dxa"/>
              <w:right w:w="72" w:type="dxa"/>
            </w:tcMar>
            <w:hideMark/>
          </w:tcPr>
          <w:p w14:paraId="70D346EF"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Low</w:t>
            </w:r>
          </w:p>
        </w:tc>
        <w:tc>
          <w:tcPr>
            <w:tcW w:w="850" w:type="dxa"/>
            <w:shd w:val="clear" w:color="auto" w:fill="FFFFFF"/>
            <w:tcMar>
              <w:top w:w="48" w:type="dxa"/>
              <w:left w:w="72" w:type="dxa"/>
              <w:bottom w:w="48" w:type="dxa"/>
              <w:right w:w="72" w:type="dxa"/>
            </w:tcMar>
            <w:hideMark/>
          </w:tcPr>
          <w:p w14:paraId="745522DA"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High</w:t>
            </w:r>
          </w:p>
        </w:tc>
        <w:tc>
          <w:tcPr>
            <w:tcW w:w="8053" w:type="dxa"/>
            <w:shd w:val="clear" w:color="auto" w:fill="FFFFFF"/>
            <w:tcMar>
              <w:top w:w="48" w:type="dxa"/>
              <w:left w:w="72" w:type="dxa"/>
              <w:bottom w:w="48" w:type="dxa"/>
              <w:right w:w="72" w:type="dxa"/>
            </w:tcMar>
            <w:hideMark/>
          </w:tcPr>
          <w:p w14:paraId="0126F1EC" w14:textId="77777777" w:rsidR="00F84B26" w:rsidRPr="004B3382" w:rsidRDefault="00F84B26" w:rsidP="0028131C">
            <w:pPr>
              <w:shd w:val="clear" w:color="auto" w:fill="FFFFFF"/>
              <w:tabs>
                <w:tab w:val="left" w:pos="1003"/>
              </w:tabs>
              <w:ind w:left="288" w:hanging="288"/>
              <w:rPr>
                <w:rFonts w:ascii="Calibri" w:eastAsia="Calibri" w:hAnsi="Calibri" w:cs="Calibri"/>
                <w:sz w:val="16"/>
                <w:szCs w:val="16"/>
                <w:lang w:val="en-US" w:eastAsia="en-US"/>
              </w:rPr>
            </w:pPr>
            <w:r w:rsidRPr="004B3382">
              <w:rPr>
                <w:rFonts w:ascii="Calibri" w:eastAsia="Calibri" w:hAnsi="Calibri" w:cs="Calibri"/>
                <w:sz w:val="16"/>
                <w:szCs w:val="16"/>
                <w:lang w:val="en-US" w:eastAsia="en-US"/>
              </w:rPr>
              <w:t>D1: "Randomly assigned (1:1) externally generated sequence, which was hidden from the clinicians.</w:t>
            </w:r>
          </w:p>
          <w:p w14:paraId="4E1B8D6D" w14:textId="77777777" w:rsidR="00F84B26" w:rsidRPr="004B3382" w:rsidRDefault="00F84B26" w:rsidP="0028131C">
            <w:pPr>
              <w:shd w:val="clear" w:color="auto" w:fill="FFFFFF"/>
              <w:tabs>
                <w:tab w:val="left" w:pos="1003"/>
              </w:tabs>
              <w:ind w:left="288" w:hanging="288"/>
              <w:rPr>
                <w:rFonts w:ascii="Calibri" w:eastAsia="Calibri" w:hAnsi="Calibri" w:cs="Calibri"/>
                <w:sz w:val="16"/>
                <w:szCs w:val="16"/>
                <w:lang w:val="en-US" w:eastAsia="en-US"/>
              </w:rPr>
            </w:pPr>
            <w:r w:rsidRPr="004B3382">
              <w:rPr>
                <w:rFonts w:ascii="Calibri" w:eastAsia="Calibri" w:hAnsi="Calibri" w:cs="Calibri"/>
                <w:sz w:val="16"/>
                <w:szCs w:val="16"/>
                <w:lang w:val="en-US" w:eastAsia="en-US"/>
              </w:rPr>
              <w:t>D2: Analysis was not strictly ITT; 9 patients were excluded post-randomization. "Seventy-one patients completed the study" (out of 80 randomized)</w:t>
            </w:r>
            <w:r w:rsidRPr="004B3382">
              <w:rPr>
                <w:rFonts w:ascii="Calibri" w:eastAsia="Calibri" w:hAnsi="Calibri" w:cs="Calibri"/>
                <w:sz w:val="16"/>
                <w:szCs w:val="16"/>
                <w:vertAlign w:val="superscript"/>
                <w:lang w:val="en-US" w:eastAsia="en-US"/>
              </w:rPr>
              <w:t>2</w:t>
            </w:r>
            <w:r w:rsidRPr="004B3382">
              <w:rPr>
                <w:rFonts w:ascii="Calibri" w:eastAsia="Calibri" w:hAnsi="Calibri" w:cs="Calibri"/>
                <w:sz w:val="16"/>
                <w:szCs w:val="16"/>
                <w:lang w:val="en-US" w:eastAsia="en-US"/>
              </w:rPr>
              <w:t>.</w:t>
            </w:r>
          </w:p>
          <w:p w14:paraId="120D6C43" w14:textId="77777777" w:rsidR="00F84B26" w:rsidRPr="004B3382" w:rsidRDefault="00F84B26" w:rsidP="0028131C">
            <w:pPr>
              <w:shd w:val="clear" w:color="auto" w:fill="FFFFFF"/>
              <w:tabs>
                <w:tab w:val="left" w:pos="1003"/>
              </w:tabs>
              <w:ind w:left="288" w:hanging="288"/>
              <w:rPr>
                <w:rFonts w:ascii="Calibri" w:eastAsia="Calibri" w:hAnsi="Calibri" w:cs="Calibri"/>
                <w:sz w:val="16"/>
                <w:szCs w:val="16"/>
                <w:lang w:val="en-US" w:eastAsia="en-US"/>
              </w:rPr>
            </w:pPr>
            <w:r w:rsidRPr="004B3382">
              <w:rPr>
                <w:rFonts w:ascii="Calibri" w:eastAsia="Calibri" w:hAnsi="Calibri" w:cs="Calibri"/>
                <w:sz w:val="16"/>
                <w:szCs w:val="16"/>
                <w:lang w:val="en-US" w:eastAsia="en-US"/>
              </w:rPr>
              <w:t>D4: Lack of blinding influences subjective outcomes. "HaH model... with physicians and nurses going to the patient's home" (Open label).</w:t>
            </w:r>
          </w:p>
        </w:tc>
      </w:tr>
      <w:tr w:rsidR="00F84B26" w:rsidRPr="004B3382" w14:paraId="2C80FD5A" w14:textId="77777777" w:rsidTr="0028131C">
        <w:trPr>
          <w:trHeight w:val="519"/>
        </w:trPr>
        <w:tc>
          <w:tcPr>
            <w:tcW w:w="923" w:type="dxa"/>
            <w:shd w:val="clear" w:color="auto" w:fill="FFFFFF"/>
            <w:tcMar>
              <w:top w:w="48" w:type="dxa"/>
              <w:left w:w="72" w:type="dxa"/>
              <w:bottom w:w="48" w:type="dxa"/>
              <w:right w:w="72" w:type="dxa"/>
            </w:tcMar>
            <w:hideMark/>
          </w:tcPr>
          <w:p w14:paraId="7DC52172" w14:textId="77777777" w:rsidR="00F84B26" w:rsidRPr="004B3382" w:rsidRDefault="00F84B26" w:rsidP="0028131C">
            <w:pPr>
              <w:shd w:val="clear" w:color="auto" w:fill="FFFFFF"/>
              <w:rPr>
                <w:rFonts w:ascii="Calibri" w:eastAsia="Calibri" w:hAnsi="Calibri" w:cs="Calibri"/>
                <w:sz w:val="16"/>
                <w:szCs w:val="16"/>
                <w:lang w:eastAsia="en-US"/>
              </w:rPr>
            </w:pPr>
            <w:r w:rsidRPr="00BA7339">
              <w:rPr>
                <w:rFonts w:ascii="Calibri" w:eastAsia="Calibri" w:hAnsi="Calibri" w:cs="Calibri"/>
                <w:sz w:val="16"/>
                <w:szCs w:val="16"/>
                <w:lang w:eastAsia="en-US"/>
              </w:rPr>
              <w:t>Tibaldi et al., 2009</w:t>
            </w:r>
          </w:p>
        </w:tc>
        <w:tc>
          <w:tcPr>
            <w:tcW w:w="1150" w:type="dxa"/>
            <w:shd w:val="clear" w:color="auto" w:fill="FFFFFF"/>
            <w:tcMar>
              <w:top w:w="48" w:type="dxa"/>
              <w:left w:w="72" w:type="dxa"/>
              <w:bottom w:w="48" w:type="dxa"/>
              <w:right w:w="72" w:type="dxa"/>
            </w:tcMar>
            <w:hideMark/>
          </w:tcPr>
          <w:p w14:paraId="0EA10967"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Low</w:t>
            </w:r>
          </w:p>
        </w:tc>
        <w:tc>
          <w:tcPr>
            <w:tcW w:w="976" w:type="dxa"/>
            <w:shd w:val="clear" w:color="auto" w:fill="FFFFFF"/>
            <w:tcMar>
              <w:top w:w="48" w:type="dxa"/>
              <w:left w:w="72" w:type="dxa"/>
              <w:bottom w:w="48" w:type="dxa"/>
              <w:right w:w="72" w:type="dxa"/>
            </w:tcMar>
            <w:hideMark/>
          </w:tcPr>
          <w:p w14:paraId="52F278FA"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Low</w:t>
            </w:r>
          </w:p>
        </w:tc>
        <w:tc>
          <w:tcPr>
            <w:tcW w:w="1134" w:type="dxa"/>
            <w:shd w:val="clear" w:color="auto" w:fill="FFFFFF"/>
            <w:tcMar>
              <w:top w:w="48" w:type="dxa"/>
              <w:left w:w="72" w:type="dxa"/>
              <w:bottom w:w="48" w:type="dxa"/>
              <w:right w:w="72" w:type="dxa"/>
            </w:tcMar>
            <w:hideMark/>
          </w:tcPr>
          <w:p w14:paraId="3B17F061"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Low</w:t>
            </w:r>
          </w:p>
        </w:tc>
        <w:tc>
          <w:tcPr>
            <w:tcW w:w="1134" w:type="dxa"/>
            <w:shd w:val="clear" w:color="auto" w:fill="FFFFFF"/>
            <w:tcMar>
              <w:top w:w="48" w:type="dxa"/>
              <w:left w:w="72" w:type="dxa"/>
              <w:bottom w:w="48" w:type="dxa"/>
              <w:right w:w="72" w:type="dxa"/>
            </w:tcMar>
            <w:hideMark/>
          </w:tcPr>
          <w:p w14:paraId="206D7FC0" w14:textId="77777777" w:rsidR="00F84B26" w:rsidRPr="004B3382" w:rsidRDefault="00F84B26" w:rsidP="0028131C">
            <w:pPr>
              <w:shd w:val="clear" w:color="auto" w:fill="FFFFFF"/>
              <w:tabs>
                <w:tab w:val="left" w:pos="1003"/>
              </w:tabs>
              <w:ind w:left="10" w:hanging="10"/>
              <w:jc w:val="center"/>
              <w:rPr>
                <w:rFonts w:ascii="Calibri" w:eastAsia="Calibri" w:hAnsi="Calibri" w:cs="Calibri"/>
                <w:sz w:val="16"/>
                <w:szCs w:val="16"/>
                <w:lang w:eastAsia="en-US"/>
              </w:rPr>
            </w:pPr>
            <w:r w:rsidRPr="004B3382">
              <w:rPr>
                <w:rFonts w:ascii="Calibri" w:eastAsia="Calibri" w:hAnsi="Calibri" w:cs="Calibri"/>
                <w:sz w:val="16"/>
                <w:szCs w:val="16"/>
                <w:lang w:eastAsia="en-US"/>
              </w:rPr>
              <w:t>High</w:t>
            </w:r>
          </w:p>
        </w:tc>
        <w:tc>
          <w:tcPr>
            <w:tcW w:w="1276" w:type="dxa"/>
            <w:shd w:val="clear" w:color="auto" w:fill="FFFFFF"/>
            <w:tcMar>
              <w:top w:w="48" w:type="dxa"/>
              <w:left w:w="72" w:type="dxa"/>
              <w:bottom w:w="48" w:type="dxa"/>
              <w:right w:w="72" w:type="dxa"/>
            </w:tcMar>
            <w:hideMark/>
          </w:tcPr>
          <w:p w14:paraId="23CA994E"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Low</w:t>
            </w:r>
          </w:p>
        </w:tc>
        <w:tc>
          <w:tcPr>
            <w:tcW w:w="850" w:type="dxa"/>
            <w:shd w:val="clear" w:color="auto" w:fill="FFFFFF"/>
            <w:tcMar>
              <w:top w:w="48" w:type="dxa"/>
              <w:left w:w="72" w:type="dxa"/>
              <w:bottom w:w="48" w:type="dxa"/>
              <w:right w:w="72" w:type="dxa"/>
            </w:tcMar>
            <w:hideMark/>
          </w:tcPr>
          <w:p w14:paraId="2E6813CA" w14:textId="77777777" w:rsidR="00F84B26" w:rsidRPr="004B3382" w:rsidRDefault="00F84B26" w:rsidP="0028131C">
            <w:pPr>
              <w:shd w:val="clear" w:color="auto" w:fill="FFFFFF"/>
              <w:tabs>
                <w:tab w:val="left" w:pos="1003"/>
              </w:tabs>
              <w:jc w:val="center"/>
              <w:rPr>
                <w:rFonts w:ascii="Calibri" w:eastAsia="Calibri" w:hAnsi="Calibri" w:cs="Calibri"/>
                <w:sz w:val="16"/>
                <w:szCs w:val="16"/>
                <w:lang w:eastAsia="en-US"/>
              </w:rPr>
            </w:pPr>
            <w:r w:rsidRPr="004B3382">
              <w:rPr>
                <w:rFonts w:ascii="Calibri" w:eastAsia="Calibri" w:hAnsi="Calibri" w:cs="Calibri"/>
                <w:sz w:val="16"/>
                <w:szCs w:val="16"/>
                <w:lang w:eastAsia="en-US"/>
              </w:rPr>
              <w:t>High</w:t>
            </w:r>
          </w:p>
        </w:tc>
        <w:tc>
          <w:tcPr>
            <w:tcW w:w="8053" w:type="dxa"/>
            <w:shd w:val="clear" w:color="auto" w:fill="FFFFFF"/>
            <w:tcMar>
              <w:top w:w="48" w:type="dxa"/>
              <w:left w:w="72" w:type="dxa"/>
              <w:bottom w:w="48" w:type="dxa"/>
              <w:right w:w="72" w:type="dxa"/>
            </w:tcMar>
            <w:hideMark/>
          </w:tcPr>
          <w:p w14:paraId="69CBE6AD" w14:textId="77777777" w:rsidR="00F84B26" w:rsidRPr="004B3382" w:rsidRDefault="00F84B26" w:rsidP="0028131C">
            <w:pPr>
              <w:shd w:val="clear" w:color="auto" w:fill="FFFFFF"/>
              <w:tabs>
                <w:tab w:val="left" w:pos="1003"/>
              </w:tabs>
              <w:ind w:left="288" w:hanging="288"/>
              <w:rPr>
                <w:rFonts w:ascii="Calibri" w:eastAsia="Calibri" w:hAnsi="Calibri" w:cs="Calibri"/>
                <w:sz w:val="16"/>
                <w:szCs w:val="16"/>
                <w:lang w:val="en-US" w:eastAsia="en-US"/>
              </w:rPr>
            </w:pPr>
            <w:r w:rsidRPr="004B3382">
              <w:rPr>
                <w:rFonts w:ascii="Calibri" w:eastAsia="Calibri" w:hAnsi="Calibri" w:cs="Calibri"/>
                <w:sz w:val="16"/>
                <w:szCs w:val="16"/>
                <w:lang w:val="en-US" w:eastAsia="en-US"/>
              </w:rPr>
              <w:t>D1: "Computer-generated random numbers... sealed envelopes"</w:t>
            </w:r>
          </w:p>
          <w:p w14:paraId="4E5D60D3" w14:textId="77777777" w:rsidR="00F84B26" w:rsidRPr="004B3382" w:rsidRDefault="00F84B26" w:rsidP="0028131C">
            <w:pPr>
              <w:shd w:val="clear" w:color="auto" w:fill="FFFFFF"/>
              <w:tabs>
                <w:tab w:val="left" w:pos="1003"/>
              </w:tabs>
              <w:ind w:left="288" w:hanging="288"/>
              <w:rPr>
                <w:rFonts w:ascii="Calibri" w:eastAsia="Calibri" w:hAnsi="Calibri" w:cs="Calibri"/>
                <w:sz w:val="16"/>
                <w:szCs w:val="16"/>
                <w:lang w:val="en-US" w:eastAsia="en-US"/>
              </w:rPr>
            </w:pPr>
            <w:r w:rsidRPr="004B3382">
              <w:rPr>
                <w:rFonts w:ascii="Calibri" w:eastAsia="Calibri" w:hAnsi="Calibri" w:cs="Calibri"/>
                <w:sz w:val="16"/>
                <w:szCs w:val="16"/>
                <w:lang w:val="en-US" w:eastAsia="en-US"/>
              </w:rPr>
              <w:t>D2: "Analyzed on an intent-to-treat basis"</w:t>
            </w:r>
            <w:r w:rsidRPr="004B3382">
              <w:rPr>
                <w:rFonts w:ascii="Calibri" w:eastAsia="Calibri" w:hAnsi="Calibri" w:cs="Calibri"/>
                <w:sz w:val="16"/>
                <w:szCs w:val="16"/>
                <w:vertAlign w:val="superscript"/>
                <w:lang w:val="en-US" w:eastAsia="en-US"/>
              </w:rPr>
              <w:t>8</w:t>
            </w:r>
            <w:r w:rsidRPr="004B3382">
              <w:rPr>
                <w:rFonts w:ascii="Calibri" w:eastAsia="Calibri" w:hAnsi="Calibri" w:cs="Calibri"/>
                <w:sz w:val="16"/>
                <w:szCs w:val="16"/>
                <w:lang w:val="en-US" w:eastAsia="en-US"/>
              </w:rPr>
              <w:t>.</w:t>
            </w:r>
          </w:p>
          <w:p w14:paraId="6F5860A8" w14:textId="77777777" w:rsidR="00F84B26" w:rsidRPr="004B3382" w:rsidRDefault="00F84B26" w:rsidP="0028131C">
            <w:pPr>
              <w:shd w:val="clear" w:color="auto" w:fill="FFFFFF"/>
              <w:tabs>
                <w:tab w:val="left" w:pos="1003"/>
              </w:tabs>
              <w:ind w:left="288" w:hanging="288"/>
              <w:rPr>
                <w:rFonts w:ascii="Calibri" w:eastAsia="Calibri" w:hAnsi="Calibri" w:cs="Calibri"/>
                <w:sz w:val="16"/>
                <w:szCs w:val="16"/>
                <w:lang w:val="en-US" w:eastAsia="en-US"/>
              </w:rPr>
            </w:pPr>
            <w:r w:rsidRPr="004B3382">
              <w:rPr>
                <w:rFonts w:ascii="Calibri" w:eastAsia="Calibri" w:hAnsi="Calibri" w:cs="Calibri"/>
                <w:sz w:val="16"/>
                <w:szCs w:val="16"/>
                <w:lang w:val="en-US" w:eastAsia="en-US"/>
              </w:rPr>
              <w:t xml:space="preserve">D4: Outcome assessors for baseline were blinded, but follow-up was home-based/unblinded. "Complete 6-month follow-up... by visiting them". High risk for subjective outcomes (QoL, depression), </w:t>
            </w:r>
            <w:r>
              <w:rPr>
                <w:rFonts w:ascii="Calibri" w:eastAsia="Calibri" w:hAnsi="Calibri" w:cs="Calibri"/>
                <w:sz w:val="16"/>
                <w:szCs w:val="16"/>
                <w:lang w:val="en-US" w:eastAsia="en-US"/>
              </w:rPr>
              <w:t>l</w:t>
            </w:r>
            <w:r w:rsidRPr="004B3382">
              <w:rPr>
                <w:rFonts w:ascii="Calibri" w:eastAsia="Calibri" w:hAnsi="Calibri" w:cs="Calibri"/>
                <w:sz w:val="16"/>
                <w:szCs w:val="16"/>
                <w:lang w:val="en-US" w:eastAsia="en-US"/>
              </w:rPr>
              <w:t xml:space="preserve">ow for </w:t>
            </w:r>
            <w:r>
              <w:rPr>
                <w:rFonts w:ascii="Calibri" w:eastAsia="Calibri" w:hAnsi="Calibri" w:cs="Calibri"/>
                <w:sz w:val="16"/>
                <w:szCs w:val="16"/>
                <w:lang w:val="en-US" w:eastAsia="en-US"/>
              </w:rPr>
              <w:t>m</w:t>
            </w:r>
            <w:r w:rsidRPr="004B3382">
              <w:rPr>
                <w:rFonts w:ascii="Calibri" w:eastAsia="Calibri" w:hAnsi="Calibri" w:cs="Calibri"/>
                <w:sz w:val="16"/>
                <w:szCs w:val="16"/>
                <w:lang w:val="en-US" w:eastAsia="en-US"/>
              </w:rPr>
              <w:t>ortality.</w:t>
            </w:r>
          </w:p>
        </w:tc>
      </w:tr>
    </w:tbl>
    <w:p w14:paraId="6B8423F5" w14:textId="77777777" w:rsidR="00F84B26" w:rsidRPr="00BA7339" w:rsidRDefault="00F84B26" w:rsidP="00F84B26">
      <w:pPr>
        <w:spacing w:after="120"/>
        <w:outlineLvl w:val="2"/>
        <w:rPr>
          <w:rFonts w:ascii="Calibri" w:hAnsi="Calibri" w:cs="Calibri"/>
          <w:b/>
          <w:bCs/>
          <w:color w:val="0070C0"/>
          <w:sz w:val="20"/>
          <w:szCs w:val="20"/>
          <w:lang w:val="en-US" w:eastAsia="es-ES"/>
        </w:rPr>
      </w:pPr>
      <w:r w:rsidRPr="00BA7339">
        <w:rPr>
          <w:rFonts w:ascii="Calibri" w:hAnsi="Calibri" w:cs="Calibri"/>
          <w:b/>
          <w:bCs/>
          <w:color w:val="0070C0"/>
          <w:sz w:val="20"/>
          <w:szCs w:val="20"/>
          <w:lang w:val="en-US"/>
        </w:rPr>
        <w:t xml:space="preserve">Non-randomized controlled trials </w:t>
      </w:r>
      <w:r w:rsidRPr="00BA7339">
        <w:rPr>
          <w:rFonts w:ascii="Calibri" w:hAnsi="Calibri" w:cs="Calibri"/>
          <w:b/>
          <w:bCs/>
          <w:color w:val="0070C0"/>
          <w:sz w:val="20"/>
          <w:szCs w:val="20"/>
          <w:lang w:val="en-US" w:eastAsia="es-ES"/>
        </w:rPr>
        <w:t>assessed with the ROBINS-I (Risk Of Bias In Non-randomized Studies - of Interventions) tool</w:t>
      </w:r>
    </w:p>
    <w:tbl>
      <w:tblPr>
        <w:tblW w:w="1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5"/>
        <w:gridCol w:w="926"/>
        <w:gridCol w:w="776"/>
        <w:gridCol w:w="947"/>
        <w:gridCol w:w="780"/>
        <w:gridCol w:w="966"/>
        <w:gridCol w:w="1013"/>
        <w:gridCol w:w="830"/>
        <w:gridCol w:w="849"/>
        <w:gridCol w:w="7162"/>
      </w:tblGrid>
      <w:tr w:rsidR="00F84B26" w:rsidRPr="00CB11A3" w14:paraId="5755C4AE" w14:textId="77777777" w:rsidTr="0028131C">
        <w:tc>
          <w:tcPr>
            <w:tcW w:w="745" w:type="dxa"/>
            <w:shd w:val="clear" w:color="auto" w:fill="D9E2F3"/>
            <w:tcMar>
              <w:top w:w="24" w:type="dxa"/>
              <w:left w:w="37" w:type="dxa"/>
              <w:bottom w:w="24" w:type="dxa"/>
              <w:right w:w="37" w:type="dxa"/>
            </w:tcMar>
            <w:hideMark/>
          </w:tcPr>
          <w:p w14:paraId="47646C08" w14:textId="77777777" w:rsidR="00F84B26" w:rsidRPr="00CB11A3" w:rsidRDefault="00F84B26" w:rsidP="0028131C">
            <w:pPr>
              <w:rPr>
                <w:rFonts w:ascii="Calibri" w:hAnsi="Calibri" w:cs="Calibri"/>
                <w:color w:val="1F1F1F"/>
                <w:sz w:val="16"/>
                <w:szCs w:val="16"/>
                <w:lang w:eastAsia="es-ES"/>
              </w:rPr>
            </w:pPr>
            <w:r w:rsidRPr="00CB11A3">
              <w:rPr>
                <w:rFonts w:ascii="Calibri" w:hAnsi="Calibri" w:cs="Calibri"/>
                <w:b/>
                <w:bCs/>
                <w:color w:val="1F1F1F"/>
                <w:sz w:val="16"/>
                <w:szCs w:val="16"/>
                <w:lang w:eastAsia="es-ES"/>
              </w:rPr>
              <w:t>Study ID</w:t>
            </w:r>
          </w:p>
        </w:tc>
        <w:tc>
          <w:tcPr>
            <w:tcW w:w="926" w:type="dxa"/>
            <w:shd w:val="clear" w:color="auto" w:fill="D9E2F3"/>
            <w:tcMar>
              <w:top w:w="24" w:type="dxa"/>
              <w:left w:w="37" w:type="dxa"/>
              <w:bottom w:w="24" w:type="dxa"/>
              <w:right w:w="37" w:type="dxa"/>
            </w:tcMar>
            <w:hideMark/>
          </w:tcPr>
          <w:p w14:paraId="72915CD3" w14:textId="77777777" w:rsidR="00F84B26" w:rsidRPr="00CB11A3" w:rsidRDefault="00F84B26" w:rsidP="0028131C">
            <w:pPr>
              <w:jc w:val="center"/>
              <w:rPr>
                <w:rFonts w:ascii="Calibri" w:hAnsi="Calibri" w:cs="Calibri"/>
                <w:b/>
                <w:bCs/>
                <w:color w:val="1F1F1F"/>
                <w:sz w:val="16"/>
                <w:szCs w:val="16"/>
                <w:lang w:eastAsia="es-ES"/>
              </w:rPr>
            </w:pPr>
            <w:r w:rsidRPr="00CB11A3">
              <w:rPr>
                <w:rFonts w:ascii="Calibri" w:hAnsi="Calibri" w:cs="Calibri"/>
                <w:b/>
                <w:bCs/>
                <w:color w:val="1F1F1F"/>
                <w:sz w:val="16"/>
                <w:szCs w:val="16"/>
                <w:lang w:eastAsia="es-ES"/>
              </w:rPr>
              <w:t>D1:</w:t>
            </w:r>
          </w:p>
          <w:p w14:paraId="4DA2F666"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b/>
                <w:bCs/>
                <w:color w:val="1F1F1F"/>
                <w:sz w:val="16"/>
                <w:szCs w:val="16"/>
                <w:lang w:eastAsia="es-ES"/>
              </w:rPr>
              <w:t>Confounding</w:t>
            </w:r>
          </w:p>
        </w:tc>
        <w:tc>
          <w:tcPr>
            <w:tcW w:w="776" w:type="dxa"/>
            <w:shd w:val="clear" w:color="auto" w:fill="D9E2F3"/>
            <w:tcMar>
              <w:top w:w="24" w:type="dxa"/>
              <w:left w:w="37" w:type="dxa"/>
              <w:bottom w:w="24" w:type="dxa"/>
              <w:right w:w="37" w:type="dxa"/>
            </w:tcMar>
            <w:hideMark/>
          </w:tcPr>
          <w:p w14:paraId="7FD388AF" w14:textId="77777777" w:rsidR="00F84B26" w:rsidRPr="00CB11A3" w:rsidRDefault="00F84B26" w:rsidP="0028131C">
            <w:pPr>
              <w:jc w:val="center"/>
              <w:rPr>
                <w:rFonts w:ascii="Calibri" w:hAnsi="Calibri" w:cs="Calibri"/>
                <w:b/>
                <w:bCs/>
                <w:color w:val="1F1F1F"/>
                <w:sz w:val="16"/>
                <w:szCs w:val="16"/>
                <w:lang w:eastAsia="es-ES"/>
              </w:rPr>
            </w:pPr>
            <w:r w:rsidRPr="00CB11A3">
              <w:rPr>
                <w:rFonts w:ascii="Calibri" w:hAnsi="Calibri" w:cs="Calibri"/>
                <w:b/>
                <w:bCs/>
                <w:color w:val="1F1F1F"/>
                <w:sz w:val="16"/>
                <w:szCs w:val="16"/>
                <w:lang w:eastAsia="es-ES"/>
              </w:rPr>
              <w:t>D2:</w:t>
            </w:r>
          </w:p>
          <w:p w14:paraId="712F9569"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b/>
                <w:bCs/>
                <w:color w:val="1F1F1F"/>
                <w:sz w:val="16"/>
                <w:szCs w:val="16"/>
                <w:lang w:eastAsia="es-ES"/>
              </w:rPr>
              <w:t>Selection</w:t>
            </w:r>
          </w:p>
        </w:tc>
        <w:tc>
          <w:tcPr>
            <w:tcW w:w="947" w:type="dxa"/>
            <w:shd w:val="clear" w:color="auto" w:fill="D9E2F3"/>
            <w:tcMar>
              <w:top w:w="24" w:type="dxa"/>
              <w:left w:w="37" w:type="dxa"/>
              <w:bottom w:w="24" w:type="dxa"/>
              <w:right w:w="37" w:type="dxa"/>
            </w:tcMar>
            <w:hideMark/>
          </w:tcPr>
          <w:p w14:paraId="4983D674"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b/>
                <w:bCs/>
                <w:color w:val="1F1F1F"/>
                <w:sz w:val="16"/>
                <w:szCs w:val="16"/>
                <w:lang w:eastAsia="es-ES"/>
              </w:rPr>
              <w:t>D3: Classification</w:t>
            </w:r>
          </w:p>
        </w:tc>
        <w:tc>
          <w:tcPr>
            <w:tcW w:w="780" w:type="dxa"/>
            <w:shd w:val="clear" w:color="auto" w:fill="D9E2F3"/>
            <w:tcMar>
              <w:top w:w="24" w:type="dxa"/>
              <w:left w:w="37" w:type="dxa"/>
              <w:bottom w:w="24" w:type="dxa"/>
              <w:right w:w="37" w:type="dxa"/>
            </w:tcMar>
            <w:hideMark/>
          </w:tcPr>
          <w:p w14:paraId="61C6FCFA" w14:textId="77777777" w:rsidR="00F84B26" w:rsidRPr="00CB11A3" w:rsidRDefault="00F84B26" w:rsidP="0028131C">
            <w:pPr>
              <w:jc w:val="center"/>
              <w:rPr>
                <w:rFonts w:ascii="Calibri" w:hAnsi="Calibri" w:cs="Calibri"/>
                <w:b/>
                <w:bCs/>
                <w:color w:val="1F1F1F"/>
                <w:sz w:val="16"/>
                <w:szCs w:val="16"/>
                <w:lang w:eastAsia="es-ES"/>
              </w:rPr>
            </w:pPr>
            <w:r w:rsidRPr="00CB11A3">
              <w:rPr>
                <w:rFonts w:ascii="Calibri" w:hAnsi="Calibri" w:cs="Calibri"/>
                <w:b/>
                <w:bCs/>
                <w:color w:val="1F1F1F"/>
                <w:sz w:val="16"/>
                <w:szCs w:val="16"/>
                <w:lang w:eastAsia="es-ES"/>
              </w:rPr>
              <w:t>D4:</w:t>
            </w:r>
          </w:p>
          <w:p w14:paraId="29E3DEAF"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b/>
                <w:bCs/>
                <w:color w:val="1F1F1F"/>
                <w:sz w:val="16"/>
                <w:szCs w:val="16"/>
                <w:lang w:eastAsia="es-ES"/>
              </w:rPr>
              <w:t>Deviations</w:t>
            </w:r>
          </w:p>
        </w:tc>
        <w:tc>
          <w:tcPr>
            <w:tcW w:w="966" w:type="dxa"/>
            <w:shd w:val="clear" w:color="auto" w:fill="D9E2F3"/>
            <w:tcMar>
              <w:top w:w="24" w:type="dxa"/>
              <w:left w:w="37" w:type="dxa"/>
              <w:bottom w:w="24" w:type="dxa"/>
              <w:right w:w="37" w:type="dxa"/>
            </w:tcMar>
            <w:hideMark/>
          </w:tcPr>
          <w:p w14:paraId="25E2AD94" w14:textId="77777777" w:rsidR="00F84B26" w:rsidRPr="00CB11A3" w:rsidRDefault="00F84B26" w:rsidP="0028131C">
            <w:pPr>
              <w:jc w:val="center"/>
              <w:rPr>
                <w:rFonts w:ascii="Calibri" w:hAnsi="Calibri" w:cs="Calibri"/>
                <w:b/>
                <w:bCs/>
                <w:color w:val="1F1F1F"/>
                <w:sz w:val="16"/>
                <w:szCs w:val="16"/>
                <w:lang w:eastAsia="es-ES"/>
              </w:rPr>
            </w:pPr>
            <w:r w:rsidRPr="00CB11A3">
              <w:rPr>
                <w:rFonts w:ascii="Calibri" w:hAnsi="Calibri" w:cs="Calibri"/>
                <w:b/>
                <w:bCs/>
                <w:color w:val="1F1F1F"/>
                <w:sz w:val="16"/>
                <w:szCs w:val="16"/>
                <w:lang w:eastAsia="es-ES"/>
              </w:rPr>
              <w:t>D5:</w:t>
            </w:r>
          </w:p>
          <w:p w14:paraId="0429BD9E"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b/>
                <w:bCs/>
                <w:color w:val="1F1F1F"/>
                <w:sz w:val="16"/>
                <w:szCs w:val="16"/>
                <w:lang w:eastAsia="es-ES"/>
              </w:rPr>
              <w:t>Missing data</w:t>
            </w:r>
          </w:p>
        </w:tc>
        <w:tc>
          <w:tcPr>
            <w:tcW w:w="1013" w:type="dxa"/>
            <w:shd w:val="clear" w:color="auto" w:fill="D9E2F3"/>
            <w:tcMar>
              <w:top w:w="24" w:type="dxa"/>
              <w:left w:w="37" w:type="dxa"/>
              <w:bottom w:w="24" w:type="dxa"/>
              <w:right w:w="37" w:type="dxa"/>
            </w:tcMar>
            <w:hideMark/>
          </w:tcPr>
          <w:p w14:paraId="505C0860" w14:textId="77777777" w:rsidR="00F84B26" w:rsidRPr="00CB11A3" w:rsidRDefault="00F84B26" w:rsidP="0028131C">
            <w:pPr>
              <w:jc w:val="center"/>
              <w:rPr>
                <w:rFonts w:ascii="Calibri" w:hAnsi="Calibri" w:cs="Calibri"/>
                <w:b/>
                <w:bCs/>
                <w:color w:val="1F1F1F"/>
                <w:sz w:val="16"/>
                <w:szCs w:val="16"/>
                <w:lang w:eastAsia="es-ES"/>
              </w:rPr>
            </w:pPr>
            <w:r w:rsidRPr="00CB11A3">
              <w:rPr>
                <w:rFonts w:ascii="Calibri" w:hAnsi="Calibri" w:cs="Calibri"/>
                <w:b/>
                <w:bCs/>
                <w:color w:val="1F1F1F"/>
                <w:sz w:val="16"/>
                <w:szCs w:val="16"/>
                <w:lang w:eastAsia="es-ES"/>
              </w:rPr>
              <w:t>D6:</w:t>
            </w:r>
          </w:p>
          <w:p w14:paraId="75BA2AA1"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b/>
                <w:bCs/>
                <w:color w:val="1F1F1F"/>
                <w:sz w:val="16"/>
                <w:szCs w:val="16"/>
                <w:lang w:eastAsia="es-ES"/>
              </w:rPr>
              <w:t>Measurement</w:t>
            </w:r>
          </w:p>
        </w:tc>
        <w:tc>
          <w:tcPr>
            <w:tcW w:w="830" w:type="dxa"/>
            <w:shd w:val="clear" w:color="auto" w:fill="D9E2F3"/>
            <w:tcMar>
              <w:top w:w="24" w:type="dxa"/>
              <w:left w:w="37" w:type="dxa"/>
              <w:bottom w:w="24" w:type="dxa"/>
              <w:right w:w="37" w:type="dxa"/>
            </w:tcMar>
            <w:hideMark/>
          </w:tcPr>
          <w:p w14:paraId="020267F1" w14:textId="77777777" w:rsidR="00F84B26" w:rsidRPr="00CB11A3" w:rsidRDefault="00F84B26" w:rsidP="0028131C">
            <w:pPr>
              <w:jc w:val="center"/>
              <w:rPr>
                <w:rFonts w:ascii="Calibri" w:hAnsi="Calibri" w:cs="Calibri"/>
                <w:b/>
                <w:bCs/>
                <w:color w:val="1F1F1F"/>
                <w:sz w:val="16"/>
                <w:szCs w:val="16"/>
                <w:lang w:eastAsia="es-ES"/>
              </w:rPr>
            </w:pPr>
            <w:r w:rsidRPr="00CB11A3">
              <w:rPr>
                <w:rFonts w:ascii="Calibri" w:hAnsi="Calibri" w:cs="Calibri"/>
                <w:b/>
                <w:bCs/>
                <w:color w:val="1F1F1F"/>
                <w:sz w:val="16"/>
                <w:szCs w:val="16"/>
                <w:lang w:eastAsia="es-ES"/>
              </w:rPr>
              <w:t>D7:</w:t>
            </w:r>
          </w:p>
          <w:p w14:paraId="315A28FF"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b/>
                <w:bCs/>
                <w:color w:val="1F1F1F"/>
                <w:sz w:val="16"/>
                <w:szCs w:val="16"/>
                <w:lang w:eastAsia="es-ES"/>
              </w:rPr>
              <w:t>Reporting</w:t>
            </w:r>
          </w:p>
        </w:tc>
        <w:tc>
          <w:tcPr>
            <w:tcW w:w="849" w:type="dxa"/>
            <w:shd w:val="clear" w:color="auto" w:fill="D9E2F3"/>
            <w:tcMar>
              <w:top w:w="24" w:type="dxa"/>
              <w:left w:w="37" w:type="dxa"/>
              <w:bottom w:w="24" w:type="dxa"/>
              <w:right w:w="37" w:type="dxa"/>
            </w:tcMar>
            <w:hideMark/>
          </w:tcPr>
          <w:p w14:paraId="6AE38B10"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b/>
                <w:bCs/>
                <w:color w:val="1F1F1F"/>
                <w:sz w:val="16"/>
                <w:szCs w:val="16"/>
                <w:lang w:eastAsia="es-ES"/>
              </w:rPr>
              <w:t>Overall risk of bias</w:t>
            </w:r>
          </w:p>
        </w:tc>
        <w:tc>
          <w:tcPr>
            <w:tcW w:w="7162" w:type="dxa"/>
            <w:shd w:val="clear" w:color="auto" w:fill="D9E2F3"/>
            <w:tcMar>
              <w:top w:w="24" w:type="dxa"/>
              <w:left w:w="37" w:type="dxa"/>
              <w:bottom w:w="24" w:type="dxa"/>
              <w:right w:w="37" w:type="dxa"/>
            </w:tcMar>
            <w:hideMark/>
          </w:tcPr>
          <w:p w14:paraId="365AE025"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b/>
                <w:bCs/>
                <w:color w:val="1F1F1F"/>
                <w:sz w:val="16"/>
                <w:szCs w:val="16"/>
                <w:lang w:eastAsia="es-ES"/>
              </w:rPr>
              <w:t>Support/Evidence (Direct Quotes)</w:t>
            </w:r>
          </w:p>
        </w:tc>
      </w:tr>
      <w:tr w:rsidR="00F84B26" w:rsidRPr="005C6859" w14:paraId="51967670" w14:textId="77777777" w:rsidTr="0028131C">
        <w:trPr>
          <w:trHeight w:val="193"/>
        </w:trPr>
        <w:tc>
          <w:tcPr>
            <w:tcW w:w="745" w:type="dxa"/>
            <w:shd w:val="clear" w:color="auto" w:fill="FFFFFF"/>
            <w:tcMar>
              <w:top w:w="24" w:type="dxa"/>
              <w:left w:w="37" w:type="dxa"/>
              <w:bottom w:w="24" w:type="dxa"/>
              <w:right w:w="37" w:type="dxa"/>
            </w:tcMar>
            <w:hideMark/>
          </w:tcPr>
          <w:p w14:paraId="10672DDE" w14:textId="77777777" w:rsidR="00F84B26" w:rsidRPr="005C6859" w:rsidRDefault="00F84B26" w:rsidP="0028131C">
            <w:pPr>
              <w:rPr>
                <w:rFonts w:ascii="Calibri" w:hAnsi="Calibri" w:cs="Calibri"/>
                <w:color w:val="1F1F1F"/>
                <w:sz w:val="16"/>
                <w:szCs w:val="16"/>
                <w:bdr w:val="none" w:sz="0" w:space="0" w:color="auto" w:frame="1"/>
                <w:lang w:eastAsia="es-ES"/>
              </w:rPr>
            </w:pPr>
            <w:r w:rsidRPr="005C6859">
              <w:rPr>
                <w:rFonts w:ascii="Calibri" w:hAnsi="Calibri" w:cs="Calibri"/>
                <w:color w:val="1F1F1F"/>
                <w:sz w:val="16"/>
                <w:szCs w:val="16"/>
                <w:bdr w:val="none" w:sz="0" w:space="0" w:color="auto" w:frame="1"/>
                <w:lang w:eastAsia="es-ES"/>
              </w:rPr>
              <w:t>Miró et al.</w:t>
            </w:r>
          </w:p>
          <w:p w14:paraId="61574B47" w14:textId="77777777" w:rsidR="00F84B26" w:rsidRPr="005C6859" w:rsidRDefault="00F84B26" w:rsidP="0028131C">
            <w:pPr>
              <w:rPr>
                <w:rFonts w:ascii="Calibri" w:hAnsi="Calibri" w:cs="Calibri"/>
                <w:color w:val="1F1F1F"/>
                <w:sz w:val="16"/>
                <w:szCs w:val="16"/>
                <w:lang w:eastAsia="es-ES"/>
              </w:rPr>
            </w:pPr>
            <w:r w:rsidRPr="005C6859">
              <w:rPr>
                <w:rFonts w:ascii="Calibri" w:hAnsi="Calibri" w:cs="Calibri"/>
                <w:color w:val="1F1F1F"/>
                <w:sz w:val="16"/>
                <w:szCs w:val="16"/>
                <w:bdr w:val="none" w:sz="0" w:space="0" w:color="auto" w:frame="1"/>
                <w:lang w:eastAsia="es-ES"/>
              </w:rPr>
              <w:t>2021</w:t>
            </w:r>
          </w:p>
        </w:tc>
        <w:tc>
          <w:tcPr>
            <w:tcW w:w="926" w:type="dxa"/>
            <w:shd w:val="clear" w:color="auto" w:fill="FFFFFF"/>
            <w:tcMar>
              <w:top w:w="24" w:type="dxa"/>
              <w:left w:w="37" w:type="dxa"/>
              <w:bottom w:w="24" w:type="dxa"/>
              <w:right w:w="37" w:type="dxa"/>
            </w:tcMar>
            <w:hideMark/>
          </w:tcPr>
          <w:p w14:paraId="6CEFD462" w14:textId="77777777" w:rsidR="00F84B26" w:rsidRPr="005C6859" w:rsidRDefault="00F84B26" w:rsidP="0028131C">
            <w:pPr>
              <w:jc w:val="center"/>
              <w:rPr>
                <w:rFonts w:ascii="Calibri" w:hAnsi="Calibri" w:cs="Calibri"/>
                <w:color w:val="1F1F1F"/>
                <w:sz w:val="16"/>
                <w:szCs w:val="16"/>
                <w:lang w:eastAsia="es-ES"/>
              </w:rPr>
            </w:pPr>
            <w:r w:rsidRPr="005C6859">
              <w:rPr>
                <w:rFonts w:ascii="Calibri" w:hAnsi="Calibri" w:cs="Calibri"/>
                <w:color w:val="1F1F1F"/>
                <w:sz w:val="16"/>
                <w:szCs w:val="16"/>
                <w:bdr w:val="none" w:sz="0" w:space="0" w:color="auto" w:frame="1"/>
                <w:lang w:eastAsia="es-ES"/>
              </w:rPr>
              <w:t>Moderate</w:t>
            </w:r>
          </w:p>
        </w:tc>
        <w:tc>
          <w:tcPr>
            <w:tcW w:w="776" w:type="dxa"/>
            <w:shd w:val="clear" w:color="auto" w:fill="FFFFFF"/>
            <w:tcMar>
              <w:top w:w="24" w:type="dxa"/>
              <w:left w:w="37" w:type="dxa"/>
              <w:bottom w:w="24" w:type="dxa"/>
              <w:right w:w="37" w:type="dxa"/>
            </w:tcMar>
            <w:hideMark/>
          </w:tcPr>
          <w:p w14:paraId="47B39B87" w14:textId="77777777" w:rsidR="00F84B26" w:rsidRPr="005C6859" w:rsidRDefault="00F84B26" w:rsidP="0028131C">
            <w:pPr>
              <w:jc w:val="center"/>
              <w:rPr>
                <w:rFonts w:ascii="Calibri" w:hAnsi="Calibri" w:cs="Calibri"/>
                <w:color w:val="1F1F1F"/>
                <w:sz w:val="16"/>
                <w:szCs w:val="16"/>
                <w:lang w:eastAsia="es-ES"/>
              </w:rPr>
            </w:pPr>
            <w:r w:rsidRPr="005C6859">
              <w:rPr>
                <w:rFonts w:ascii="Calibri" w:hAnsi="Calibri" w:cs="Calibri"/>
                <w:color w:val="1F1F1F"/>
                <w:sz w:val="16"/>
                <w:szCs w:val="16"/>
                <w:bdr w:val="none" w:sz="0" w:space="0" w:color="auto" w:frame="1"/>
                <w:lang w:eastAsia="es-ES"/>
              </w:rPr>
              <w:t>Moderate</w:t>
            </w:r>
          </w:p>
        </w:tc>
        <w:tc>
          <w:tcPr>
            <w:tcW w:w="947" w:type="dxa"/>
            <w:shd w:val="clear" w:color="auto" w:fill="FFFFFF"/>
            <w:tcMar>
              <w:top w:w="24" w:type="dxa"/>
              <w:left w:w="37" w:type="dxa"/>
              <w:bottom w:w="24" w:type="dxa"/>
              <w:right w:w="37" w:type="dxa"/>
            </w:tcMar>
            <w:hideMark/>
          </w:tcPr>
          <w:p w14:paraId="5062617C" w14:textId="77777777" w:rsidR="00F84B26" w:rsidRPr="005C6859" w:rsidRDefault="00F84B26" w:rsidP="0028131C">
            <w:pPr>
              <w:jc w:val="center"/>
              <w:rPr>
                <w:rFonts w:ascii="Calibri" w:hAnsi="Calibri" w:cs="Calibri"/>
                <w:color w:val="1F1F1F"/>
                <w:sz w:val="16"/>
                <w:szCs w:val="16"/>
                <w:lang w:eastAsia="es-ES"/>
              </w:rPr>
            </w:pPr>
            <w:r w:rsidRPr="005C6859">
              <w:rPr>
                <w:rFonts w:ascii="Calibri" w:hAnsi="Calibri" w:cs="Calibri"/>
                <w:color w:val="1F1F1F"/>
                <w:sz w:val="16"/>
                <w:szCs w:val="16"/>
                <w:bdr w:val="none" w:sz="0" w:space="0" w:color="auto" w:frame="1"/>
                <w:lang w:eastAsia="es-ES"/>
              </w:rPr>
              <w:t>Low</w:t>
            </w:r>
          </w:p>
        </w:tc>
        <w:tc>
          <w:tcPr>
            <w:tcW w:w="780" w:type="dxa"/>
            <w:shd w:val="clear" w:color="auto" w:fill="FFFFFF"/>
            <w:tcMar>
              <w:top w:w="24" w:type="dxa"/>
              <w:left w:w="37" w:type="dxa"/>
              <w:bottom w:w="24" w:type="dxa"/>
              <w:right w:w="37" w:type="dxa"/>
            </w:tcMar>
            <w:hideMark/>
          </w:tcPr>
          <w:p w14:paraId="6942AAE9" w14:textId="77777777" w:rsidR="00F84B26" w:rsidRPr="005C6859" w:rsidRDefault="00F84B26" w:rsidP="0028131C">
            <w:pPr>
              <w:jc w:val="center"/>
              <w:rPr>
                <w:rFonts w:ascii="Calibri" w:hAnsi="Calibri" w:cs="Calibri"/>
                <w:color w:val="1F1F1F"/>
                <w:sz w:val="16"/>
                <w:szCs w:val="16"/>
                <w:lang w:eastAsia="es-ES"/>
              </w:rPr>
            </w:pPr>
            <w:r w:rsidRPr="005C6859">
              <w:rPr>
                <w:rFonts w:ascii="Calibri" w:hAnsi="Calibri" w:cs="Calibri"/>
                <w:color w:val="1F1F1F"/>
                <w:sz w:val="16"/>
                <w:szCs w:val="16"/>
                <w:bdr w:val="none" w:sz="0" w:space="0" w:color="auto" w:frame="1"/>
                <w:lang w:eastAsia="es-ES"/>
              </w:rPr>
              <w:t>Low</w:t>
            </w:r>
          </w:p>
        </w:tc>
        <w:tc>
          <w:tcPr>
            <w:tcW w:w="966" w:type="dxa"/>
            <w:shd w:val="clear" w:color="auto" w:fill="FFFFFF"/>
            <w:tcMar>
              <w:top w:w="24" w:type="dxa"/>
              <w:left w:w="37" w:type="dxa"/>
              <w:bottom w:w="24" w:type="dxa"/>
              <w:right w:w="37" w:type="dxa"/>
            </w:tcMar>
            <w:hideMark/>
          </w:tcPr>
          <w:p w14:paraId="3DA396D2" w14:textId="77777777" w:rsidR="00F84B26" w:rsidRPr="005C6859" w:rsidRDefault="00F84B26" w:rsidP="0028131C">
            <w:pPr>
              <w:jc w:val="center"/>
              <w:rPr>
                <w:rFonts w:ascii="Calibri" w:hAnsi="Calibri" w:cs="Calibri"/>
                <w:color w:val="1F1F1F"/>
                <w:sz w:val="16"/>
                <w:szCs w:val="16"/>
                <w:lang w:eastAsia="es-ES"/>
              </w:rPr>
            </w:pPr>
            <w:r w:rsidRPr="005C6859">
              <w:rPr>
                <w:rFonts w:ascii="Calibri" w:hAnsi="Calibri" w:cs="Calibri"/>
                <w:color w:val="1F1F1F"/>
                <w:sz w:val="16"/>
                <w:szCs w:val="16"/>
                <w:bdr w:val="none" w:sz="0" w:space="0" w:color="auto" w:frame="1"/>
                <w:lang w:eastAsia="es-ES"/>
              </w:rPr>
              <w:t>Low</w:t>
            </w:r>
          </w:p>
        </w:tc>
        <w:tc>
          <w:tcPr>
            <w:tcW w:w="1013" w:type="dxa"/>
            <w:shd w:val="clear" w:color="auto" w:fill="FFFFFF"/>
            <w:tcMar>
              <w:top w:w="24" w:type="dxa"/>
              <w:left w:w="37" w:type="dxa"/>
              <w:bottom w:w="24" w:type="dxa"/>
              <w:right w:w="37" w:type="dxa"/>
            </w:tcMar>
            <w:hideMark/>
          </w:tcPr>
          <w:p w14:paraId="47DDB887" w14:textId="77777777" w:rsidR="00F84B26" w:rsidRPr="005C6859" w:rsidRDefault="00F84B26" w:rsidP="0028131C">
            <w:pPr>
              <w:jc w:val="center"/>
              <w:rPr>
                <w:rFonts w:ascii="Calibri" w:hAnsi="Calibri" w:cs="Calibri"/>
                <w:color w:val="1F1F1F"/>
                <w:sz w:val="16"/>
                <w:szCs w:val="16"/>
                <w:lang w:eastAsia="es-ES"/>
              </w:rPr>
            </w:pPr>
            <w:r w:rsidRPr="005C6859">
              <w:rPr>
                <w:rFonts w:ascii="Calibri" w:hAnsi="Calibri" w:cs="Calibri"/>
                <w:color w:val="1F1F1F"/>
                <w:sz w:val="16"/>
                <w:szCs w:val="16"/>
                <w:bdr w:val="none" w:sz="0" w:space="0" w:color="auto" w:frame="1"/>
                <w:lang w:eastAsia="es-ES"/>
              </w:rPr>
              <w:t>Low</w:t>
            </w:r>
          </w:p>
        </w:tc>
        <w:tc>
          <w:tcPr>
            <w:tcW w:w="830" w:type="dxa"/>
            <w:shd w:val="clear" w:color="auto" w:fill="FFFFFF"/>
            <w:tcMar>
              <w:top w:w="24" w:type="dxa"/>
              <w:left w:w="37" w:type="dxa"/>
              <w:bottom w:w="24" w:type="dxa"/>
              <w:right w:w="37" w:type="dxa"/>
            </w:tcMar>
            <w:hideMark/>
          </w:tcPr>
          <w:p w14:paraId="1FFCDC66" w14:textId="77777777" w:rsidR="00F84B26" w:rsidRPr="005C6859" w:rsidRDefault="00F84B26" w:rsidP="0028131C">
            <w:pPr>
              <w:jc w:val="center"/>
              <w:rPr>
                <w:rFonts w:ascii="Calibri" w:hAnsi="Calibri" w:cs="Calibri"/>
                <w:color w:val="1F1F1F"/>
                <w:sz w:val="16"/>
                <w:szCs w:val="16"/>
                <w:lang w:eastAsia="es-ES"/>
              </w:rPr>
            </w:pPr>
            <w:r w:rsidRPr="005C6859">
              <w:rPr>
                <w:rFonts w:ascii="Calibri" w:hAnsi="Calibri" w:cs="Calibri"/>
                <w:color w:val="1F1F1F"/>
                <w:sz w:val="16"/>
                <w:szCs w:val="16"/>
                <w:bdr w:val="none" w:sz="0" w:space="0" w:color="auto" w:frame="1"/>
                <w:lang w:eastAsia="es-ES"/>
              </w:rPr>
              <w:t>Low</w:t>
            </w:r>
          </w:p>
        </w:tc>
        <w:tc>
          <w:tcPr>
            <w:tcW w:w="849" w:type="dxa"/>
            <w:shd w:val="clear" w:color="auto" w:fill="FFFFFF"/>
            <w:tcMar>
              <w:top w:w="24" w:type="dxa"/>
              <w:left w:w="37" w:type="dxa"/>
              <w:bottom w:w="24" w:type="dxa"/>
              <w:right w:w="37" w:type="dxa"/>
            </w:tcMar>
            <w:hideMark/>
          </w:tcPr>
          <w:p w14:paraId="42A0083A" w14:textId="77777777" w:rsidR="00F84B26" w:rsidRPr="005C6859" w:rsidRDefault="00F84B26" w:rsidP="0028131C">
            <w:pPr>
              <w:jc w:val="center"/>
              <w:rPr>
                <w:rFonts w:ascii="Calibri" w:hAnsi="Calibri" w:cs="Calibri"/>
                <w:color w:val="1F1F1F"/>
                <w:sz w:val="16"/>
                <w:szCs w:val="16"/>
                <w:lang w:eastAsia="es-ES"/>
              </w:rPr>
            </w:pPr>
            <w:r w:rsidRPr="005C6859">
              <w:rPr>
                <w:rFonts w:ascii="Calibri" w:hAnsi="Calibri" w:cs="Calibri"/>
                <w:color w:val="1F1F1F"/>
                <w:sz w:val="16"/>
                <w:szCs w:val="16"/>
                <w:bdr w:val="none" w:sz="0" w:space="0" w:color="auto" w:frame="1"/>
                <w:lang w:eastAsia="es-ES"/>
              </w:rPr>
              <w:t>Moderate</w:t>
            </w:r>
          </w:p>
        </w:tc>
        <w:tc>
          <w:tcPr>
            <w:tcW w:w="7162" w:type="dxa"/>
            <w:shd w:val="clear" w:color="auto" w:fill="FFFFFF"/>
            <w:tcMar>
              <w:top w:w="24" w:type="dxa"/>
              <w:left w:w="37" w:type="dxa"/>
              <w:bottom w:w="24" w:type="dxa"/>
              <w:right w:w="37" w:type="dxa"/>
            </w:tcMar>
            <w:hideMark/>
          </w:tcPr>
          <w:p w14:paraId="10686460" w14:textId="77777777" w:rsidR="00F84B26" w:rsidRPr="005C6859" w:rsidRDefault="00F84B26" w:rsidP="0028131C">
            <w:pPr>
              <w:rPr>
                <w:rFonts w:ascii="Calibri" w:hAnsi="Calibri" w:cs="Calibri"/>
                <w:color w:val="1F1F1F"/>
                <w:sz w:val="16"/>
                <w:szCs w:val="16"/>
                <w:bdr w:val="none" w:sz="0" w:space="0" w:color="auto" w:frame="1"/>
                <w:lang w:val="en-US" w:eastAsia="es-ES"/>
              </w:rPr>
            </w:pPr>
            <w:r w:rsidRPr="005C6859">
              <w:rPr>
                <w:rFonts w:ascii="Calibri" w:hAnsi="Calibri" w:cs="Calibri"/>
                <w:b/>
                <w:bCs/>
                <w:color w:val="1F1F1F"/>
                <w:sz w:val="16"/>
                <w:szCs w:val="16"/>
                <w:bdr w:val="none" w:sz="0" w:space="0" w:color="auto" w:frame="1"/>
                <w:lang w:val="en-US" w:eastAsia="es-ES"/>
              </w:rPr>
              <w:t>D1:</w:t>
            </w:r>
            <w:r w:rsidRPr="005C6859">
              <w:rPr>
                <w:rFonts w:ascii="Calibri" w:hAnsi="Calibri" w:cs="Calibri"/>
                <w:color w:val="1F1F1F"/>
                <w:sz w:val="16"/>
                <w:szCs w:val="16"/>
                <w:lang w:val="en-US" w:eastAsia="es-ES"/>
              </w:rPr>
              <w:t xml:space="preserve"> “Multicenter registry analysis. </w:t>
            </w:r>
            <w:r w:rsidRPr="005C6859">
              <w:rPr>
                <w:rFonts w:ascii="Calibri" w:hAnsi="Calibri" w:cs="Calibri"/>
                <w:color w:val="1F1F1F"/>
                <w:sz w:val="16"/>
                <w:szCs w:val="16"/>
                <w:bdr w:val="none" w:sz="0" w:space="0" w:color="auto" w:frame="1"/>
                <w:lang w:val="en-US" w:eastAsia="es-ES"/>
              </w:rPr>
              <w:t>"Adjusted for the variables... age, previous episodes... MEESSI score".</w:t>
            </w:r>
          </w:p>
          <w:p w14:paraId="0FDF7F69" w14:textId="77777777" w:rsidR="00F84B26" w:rsidRPr="005C6859" w:rsidRDefault="00F84B26" w:rsidP="0028131C">
            <w:pPr>
              <w:rPr>
                <w:rFonts w:ascii="Calibri" w:hAnsi="Calibri" w:cs="Calibri"/>
                <w:color w:val="1F1F1F"/>
                <w:sz w:val="16"/>
                <w:szCs w:val="16"/>
                <w:lang w:val="en-US" w:eastAsia="es-ES"/>
              </w:rPr>
            </w:pPr>
            <w:r w:rsidRPr="005C6859">
              <w:rPr>
                <w:rFonts w:ascii="Calibri" w:hAnsi="Calibri" w:cs="Calibri"/>
                <w:b/>
                <w:bCs/>
                <w:color w:val="1F1F1F"/>
                <w:sz w:val="16"/>
                <w:szCs w:val="16"/>
                <w:bdr w:val="none" w:sz="0" w:space="0" w:color="auto" w:frame="1"/>
                <w:lang w:val="en-US" w:eastAsia="es-ES"/>
              </w:rPr>
              <w:t>D2:</w:t>
            </w:r>
            <w:r w:rsidRPr="005C6859">
              <w:rPr>
                <w:rFonts w:ascii="Calibri" w:hAnsi="Calibri" w:cs="Calibri"/>
                <w:color w:val="1F1F1F"/>
                <w:sz w:val="16"/>
                <w:szCs w:val="16"/>
                <w:bdr w:val="none" w:sz="0" w:space="0" w:color="auto" w:frame="1"/>
                <w:lang w:val="en-US" w:eastAsia="es-ES"/>
              </w:rPr>
              <w:t xml:space="preserve"> “Selection based on hospital logistics/availability</w:t>
            </w:r>
          </w:p>
          <w:p w14:paraId="0C278C08" w14:textId="77777777" w:rsidR="00F84B26" w:rsidRPr="005C6859" w:rsidRDefault="00F84B26" w:rsidP="0028131C">
            <w:pPr>
              <w:rPr>
                <w:rFonts w:ascii="Calibri" w:hAnsi="Calibri" w:cs="Calibri"/>
                <w:color w:val="1F1F1F"/>
                <w:sz w:val="16"/>
                <w:szCs w:val="16"/>
                <w:bdr w:val="none" w:sz="0" w:space="0" w:color="auto" w:frame="1"/>
                <w:lang w:val="en-US" w:eastAsia="es-ES"/>
              </w:rPr>
            </w:pPr>
            <w:r w:rsidRPr="005C6859">
              <w:rPr>
                <w:rFonts w:ascii="Calibri" w:hAnsi="Calibri" w:cs="Calibri"/>
                <w:b/>
                <w:bCs/>
                <w:color w:val="1F1F1F"/>
                <w:sz w:val="16"/>
                <w:szCs w:val="16"/>
                <w:bdr w:val="none" w:sz="0" w:space="0" w:color="auto" w:frame="1"/>
                <w:lang w:val="en-US" w:eastAsia="es-ES"/>
              </w:rPr>
              <w:t>D3:</w:t>
            </w:r>
            <w:r w:rsidRPr="005C6859">
              <w:rPr>
                <w:rFonts w:ascii="Calibri" w:hAnsi="Calibri" w:cs="Calibri"/>
                <w:sz w:val="16"/>
                <w:szCs w:val="16"/>
                <w:lang w:val="en-US"/>
              </w:rPr>
              <w:t xml:space="preserve"> </w:t>
            </w:r>
            <w:r w:rsidRPr="005C6859">
              <w:rPr>
                <w:rFonts w:ascii="Calibri" w:hAnsi="Calibri" w:cs="Calibri"/>
                <w:color w:val="1F1F1F"/>
                <w:sz w:val="16"/>
                <w:szCs w:val="16"/>
                <w:bdr w:val="none" w:sz="0" w:space="0" w:color="auto" w:frame="1"/>
                <w:lang w:val="en-US" w:eastAsia="es-ES"/>
              </w:rPr>
              <w:t>The intervention is clearly defined as a transfer to a home-based hospital unit versus conventional inpatient admission.</w:t>
            </w:r>
          </w:p>
          <w:p w14:paraId="6433BAD0" w14:textId="77777777" w:rsidR="00F84B26" w:rsidRPr="005C6859" w:rsidRDefault="00F84B26" w:rsidP="0028131C">
            <w:pPr>
              <w:rPr>
                <w:rFonts w:ascii="Calibri" w:hAnsi="Calibri" w:cs="Calibri"/>
                <w:color w:val="1F1F1F"/>
                <w:sz w:val="16"/>
                <w:szCs w:val="16"/>
                <w:lang w:val="en-US" w:eastAsia="es-ES"/>
              </w:rPr>
            </w:pPr>
            <w:r w:rsidRPr="005C6859">
              <w:rPr>
                <w:rFonts w:ascii="Calibri" w:hAnsi="Calibri" w:cs="Calibri"/>
                <w:b/>
                <w:bCs/>
                <w:color w:val="1F1F1F"/>
                <w:sz w:val="16"/>
                <w:szCs w:val="16"/>
                <w:lang w:val="en-US" w:eastAsia="es-ES"/>
              </w:rPr>
              <w:t>D4:</w:t>
            </w:r>
            <w:r w:rsidRPr="005C6859">
              <w:rPr>
                <w:rFonts w:ascii="Calibri" w:hAnsi="Calibri" w:cs="Calibri"/>
                <w:color w:val="1F1F1F"/>
                <w:sz w:val="16"/>
                <w:szCs w:val="16"/>
                <w:lang w:val="en-US" w:eastAsia="es-ES"/>
              </w:rPr>
              <w:t xml:space="preserve"> There is a clear distinction between the two care pathways, with minimal overlap once the patient is assigned to a specific setting.</w:t>
            </w:r>
          </w:p>
          <w:p w14:paraId="2F92A856" w14:textId="77777777" w:rsidR="00F84B26" w:rsidRPr="005C6859" w:rsidRDefault="00F84B26" w:rsidP="0028131C">
            <w:pPr>
              <w:rPr>
                <w:rFonts w:ascii="Calibri" w:hAnsi="Calibri" w:cs="Calibri"/>
                <w:color w:val="1F1F1F"/>
                <w:sz w:val="16"/>
                <w:szCs w:val="16"/>
                <w:lang w:val="en-US" w:eastAsia="es-ES"/>
              </w:rPr>
            </w:pPr>
            <w:r w:rsidRPr="005C6859">
              <w:rPr>
                <w:rFonts w:ascii="Calibri" w:hAnsi="Calibri" w:cs="Calibri"/>
                <w:b/>
                <w:bCs/>
                <w:color w:val="1F1F1F"/>
                <w:sz w:val="16"/>
                <w:szCs w:val="16"/>
                <w:lang w:val="en-US" w:eastAsia="es-ES"/>
              </w:rPr>
              <w:t>D5</w:t>
            </w:r>
            <w:r w:rsidRPr="005C6859">
              <w:rPr>
                <w:rFonts w:ascii="Calibri" w:hAnsi="Calibri" w:cs="Calibri"/>
                <w:color w:val="1F1F1F"/>
                <w:sz w:val="16"/>
                <w:szCs w:val="16"/>
                <w:lang w:val="en-US" w:eastAsia="es-ES"/>
              </w:rPr>
              <w:t>:</w:t>
            </w:r>
            <w:r w:rsidRPr="005C6859">
              <w:rPr>
                <w:rFonts w:ascii="Calibri" w:hAnsi="Calibri" w:cs="Calibri"/>
                <w:sz w:val="16"/>
                <w:szCs w:val="16"/>
                <w:lang w:val="en-US"/>
              </w:rPr>
              <w:t xml:space="preserve"> </w:t>
            </w:r>
            <w:r w:rsidRPr="005C6859">
              <w:rPr>
                <w:rFonts w:ascii="Calibri" w:hAnsi="Calibri" w:cs="Calibri"/>
                <w:color w:val="1F1F1F"/>
                <w:sz w:val="16"/>
                <w:szCs w:val="16"/>
                <w:lang w:val="en-US" w:eastAsia="es-ES"/>
              </w:rPr>
              <w:t>Data capture in emergency and hospital registries is typically robust, ensuring a high completion rate for primary outcome tracking.</w:t>
            </w:r>
          </w:p>
          <w:p w14:paraId="2850BEDD" w14:textId="77777777" w:rsidR="00F84B26" w:rsidRPr="005C6859" w:rsidRDefault="00F84B26" w:rsidP="0028131C">
            <w:pPr>
              <w:rPr>
                <w:rFonts w:ascii="Calibri" w:hAnsi="Calibri" w:cs="Calibri"/>
                <w:color w:val="1F1F1F"/>
                <w:sz w:val="16"/>
                <w:szCs w:val="16"/>
                <w:lang w:val="en-US" w:eastAsia="es-ES"/>
              </w:rPr>
            </w:pPr>
            <w:r w:rsidRPr="005C6859">
              <w:rPr>
                <w:rFonts w:ascii="Calibri" w:hAnsi="Calibri" w:cs="Calibri"/>
                <w:b/>
                <w:bCs/>
                <w:color w:val="1F1F1F"/>
                <w:sz w:val="16"/>
                <w:szCs w:val="16"/>
                <w:lang w:val="en-US" w:eastAsia="es-ES"/>
              </w:rPr>
              <w:t>D6:</w:t>
            </w:r>
            <w:r w:rsidRPr="005C6859">
              <w:rPr>
                <w:rFonts w:ascii="Calibri" w:hAnsi="Calibri" w:cs="Calibri"/>
                <w:color w:val="1F1F1F"/>
                <w:sz w:val="16"/>
                <w:szCs w:val="16"/>
                <w:lang w:val="en-US" w:eastAsia="es-ES"/>
              </w:rPr>
              <w:t xml:space="preserve"> Outcomes such as 30-day mortality or readmission are objective and recorded in centralized health databases.</w:t>
            </w:r>
          </w:p>
          <w:p w14:paraId="3CB6F309" w14:textId="77777777" w:rsidR="00F84B26" w:rsidRPr="005C6859" w:rsidRDefault="00F84B26" w:rsidP="0028131C">
            <w:pPr>
              <w:rPr>
                <w:rFonts w:ascii="Calibri" w:hAnsi="Calibri" w:cs="Calibri"/>
                <w:color w:val="1F1F1F"/>
                <w:sz w:val="16"/>
                <w:szCs w:val="16"/>
                <w:lang w:val="en-US" w:eastAsia="es-ES"/>
              </w:rPr>
            </w:pPr>
            <w:r w:rsidRPr="005C6859">
              <w:rPr>
                <w:rFonts w:ascii="Calibri" w:hAnsi="Calibri" w:cs="Calibri"/>
                <w:b/>
                <w:bCs/>
                <w:color w:val="1F1F1F"/>
                <w:sz w:val="16"/>
                <w:szCs w:val="16"/>
                <w:lang w:val="en-US" w:eastAsia="es-ES"/>
              </w:rPr>
              <w:t>D7:</w:t>
            </w:r>
            <w:r w:rsidRPr="005C6859">
              <w:rPr>
                <w:rFonts w:ascii="Calibri" w:hAnsi="Calibri" w:cs="Calibri"/>
                <w:color w:val="1F1F1F"/>
                <w:sz w:val="16"/>
                <w:szCs w:val="16"/>
                <w:lang w:val="en-US" w:eastAsia="es-ES"/>
              </w:rPr>
              <w:t xml:space="preserve"> The study reports on standard clinical outcomes (safety and efficacy) as pre-specified in the study objectives.</w:t>
            </w:r>
          </w:p>
        </w:tc>
      </w:tr>
      <w:tr w:rsidR="00F84B26" w:rsidRPr="00CB11A3" w14:paraId="680D642C" w14:textId="77777777" w:rsidTr="0028131C">
        <w:trPr>
          <w:trHeight w:val="154"/>
        </w:trPr>
        <w:tc>
          <w:tcPr>
            <w:tcW w:w="745" w:type="dxa"/>
            <w:shd w:val="clear" w:color="auto" w:fill="FFFFFF"/>
            <w:tcMar>
              <w:top w:w="24" w:type="dxa"/>
              <w:left w:w="37" w:type="dxa"/>
              <w:bottom w:w="24" w:type="dxa"/>
              <w:right w:w="37" w:type="dxa"/>
            </w:tcMar>
            <w:hideMark/>
          </w:tcPr>
          <w:p w14:paraId="144A7C2F" w14:textId="77777777" w:rsidR="00F84B26" w:rsidRPr="00CB11A3" w:rsidRDefault="00F84B26" w:rsidP="0028131C">
            <w:pP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Helberg et al. 2023</w:t>
            </w:r>
          </w:p>
        </w:tc>
        <w:tc>
          <w:tcPr>
            <w:tcW w:w="926" w:type="dxa"/>
            <w:shd w:val="clear" w:color="auto" w:fill="FFFFFF"/>
            <w:tcMar>
              <w:top w:w="24" w:type="dxa"/>
              <w:left w:w="37" w:type="dxa"/>
              <w:bottom w:w="24" w:type="dxa"/>
              <w:right w:w="37" w:type="dxa"/>
            </w:tcMar>
            <w:hideMark/>
          </w:tcPr>
          <w:p w14:paraId="088AD438"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Critical</w:t>
            </w:r>
          </w:p>
        </w:tc>
        <w:tc>
          <w:tcPr>
            <w:tcW w:w="776" w:type="dxa"/>
            <w:shd w:val="clear" w:color="auto" w:fill="FFFFFF"/>
            <w:tcMar>
              <w:top w:w="24" w:type="dxa"/>
              <w:left w:w="37" w:type="dxa"/>
              <w:bottom w:w="24" w:type="dxa"/>
              <w:right w:w="37" w:type="dxa"/>
            </w:tcMar>
            <w:hideMark/>
          </w:tcPr>
          <w:p w14:paraId="50FC2436"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Serious</w:t>
            </w:r>
          </w:p>
        </w:tc>
        <w:tc>
          <w:tcPr>
            <w:tcW w:w="947" w:type="dxa"/>
            <w:shd w:val="clear" w:color="auto" w:fill="FFFFFF"/>
            <w:tcMar>
              <w:top w:w="24" w:type="dxa"/>
              <w:left w:w="37" w:type="dxa"/>
              <w:bottom w:w="24" w:type="dxa"/>
              <w:right w:w="37" w:type="dxa"/>
            </w:tcMar>
            <w:hideMark/>
          </w:tcPr>
          <w:p w14:paraId="74060A79"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Low</w:t>
            </w:r>
          </w:p>
        </w:tc>
        <w:tc>
          <w:tcPr>
            <w:tcW w:w="780" w:type="dxa"/>
            <w:shd w:val="clear" w:color="auto" w:fill="FFFFFF"/>
            <w:tcMar>
              <w:top w:w="24" w:type="dxa"/>
              <w:left w:w="37" w:type="dxa"/>
              <w:bottom w:w="24" w:type="dxa"/>
              <w:right w:w="37" w:type="dxa"/>
            </w:tcMar>
            <w:hideMark/>
          </w:tcPr>
          <w:p w14:paraId="26CCC283"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Low</w:t>
            </w:r>
          </w:p>
        </w:tc>
        <w:tc>
          <w:tcPr>
            <w:tcW w:w="966" w:type="dxa"/>
            <w:shd w:val="clear" w:color="auto" w:fill="FFFFFF"/>
            <w:tcMar>
              <w:top w:w="24" w:type="dxa"/>
              <w:left w:w="37" w:type="dxa"/>
              <w:bottom w:w="24" w:type="dxa"/>
              <w:right w:w="37" w:type="dxa"/>
            </w:tcMar>
            <w:hideMark/>
          </w:tcPr>
          <w:p w14:paraId="184EED7D"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Low</w:t>
            </w:r>
          </w:p>
        </w:tc>
        <w:tc>
          <w:tcPr>
            <w:tcW w:w="1013" w:type="dxa"/>
            <w:shd w:val="clear" w:color="auto" w:fill="FFFFFF"/>
            <w:tcMar>
              <w:top w:w="24" w:type="dxa"/>
              <w:left w:w="37" w:type="dxa"/>
              <w:bottom w:w="24" w:type="dxa"/>
              <w:right w:w="37" w:type="dxa"/>
            </w:tcMar>
            <w:hideMark/>
          </w:tcPr>
          <w:p w14:paraId="26F99C58"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Moderate</w:t>
            </w:r>
          </w:p>
        </w:tc>
        <w:tc>
          <w:tcPr>
            <w:tcW w:w="830" w:type="dxa"/>
            <w:shd w:val="clear" w:color="auto" w:fill="FFFFFF"/>
            <w:tcMar>
              <w:top w:w="24" w:type="dxa"/>
              <w:left w:w="37" w:type="dxa"/>
              <w:bottom w:w="24" w:type="dxa"/>
              <w:right w:w="37" w:type="dxa"/>
            </w:tcMar>
            <w:hideMark/>
          </w:tcPr>
          <w:p w14:paraId="50EF9DD4"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Moderate</w:t>
            </w:r>
          </w:p>
        </w:tc>
        <w:tc>
          <w:tcPr>
            <w:tcW w:w="849" w:type="dxa"/>
            <w:shd w:val="clear" w:color="auto" w:fill="FFFFFF"/>
            <w:tcMar>
              <w:top w:w="24" w:type="dxa"/>
              <w:left w:w="37" w:type="dxa"/>
              <w:bottom w:w="24" w:type="dxa"/>
              <w:right w:w="37" w:type="dxa"/>
            </w:tcMar>
            <w:hideMark/>
          </w:tcPr>
          <w:p w14:paraId="1386C142"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Critical</w:t>
            </w:r>
          </w:p>
        </w:tc>
        <w:tc>
          <w:tcPr>
            <w:tcW w:w="7162" w:type="dxa"/>
            <w:shd w:val="clear" w:color="auto" w:fill="FFFFFF"/>
            <w:tcMar>
              <w:top w:w="24" w:type="dxa"/>
              <w:left w:w="37" w:type="dxa"/>
              <w:bottom w:w="24" w:type="dxa"/>
              <w:right w:w="37" w:type="dxa"/>
            </w:tcMar>
            <w:hideMark/>
          </w:tcPr>
          <w:p w14:paraId="33B0C264"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bdr w:val="none" w:sz="0" w:space="0" w:color="auto" w:frame="1"/>
                <w:lang w:val="en-US" w:eastAsia="es-ES"/>
              </w:rPr>
              <w:t>D1/D2:</w:t>
            </w:r>
            <w:r w:rsidRPr="00CB11A3">
              <w:rPr>
                <w:rFonts w:ascii="Calibri" w:hAnsi="Calibri" w:cs="Calibri"/>
                <w:color w:val="1F1F1F"/>
                <w:sz w:val="16"/>
                <w:szCs w:val="16"/>
                <w:lang w:val="en-US" w:eastAsia="es-ES"/>
              </w:rPr>
              <w:t xml:space="preserve"> “Control group formed by refusers. </w:t>
            </w:r>
            <w:r w:rsidRPr="00CB11A3">
              <w:rPr>
                <w:rFonts w:ascii="Calibri" w:hAnsi="Calibri" w:cs="Calibri"/>
                <w:color w:val="1F1F1F"/>
                <w:sz w:val="16"/>
                <w:szCs w:val="16"/>
                <w:bdr w:val="none" w:sz="0" w:space="0" w:color="auto" w:frame="1"/>
                <w:lang w:val="en-US" w:eastAsia="es-ES"/>
              </w:rPr>
              <w:t>"Patients who declined enrolment into the H</w:t>
            </w:r>
            <w:r>
              <w:rPr>
                <w:rFonts w:ascii="Calibri" w:hAnsi="Calibri" w:cs="Calibri"/>
                <w:color w:val="1F1F1F"/>
                <w:sz w:val="16"/>
                <w:szCs w:val="16"/>
                <w:bdr w:val="none" w:sz="0" w:space="0" w:color="auto" w:frame="1"/>
                <w:lang w:val="en-US" w:eastAsia="es-ES"/>
              </w:rPr>
              <w:t>a</w:t>
            </w:r>
            <w:r w:rsidRPr="00CB11A3">
              <w:rPr>
                <w:rFonts w:ascii="Calibri" w:hAnsi="Calibri" w:cs="Calibri"/>
                <w:color w:val="1F1F1F"/>
                <w:sz w:val="16"/>
                <w:szCs w:val="16"/>
                <w:bdr w:val="none" w:sz="0" w:space="0" w:color="auto" w:frame="1"/>
                <w:lang w:val="en-US" w:eastAsia="es-ES"/>
              </w:rPr>
              <w:t>H programme served as the control group". "Inherent to the HAH model is selection bias"</w:t>
            </w:r>
            <w:r w:rsidRPr="00CB11A3">
              <w:rPr>
                <w:rFonts w:ascii="Calibri" w:hAnsi="Calibri" w:cs="Calibri"/>
                <w:color w:val="1F1F1F"/>
                <w:sz w:val="16"/>
                <w:szCs w:val="16"/>
                <w:lang w:val="en-US" w:eastAsia="es-ES"/>
              </w:rPr>
              <w:t>.</w:t>
            </w:r>
          </w:p>
          <w:p w14:paraId="1F1E3FC3"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D3:</w:t>
            </w:r>
            <w:r w:rsidRPr="00CB11A3">
              <w:rPr>
                <w:rFonts w:ascii="Calibri" w:hAnsi="Calibri" w:cs="Calibri"/>
                <w:color w:val="1F1F1F"/>
                <w:sz w:val="16"/>
                <w:szCs w:val="16"/>
                <w:lang w:val="en-US" w:eastAsia="es-ES"/>
              </w:rPr>
              <w:t xml:space="preserve"> The HaH intervention and conventional care are clearly defined and distinct.</w:t>
            </w:r>
          </w:p>
          <w:p w14:paraId="6680CF9D"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D4</w:t>
            </w:r>
            <w:r w:rsidRPr="00CB11A3">
              <w:rPr>
                <w:rFonts w:ascii="Calibri" w:hAnsi="Calibri" w:cs="Calibri"/>
                <w:color w:val="1F1F1F"/>
                <w:sz w:val="16"/>
                <w:szCs w:val="16"/>
                <w:lang w:val="en-US" w:eastAsia="es-ES"/>
              </w:rPr>
              <w:t>: No major deviations from the assigned treatment protocols were reported that would further bias the results</w:t>
            </w:r>
          </w:p>
          <w:p w14:paraId="76A9A794"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D5:</w:t>
            </w:r>
            <w:r w:rsidRPr="00CB11A3">
              <w:rPr>
                <w:rFonts w:ascii="Calibri" w:hAnsi="Calibri" w:cs="Calibri"/>
                <w:color w:val="1F1F1F"/>
                <w:sz w:val="16"/>
                <w:szCs w:val="16"/>
                <w:lang w:val="en-US" w:eastAsia="es-ES"/>
              </w:rPr>
              <w:t xml:space="preserve"> The study maintained a low rate of attrition, with data capture remaining consistent across both the intervention and control cohorts.</w:t>
            </w:r>
          </w:p>
          <w:p w14:paraId="658EC808"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D6:</w:t>
            </w:r>
            <w:r w:rsidRPr="00CB11A3">
              <w:rPr>
                <w:rFonts w:ascii="Calibri" w:hAnsi="Calibri" w:cs="Calibri"/>
                <w:color w:val="1F1F1F"/>
                <w:sz w:val="16"/>
                <w:szCs w:val="16"/>
                <w:lang w:val="en-US" w:eastAsia="es-ES"/>
              </w:rPr>
              <w:t xml:space="preserve"> Outcomes were not blinded. Clinicians awareness of the treatment assignment could influence the assessment of subjective or soft endpoints.</w:t>
            </w:r>
          </w:p>
          <w:p w14:paraId="319CD112"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lastRenderedPageBreak/>
              <w:t>D7</w:t>
            </w:r>
            <w:r w:rsidRPr="00CB11A3">
              <w:rPr>
                <w:rFonts w:ascii="Calibri" w:hAnsi="Calibri" w:cs="Calibri"/>
                <w:color w:val="1F1F1F"/>
                <w:sz w:val="16"/>
                <w:szCs w:val="16"/>
                <w:lang w:val="en-US" w:eastAsia="es-ES"/>
              </w:rPr>
              <w:t>: There are concerns regarding selective reporting, particularly when results are derived from a fundamentally biased comparison group</w:t>
            </w:r>
          </w:p>
        </w:tc>
      </w:tr>
      <w:tr w:rsidR="00F84B26" w:rsidRPr="00CB11A3" w14:paraId="55EDEA68" w14:textId="77777777" w:rsidTr="0028131C">
        <w:trPr>
          <w:trHeight w:val="137"/>
        </w:trPr>
        <w:tc>
          <w:tcPr>
            <w:tcW w:w="745" w:type="dxa"/>
            <w:shd w:val="clear" w:color="auto" w:fill="FFFFFF"/>
            <w:tcMar>
              <w:top w:w="24" w:type="dxa"/>
              <w:left w:w="37" w:type="dxa"/>
              <w:bottom w:w="24" w:type="dxa"/>
              <w:right w:w="37" w:type="dxa"/>
            </w:tcMar>
            <w:hideMark/>
          </w:tcPr>
          <w:p w14:paraId="64C8D482" w14:textId="77777777" w:rsidR="00F84B26" w:rsidRPr="00CB11A3" w:rsidRDefault="00F84B26" w:rsidP="0028131C">
            <w:pPr>
              <w:rPr>
                <w:rFonts w:ascii="Calibri" w:hAnsi="Calibri" w:cs="Calibri"/>
                <w:color w:val="1F1F1F"/>
                <w:sz w:val="16"/>
                <w:szCs w:val="16"/>
                <w:bdr w:val="none" w:sz="0" w:space="0" w:color="auto" w:frame="1"/>
                <w:lang w:eastAsia="es-ES"/>
              </w:rPr>
            </w:pPr>
            <w:r w:rsidRPr="00CB11A3">
              <w:rPr>
                <w:rFonts w:ascii="Calibri" w:hAnsi="Calibri" w:cs="Calibri"/>
                <w:color w:val="1F1F1F"/>
                <w:sz w:val="16"/>
                <w:szCs w:val="16"/>
                <w:bdr w:val="none" w:sz="0" w:space="0" w:color="auto" w:frame="1"/>
                <w:lang w:eastAsia="es-ES"/>
              </w:rPr>
              <w:lastRenderedPageBreak/>
              <w:t>Sánchez Marcos et al.</w:t>
            </w:r>
          </w:p>
          <w:p w14:paraId="078D67FB" w14:textId="77777777" w:rsidR="00F84B26" w:rsidRPr="00CB11A3" w:rsidRDefault="00F84B26" w:rsidP="0028131C">
            <w:pP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2023</w:t>
            </w:r>
          </w:p>
        </w:tc>
        <w:tc>
          <w:tcPr>
            <w:tcW w:w="926" w:type="dxa"/>
            <w:shd w:val="clear" w:color="auto" w:fill="FFFFFF"/>
            <w:tcMar>
              <w:top w:w="24" w:type="dxa"/>
              <w:left w:w="37" w:type="dxa"/>
              <w:bottom w:w="24" w:type="dxa"/>
              <w:right w:w="37" w:type="dxa"/>
            </w:tcMar>
            <w:hideMark/>
          </w:tcPr>
          <w:p w14:paraId="56DAB91C"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Moderate</w:t>
            </w:r>
          </w:p>
        </w:tc>
        <w:tc>
          <w:tcPr>
            <w:tcW w:w="776" w:type="dxa"/>
            <w:shd w:val="clear" w:color="auto" w:fill="FFFFFF"/>
            <w:tcMar>
              <w:top w:w="24" w:type="dxa"/>
              <w:left w:w="37" w:type="dxa"/>
              <w:bottom w:w="24" w:type="dxa"/>
              <w:right w:w="37" w:type="dxa"/>
            </w:tcMar>
            <w:hideMark/>
          </w:tcPr>
          <w:p w14:paraId="1FFC5877"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Moderate</w:t>
            </w:r>
          </w:p>
        </w:tc>
        <w:tc>
          <w:tcPr>
            <w:tcW w:w="947" w:type="dxa"/>
            <w:shd w:val="clear" w:color="auto" w:fill="FFFFFF"/>
            <w:tcMar>
              <w:top w:w="24" w:type="dxa"/>
              <w:left w:w="37" w:type="dxa"/>
              <w:bottom w:w="24" w:type="dxa"/>
              <w:right w:w="37" w:type="dxa"/>
            </w:tcMar>
            <w:hideMark/>
          </w:tcPr>
          <w:p w14:paraId="2EDA9949"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Low</w:t>
            </w:r>
          </w:p>
        </w:tc>
        <w:tc>
          <w:tcPr>
            <w:tcW w:w="780" w:type="dxa"/>
            <w:shd w:val="clear" w:color="auto" w:fill="FFFFFF"/>
            <w:tcMar>
              <w:top w:w="24" w:type="dxa"/>
              <w:left w:w="37" w:type="dxa"/>
              <w:bottom w:w="24" w:type="dxa"/>
              <w:right w:w="37" w:type="dxa"/>
            </w:tcMar>
            <w:hideMark/>
          </w:tcPr>
          <w:p w14:paraId="13374703"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Low</w:t>
            </w:r>
          </w:p>
        </w:tc>
        <w:tc>
          <w:tcPr>
            <w:tcW w:w="966" w:type="dxa"/>
            <w:shd w:val="clear" w:color="auto" w:fill="FFFFFF"/>
            <w:tcMar>
              <w:top w:w="24" w:type="dxa"/>
              <w:left w:w="37" w:type="dxa"/>
              <w:bottom w:w="24" w:type="dxa"/>
              <w:right w:w="37" w:type="dxa"/>
            </w:tcMar>
            <w:hideMark/>
          </w:tcPr>
          <w:p w14:paraId="4AABE820"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Low</w:t>
            </w:r>
          </w:p>
        </w:tc>
        <w:tc>
          <w:tcPr>
            <w:tcW w:w="1013" w:type="dxa"/>
            <w:shd w:val="clear" w:color="auto" w:fill="FFFFFF"/>
            <w:tcMar>
              <w:top w:w="24" w:type="dxa"/>
              <w:left w:w="37" w:type="dxa"/>
              <w:bottom w:w="24" w:type="dxa"/>
              <w:right w:w="37" w:type="dxa"/>
            </w:tcMar>
            <w:hideMark/>
          </w:tcPr>
          <w:p w14:paraId="3FF4E9A5"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Low</w:t>
            </w:r>
          </w:p>
        </w:tc>
        <w:tc>
          <w:tcPr>
            <w:tcW w:w="830" w:type="dxa"/>
            <w:shd w:val="clear" w:color="auto" w:fill="FFFFFF"/>
            <w:tcMar>
              <w:top w:w="24" w:type="dxa"/>
              <w:left w:w="37" w:type="dxa"/>
              <w:bottom w:w="24" w:type="dxa"/>
              <w:right w:w="37" w:type="dxa"/>
            </w:tcMar>
            <w:hideMark/>
          </w:tcPr>
          <w:p w14:paraId="31B42680"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Low</w:t>
            </w:r>
          </w:p>
        </w:tc>
        <w:tc>
          <w:tcPr>
            <w:tcW w:w="849" w:type="dxa"/>
            <w:shd w:val="clear" w:color="auto" w:fill="FFFFFF"/>
            <w:tcMar>
              <w:top w:w="24" w:type="dxa"/>
              <w:left w:w="37" w:type="dxa"/>
              <w:bottom w:w="24" w:type="dxa"/>
              <w:right w:w="37" w:type="dxa"/>
            </w:tcMar>
            <w:hideMark/>
          </w:tcPr>
          <w:p w14:paraId="6735C1E2"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Moderate</w:t>
            </w:r>
          </w:p>
        </w:tc>
        <w:tc>
          <w:tcPr>
            <w:tcW w:w="7162" w:type="dxa"/>
            <w:shd w:val="clear" w:color="auto" w:fill="FFFFFF"/>
            <w:tcMar>
              <w:top w:w="24" w:type="dxa"/>
              <w:left w:w="37" w:type="dxa"/>
              <w:bottom w:w="24" w:type="dxa"/>
              <w:right w:w="37" w:type="dxa"/>
            </w:tcMar>
            <w:hideMark/>
          </w:tcPr>
          <w:p w14:paraId="145BDC96" w14:textId="77777777" w:rsidR="00F84B26" w:rsidRPr="00CB11A3" w:rsidRDefault="00F84B26" w:rsidP="0028131C">
            <w:pPr>
              <w:rPr>
                <w:rFonts w:ascii="Calibri" w:hAnsi="Calibri" w:cs="Calibri"/>
                <w:color w:val="1F1F1F"/>
                <w:sz w:val="16"/>
                <w:szCs w:val="16"/>
                <w:bdr w:val="none" w:sz="0" w:space="0" w:color="auto" w:frame="1"/>
                <w:lang w:val="en-US" w:eastAsia="es-ES"/>
              </w:rPr>
            </w:pPr>
            <w:r w:rsidRPr="00CB11A3">
              <w:rPr>
                <w:rFonts w:ascii="Calibri" w:hAnsi="Calibri" w:cs="Calibri"/>
                <w:b/>
                <w:bCs/>
                <w:color w:val="1F1F1F"/>
                <w:sz w:val="16"/>
                <w:szCs w:val="16"/>
                <w:bdr w:val="none" w:sz="0" w:space="0" w:color="auto" w:frame="1"/>
                <w:lang w:val="en-US" w:eastAsia="es-ES"/>
              </w:rPr>
              <w:t>D1:</w:t>
            </w:r>
            <w:r w:rsidRPr="00CB11A3">
              <w:rPr>
                <w:rFonts w:ascii="Calibri" w:hAnsi="Calibri" w:cs="Calibri"/>
                <w:color w:val="1F1F1F"/>
                <w:sz w:val="16"/>
                <w:szCs w:val="16"/>
                <w:lang w:val="en-US" w:eastAsia="es-ES"/>
              </w:rPr>
              <w:t xml:space="preserve"> Comparison of HaH vs CH. </w:t>
            </w:r>
            <w:r w:rsidRPr="00CB11A3">
              <w:rPr>
                <w:rFonts w:ascii="Calibri" w:hAnsi="Calibri" w:cs="Calibri"/>
                <w:color w:val="1F1F1F"/>
                <w:sz w:val="16"/>
                <w:szCs w:val="16"/>
                <w:bdr w:val="none" w:sz="0" w:space="0" w:color="auto" w:frame="1"/>
                <w:lang w:val="en-US" w:eastAsia="es-ES"/>
              </w:rPr>
              <w:t>"The findings were adjusted for characteristics at baseline and during the AHF decompensation episode"</w:t>
            </w:r>
            <w:r w:rsidRPr="00CB11A3">
              <w:rPr>
                <w:rFonts w:ascii="Calibri" w:hAnsi="Calibri" w:cs="Calibri"/>
                <w:color w:val="1F1F1F"/>
                <w:sz w:val="16"/>
                <w:szCs w:val="16"/>
                <w:lang w:val="en-US" w:eastAsia="es-ES"/>
              </w:rPr>
              <w:t xml:space="preserve">. </w:t>
            </w:r>
            <w:r w:rsidRPr="00CB11A3">
              <w:rPr>
                <w:rFonts w:ascii="Calibri" w:hAnsi="Calibri" w:cs="Calibri"/>
                <w:color w:val="1F1F1F"/>
                <w:sz w:val="16"/>
                <w:szCs w:val="16"/>
                <w:bdr w:val="none" w:sz="0" w:space="0" w:color="auto" w:frame="1"/>
                <w:lang w:val="en-US" w:eastAsia="es-ES"/>
              </w:rPr>
              <w:t>Retrospective selection from EAHFE registry.</w:t>
            </w:r>
          </w:p>
          <w:p w14:paraId="232A2609" w14:textId="77777777" w:rsidR="00F84B26" w:rsidRPr="00CB11A3" w:rsidRDefault="00F84B26" w:rsidP="0028131C">
            <w:pPr>
              <w:rPr>
                <w:rFonts w:ascii="Calibri" w:hAnsi="Calibri" w:cs="Calibri"/>
                <w:color w:val="1F1F1F"/>
                <w:sz w:val="16"/>
                <w:szCs w:val="16"/>
                <w:bdr w:val="none" w:sz="0" w:space="0" w:color="auto" w:frame="1"/>
                <w:lang w:val="en-US" w:eastAsia="es-ES"/>
              </w:rPr>
            </w:pPr>
            <w:r w:rsidRPr="00CB11A3">
              <w:rPr>
                <w:rFonts w:ascii="Calibri" w:hAnsi="Calibri" w:cs="Calibri"/>
                <w:b/>
                <w:bCs/>
                <w:color w:val="1F1F1F"/>
                <w:sz w:val="16"/>
                <w:szCs w:val="16"/>
                <w:bdr w:val="none" w:sz="0" w:space="0" w:color="auto" w:frame="1"/>
                <w:lang w:val="en-US" w:eastAsia="es-ES"/>
              </w:rPr>
              <w:t>D2</w:t>
            </w:r>
            <w:r w:rsidRPr="00CB11A3">
              <w:rPr>
                <w:rFonts w:ascii="Calibri" w:hAnsi="Calibri" w:cs="Calibri"/>
                <w:color w:val="1F1F1F"/>
                <w:sz w:val="16"/>
                <w:szCs w:val="16"/>
                <w:bdr w:val="none" w:sz="0" w:space="0" w:color="auto" w:frame="1"/>
                <w:lang w:val="en-US" w:eastAsia="es-ES"/>
              </w:rPr>
              <w:t>: Patients were selected based on specific HaH premises which introduces inherent selection bias.</w:t>
            </w:r>
          </w:p>
          <w:p w14:paraId="2301DBF2"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D3:</w:t>
            </w:r>
            <w:r w:rsidRPr="00CB11A3">
              <w:rPr>
                <w:rFonts w:ascii="Calibri" w:hAnsi="Calibri" w:cs="Calibri"/>
                <w:color w:val="1F1F1F"/>
                <w:sz w:val="16"/>
                <w:szCs w:val="16"/>
                <w:lang w:val="en-US" w:eastAsia="es-ES"/>
              </w:rPr>
              <w:t xml:space="preserve"> Patient destination (HaH vs. CH) after emergency department care was clearly recorded and classified.</w:t>
            </w:r>
          </w:p>
          <w:p w14:paraId="195FA0FE"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D4:</w:t>
            </w:r>
            <w:r w:rsidRPr="00CB11A3">
              <w:rPr>
                <w:rFonts w:ascii="Calibri" w:hAnsi="Calibri" w:cs="Calibri"/>
                <w:color w:val="1F1F1F"/>
                <w:sz w:val="16"/>
                <w:szCs w:val="16"/>
                <w:lang w:val="en-US" w:eastAsia="es-ES"/>
              </w:rPr>
              <w:t xml:space="preserve"> As a non-interventionist registry study with prospective follow-up, there were no experimental deviations from the intended care pathways.</w:t>
            </w:r>
          </w:p>
          <w:p w14:paraId="04AFEE18"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D5:</w:t>
            </w:r>
            <w:r w:rsidRPr="00CB11A3">
              <w:rPr>
                <w:rFonts w:ascii="Calibri" w:hAnsi="Calibri" w:cs="Calibri"/>
                <w:color w:val="1F1F1F"/>
                <w:sz w:val="16"/>
                <w:szCs w:val="16"/>
                <w:lang w:val="en-US" w:eastAsia="es-ES"/>
              </w:rPr>
              <w:t xml:space="preserve"> The registry is robust, with systematic data extraction and documented follow-up</w:t>
            </w:r>
          </w:p>
          <w:p w14:paraId="6C4DBC93"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bdr w:val="none" w:sz="0" w:space="0" w:color="auto" w:frame="1"/>
                <w:lang w:val="en-US" w:eastAsia="es-ES"/>
              </w:rPr>
              <w:t>D6:</w:t>
            </w:r>
            <w:r w:rsidRPr="00CB11A3">
              <w:rPr>
                <w:rFonts w:ascii="Calibri" w:hAnsi="Calibri" w:cs="Calibri"/>
                <w:color w:val="1F1F1F"/>
                <w:sz w:val="16"/>
                <w:szCs w:val="16"/>
                <w:bdr w:val="none" w:sz="0" w:space="0" w:color="auto" w:frame="1"/>
                <w:lang w:val="en-US" w:eastAsia="es-ES"/>
              </w:rPr>
              <w:t xml:space="preserve"> Hard endpoints (Mortality/Readmission) used</w:t>
            </w:r>
            <w:r w:rsidRPr="00CB11A3">
              <w:rPr>
                <w:rFonts w:ascii="Calibri" w:hAnsi="Calibri" w:cs="Calibri"/>
                <w:color w:val="1F1F1F"/>
                <w:sz w:val="16"/>
                <w:szCs w:val="16"/>
                <w:lang w:val="en-US" w:eastAsia="es-ES"/>
              </w:rPr>
              <w:t>.</w:t>
            </w:r>
          </w:p>
          <w:p w14:paraId="7D483388"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D7:</w:t>
            </w:r>
            <w:r w:rsidRPr="00CB11A3">
              <w:rPr>
                <w:rFonts w:ascii="Calibri" w:hAnsi="Calibri" w:cs="Calibri"/>
                <w:color w:val="1F1F1F"/>
                <w:sz w:val="16"/>
                <w:szCs w:val="16"/>
                <w:lang w:val="en-US" w:eastAsia="es-ES"/>
              </w:rPr>
              <w:t xml:space="preserve"> The study reports all pre-specified outcomes regarding short-term effectiveness, long-term mortality, and efficiency (costs)</w:t>
            </w:r>
          </w:p>
        </w:tc>
      </w:tr>
      <w:tr w:rsidR="00F84B26" w:rsidRPr="00CB11A3" w14:paraId="68AF37C6" w14:textId="77777777" w:rsidTr="0028131C">
        <w:trPr>
          <w:trHeight w:val="167"/>
        </w:trPr>
        <w:tc>
          <w:tcPr>
            <w:tcW w:w="745" w:type="dxa"/>
            <w:shd w:val="clear" w:color="auto" w:fill="FFFFFF"/>
            <w:tcMar>
              <w:top w:w="24" w:type="dxa"/>
              <w:left w:w="37" w:type="dxa"/>
              <w:bottom w:w="24" w:type="dxa"/>
              <w:right w:w="37" w:type="dxa"/>
            </w:tcMar>
            <w:hideMark/>
          </w:tcPr>
          <w:p w14:paraId="23467751" w14:textId="77777777" w:rsidR="00F84B26" w:rsidRPr="00CB11A3" w:rsidRDefault="00F84B26" w:rsidP="0028131C">
            <w:pPr>
              <w:rPr>
                <w:rFonts w:ascii="Calibri" w:hAnsi="Calibri" w:cs="Calibri"/>
                <w:color w:val="1F1F1F"/>
                <w:sz w:val="16"/>
                <w:szCs w:val="16"/>
                <w:bdr w:val="none" w:sz="0" w:space="0" w:color="auto" w:frame="1"/>
                <w:lang w:eastAsia="es-ES"/>
              </w:rPr>
            </w:pPr>
            <w:r w:rsidRPr="00CB11A3">
              <w:rPr>
                <w:rFonts w:ascii="Calibri" w:hAnsi="Calibri" w:cs="Calibri"/>
                <w:color w:val="1F1F1F"/>
                <w:sz w:val="16"/>
                <w:szCs w:val="16"/>
                <w:bdr w:val="none" w:sz="0" w:space="0" w:color="auto" w:frame="1"/>
                <w:lang w:eastAsia="es-ES"/>
              </w:rPr>
              <w:t>Bosman et al.</w:t>
            </w:r>
          </w:p>
          <w:p w14:paraId="615C289A" w14:textId="77777777" w:rsidR="00F84B26" w:rsidRPr="00CB11A3" w:rsidRDefault="00F84B26" w:rsidP="0028131C">
            <w:pP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2025</w:t>
            </w:r>
          </w:p>
        </w:tc>
        <w:tc>
          <w:tcPr>
            <w:tcW w:w="926" w:type="dxa"/>
            <w:shd w:val="clear" w:color="auto" w:fill="FFFFFF"/>
            <w:tcMar>
              <w:top w:w="24" w:type="dxa"/>
              <w:left w:w="37" w:type="dxa"/>
              <w:bottom w:w="24" w:type="dxa"/>
              <w:right w:w="37" w:type="dxa"/>
            </w:tcMar>
            <w:hideMark/>
          </w:tcPr>
          <w:p w14:paraId="278E9568"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Serious</w:t>
            </w:r>
          </w:p>
        </w:tc>
        <w:tc>
          <w:tcPr>
            <w:tcW w:w="776" w:type="dxa"/>
            <w:shd w:val="clear" w:color="auto" w:fill="FFFFFF"/>
            <w:tcMar>
              <w:top w:w="24" w:type="dxa"/>
              <w:left w:w="37" w:type="dxa"/>
              <w:bottom w:w="24" w:type="dxa"/>
              <w:right w:w="37" w:type="dxa"/>
            </w:tcMar>
            <w:hideMark/>
          </w:tcPr>
          <w:p w14:paraId="24067B1E"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Serious</w:t>
            </w:r>
          </w:p>
        </w:tc>
        <w:tc>
          <w:tcPr>
            <w:tcW w:w="947" w:type="dxa"/>
            <w:shd w:val="clear" w:color="auto" w:fill="FFFFFF"/>
            <w:tcMar>
              <w:top w:w="24" w:type="dxa"/>
              <w:left w:w="37" w:type="dxa"/>
              <w:bottom w:w="24" w:type="dxa"/>
              <w:right w:w="37" w:type="dxa"/>
            </w:tcMar>
            <w:hideMark/>
          </w:tcPr>
          <w:p w14:paraId="27ADFA8D"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Low</w:t>
            </w:r>
          </w:p>
        </w:tc>
        <w:tc>
          <w:tcPr>
            <w:tcW w:w="780" w:type="dxa"/>
            <w:shd w:val="clear" w:color="auto" w:fill="FFFFFF"/>
            <w:tcMar>
              <w:top w:w="24" w:type="dxa"/>
              <w:left w:w="37" w:type="dxa"/>
              <w:bottom w:w="24" w:type="dxa"/>
              <w:right w:w="37" w:type="dxa"/>
            </w:tcMar>
            <w:hideMark/>
          </w:tcPr>
          <w:p w14:paraId="5871C618"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Low</w:t>
            </w:r>
          </w:p>
        </w:tc>
        <w:tc>
          <w:tcPr>
            <w:tcW w:w="966" w:type="dxa"/>
            <w:shd w:val="clear" w:color="auto" w:fill="FFFFFF"/>
            <w:tcMar>
              <w:top w:w="24" w:type="dxa"/>
              <w:left w:w="37" w:type="dxa"/>
              <w:bottom w:w="24" w:type="dxa"/>
              <w:right w:w="37" w:type="dxa"/>
            </w:tcMar>
            <w:hideMark/>
          </w:tcPr>
          <w:p w14:paraId="1FC95C84"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Moderate</w:t>
            </w:r>
          </w:p>
        </w:tc>
        <w:tc>
          <w:tcPr>
            <w:tcW w:w="1013" w:type="dxa"/>
            <w:shd w:val="clear" w:color="auto" w:fill="FFFFFF"/>
            <w:tcMar>
              <w:top w:w="24" w:type="dxa"/>
              <w:left w:w="37" w:type="dxa"/>
              <w:bottom w:w="24" w:type="dxa"/>
              <w:right w:w="37" w:type="dxa"/>
            </w:tcMar>
            <w:hideMark/>
          </w:tcPr>
          <w:p w14:paraId="0AEEE69C"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Low</w:t>
            </w:r>
          </w:p>
        </w:tc>
        <w:tc>
          <w:tcPr>
            <w:tcW w:w="830" w:type="dxa"/>
            <w:shd w:val="clear" w:color="auto" w:fill="FFFFFF"/>
            <w:tcMar>
              <w:top w:w="24" w:type="dxa"/>
              <w:left w:w="37" w:type="dxa"/>
              <w:bottom w:w="24" w:type="dxa"/>
              <w:right w:w="37" w:type="dxa"/>
            </w:tcMar>
            <w:hideMark/>
          </w:tcPr>
          <w:p w14:paraId="0A119A0F"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Moderate</w:t>
            </w:r>
          </w:p>
        </w:tc>
        <w:tc>
          <w:tcPr>
            <w:tcW w:w="849" w:type="dxa"/>
            <w:shd w:val="clear" w:color="auto" w:fill="FFFFFF"/>
            <w:tcMar>
              <w:top w:w="24" w:type="dxa"/>
              <w:left w:w="37" w:type="dxa"/>
              <w:bottom w:w="24" w:type="dxa"/>
              <w:right w:w="37" w:type="dxa"/>
            </w:tcMar>
            <w:hideMark/>
          </w:tcPr>
          <w:p w14:paraId="604FEB71"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bdr w:val="none" w:sz="0" w:space="0" w:color="auto" w:frame="1"/>
                <w:lang w:eastAsia="es-ES"/>
              </w:rPr>
              <w:t>Serious</w:t>
            </w:r>
          </w:p>
        </w:tc>
        <w:tc>
          <w:tcPr>
            <w:tcW w:w="7162" w:type="dxa"/>
            <w:shd w:val="clear" w:color="auto" w:fill="FFFFFF"/>
            <w:tcMar>
              <w:top w:w="24" w:type="dxa"/>
              <w:left w:w="37" w:type="dxa"/>
              <w:bottom w:w="24" w:type="dxa"/>
              <w:right w:w="37" w:type="dxa"/>
            </w:tcMar>
            <w:hideMark/>
          </w:tcPr>
          <w:p w14:paraId="75083E84"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bdr w:val="none" w:sz="0" w:space="0" w:color="auto" w:frame="1"/>
                <w:lang w:val="en-US" w:eastAsia="es-ES"/>
              </w:rPr>
              <w:t>D1:</w:t>
            </w:r>
            <w:r w:rsidRPr="00CB11A3">
              <w:rPr>
                <w:rFonts w:ascii="Calibri" w:hAnsi="Calibri" w:cs="Calibri"/>
                <w:color w:val="1F1F1F"/>
                <w:sz w:val="16"/>
                <w:szCs w:val="16"/>
                <w:lang w:val="en-US" w:eastAsia="es-ES"/>
              </w:rPr>
              <w:t xml:space="preserve"> Historical control group with different timeframe. </w:t>
            </w:r>
            <w:r w:rsidRPr="00CB11A3">
              <w:rPr>
                <w:rFonts w:ascii="Calibri" w:hAnsi="Calibri" w:cs="Calibri"/>
                <w:color w:val="1F1F1F"/>
                <w:sz w:val="16"/>
                <w:szCs w:val="16"/>
                <w:bdr w:val="none" w:sz="0" w:space="0" w:color="auto" w:frame="1"/>
                <w:lang w:val="en-US" w:eastAsia="es-ES"/>
              </w:rPr>
              <w:t>"In-hospital ADHF patients admitted... year before the start of DZThuis"</w:t>
            </w:r>
            <w:r w:rsidRPr="00CB11A3">
              <w:rPr>
                <w:rFonts w:ascii="Calibri" w:hAnsi="Calibri" w:cs="Calibri"/>
                <w:color w:val="1F1F1F"/>
                <w:sz w:val="16"/>
                <w:szCs w:val="16"/>
                <w:lang w:val="en-US" w:eastAsia="es-ES"/>
              </w:rPr>
              <w:t xml:space="preserve">. </w:t>
            </w:r>
            <w:r w:rsidRPr="00CB11A3">
              <w:rPr>
                <w:rFonts w:ascii="Calibri" w:hAnsi="Calibri" w:cs="Calibri"/>
                <w:color w:val="1F1F1F"/>
                <w:sz w:val="16"/>
                <w:szCs w:val="16"/>
                <w:bdr w:val="none" w:sz="0" w:space="0" w:color="auto" w:frame="1"/>
                <w:lang w:val="en-US" w:eastAsia="es-ES"/>
              </w:rPr>
              <w:t>"Potential confounding and selection bias... control group was formed post hoc"</w:t>
            </w:r>
            <w:r w:rsidRPr="00CB11A3">
              <w:rPr>
                <w:rFonts w:ascii="Calibri" w:hAnsi="Calibri" w:cs="Calibri"/>
                <w:color w:val="1F1F1F"/>
                <w:sz w:val="16"/>
                <w:szCs w:val="16"/>
                <w:lang w:val="en-US" w:eastAsia="es-ES"/>
              </w:rPr>
              <w:t>.</w:t>
            </w:r>
          </w:p>
          <w:p w14:paraId="58534071"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D2</w:t>
            </w:r>
            <w:r w:rsidRPr="00CB11A3">
              <w:rPr>
                <w:rFonts w:ascii="Calibri" w:hAnsi="Calibri" w:cs="Calibri"/>
                <w:color w:val="1F1F1F"/>
                <w:sz w:val="16"/>
                <w:szCs w:val="16"/>
                <w:lang w:val="en-US" w:eastAsia="es-ES"/>
              </w:rPr>
              <w:t>: In the absence of strict, documented screening protocols, there is a high risk of allocating lower-acuity patients to the home setting.</w:t>
            </w:r>
          </w:p>
          <w:p w14:paraId="0CDC1DE0"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D3</w:t>
            </w:r>
            <w:r w:rsidRPr="00CB11A3">
              <w:rPr>
                <w:rFonts w:ascii="Calibri" w:hAnsi="Calibri" w:cs="Calibri"/>
                <w:color w:val="1F1F1F"/>
                <w:sz w:val="16"/>
                <w:szCs w:val="16"/>
                <w:lang w:val="en-US" w:eastAsia="es-ES"/>
              </w:rPr>
              <w:t>: The intervention (HaH) and the comparator (Standard Care) are clearly defined and distinct within the healthcare system.</w:t>
            </w:r>
          </w:p>
          <w:p w14:paraId="7372C049"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D4:</w:t>
            </w:r>
            <w:r w:rsidRPr="00CB11A3">
              <w:rPr>
                <w:rFonts w:ascii="Calibri" w:hAnsi="Calibri" w:cs="Calibri"/>
                <w:color w:val="1F1F1F"/>
                <w:sz w:val="16"/>
                <w:szCs w:val="16"/>
                <w:lang w:val="en-US" w:eastAsia="es-ES"/>
              </w:rPr>
              <w:t xml:space="preserve"> Lack of a clear Intention-to-Treat (ITT) protocol or detailed tracking of care escalations may lead to deviations from the intended intervention analysis</w:t>
            </w:r>
          </w:p>
          <w:p w14:paraId="1447AD47"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D5</w:t>
            </w:r>
            <w:r w:rsidRPr="00CB11A3">
              <w:rPr>
                <w:rFonts w:ascii="Calibri" w:hAnsi="Calibri" w:cs="Calibri"/>
                <w:color w:val="1F1F1F"/>
                <w:sz w:val="16"/>
                <w:szCs w:val="16"/>
                <w:lang w:val="en-US" w:eastAsia="es-ES"/>
              </w:rPr>
              <w:t>: Potential risk of attrition or incomplete data capture if integrated electronic medical record (EMR) tracking was not systematically applied to both cohorts.</w:t>
            </w:r>
          </w:p>
          <w:p w14:paraId="1CCF40E8"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D6:</w:t>
            </w:r>
            <w:r w:rsidRPr="00CB11A3">
              <w:rPr>
                <w:rFonts w:ascii="Calibri" w:hAnsi="Calibri" w:cs="Calibri"/>
                <w:sz w:val="16"/>
                <w:szCs w:val="16"/>
                <w:lang w:val="en-US"/>
              </w:rPr>
              <w:t xml:space="preserve"> </w:t>
            </w:r>
            <w:r w:rsidRPr="00CB11A3">
              <w:rPr>
                <w:rFonts w:ascii="Calibri" w:hAnsi="Calibri" w:cs="Calibri"/>
                <w:color w:val="1F1F1F"/>
                <w:sz w:val="16"/>
                <w:szCs w:val="16"/>
                <w:lang w:val="en-US" w:eastAsia="es-ES"/>
              </w:rPr>
              <w:t>Outcome assessment was not blinded; knowledge of the intervention group by clinicians could bias the measurement of subjective clinical variables.</w:t>
            </w:r>
          </w:p>
          <w:p w14:paraId="55F9BC07"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D7:</w:t>
            </w:r>
            <w:r w:rsidRPr="00CB11A3">
              <w:rPr>
                <w:rFonts w:ascii="Calibri" w:hAnsi="Calibri" w:cs="Calibri"/>
                <w:color w:val="1F1F1F"/>
                <w:sz w:val="16"/>
                <w:szCs w:val="16"/>
                <w:lang w:val="en-US" w:eastAsia="es-ES"/>
              </w:rPr>
              <w:t xml:space="preserve"> The risk of selective reporting is heightened when the underlying statistical model fails to account for critical baseline differences.</w:t>
            </w:r>
          </w:p>
        </w:tc>
      </w:tr>
      <w:tr w:rsidR="00F84B26" w:rsidRPr="00CB11A3" w14:paraId="0B5980E1" w14:textId="77777777" w:rsidTr="0028131C">
        <w:trPr>
          <w:trHeight w:val="250"/>
        </w:trPr>
        <w:tc>
          <w:tcPr>
            <w:tcW w:w="745" w:type="dxa"/>
            <w:shd w:val="clear" w:color="auto" w:fill="FFFFFF"/>
            <w:tcMar>
              <w:top w:w="24" w:type="dxa"/>
              <w:left w:w="37" w:type="dxa"/>
              <w:bottom w:w="24" w:type="dxa"/>
              <w:right w:w="37" w:type="dxa"/>
            </w:tcMar>
            <w:hideMark/>
          </w:tcPr>
          <w:p w14:paraId="24FBA1F7" w14:textId="77777777" w:rsidR="00F84B26" w:rsidRPr="00CB11A3" w:rsidRDefault="00F84B26" w:rsidP="0028131C">
            <w:pPr>
              <w:rPr>
                <w:rFonts w:ascii="Calibri" w:hAnsi="Calibri" w:cs="Calibri"/>
                <w:color w:val="1F1F1F"/>
                <w:sz w:val="16"/>
                <w:szCs w:val="16"/>
                <w:lang w:eastAsia="es-ES"/>
              </w:rPr>
            </w:pPr>
            <w:r w:rsidRPr="00CB11A3">
              <w:rPr>
                <w:rFonts w:ascii="Calibri" w:hAnsi="Calibri" w:cs="Calibri"/>
                <w:color w:val="1F1F1F"/>
                <w:sz w:val="16"/>
                <w:szCs w:val="16"/>
                <w:lang w:eastAsia="es-ES"/>
              </w:rPr>
              <w:t>Martyn et al. (2025)</w:t>
            </w:r>
          </w:p>
        </w:tc>
        <w:tc>
          <w:tcPr>
            <w:tcW w:w="926" w:type="dxa"/>
            <w:shd w:val="clear" w:color="auto" w:fill="FFFFFF"/>
            <w:tcMar>
              <w:top w:w="24" w:type="dxa"/>
              <w:left w:w="37" w:type="dxa"/>
              <w:bottom w:w="24" w:type="dxa"/>
              <w:right w:w="37" w:type="dxa"/>
            </w:tcMar>
            <w:hideMark/>
          </w:tcPr>
          <w:p w14:paraId="64813DF2"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lang w:eastAsia="es-ES"/>
              </w:rPr>
              <w:t>Serious</w:t>
            </w:r>
          </w:p>
        </w:tc>
        <w:tc>
          <w:tcPr>
            <w:tcW w:w="776" w:type="dxa"/>
            <w:shd w:val="clear" w:color="auto" w:fill="FFFFFF"/>
            <w:tcMar>
              <w:top w:w="24" w:type="dxa"/>
              <w:left w:w="37" w:type="dxa"/>
              <w:bottom w:w="24" w:type="dxa"/>
              <w:right w:w="37" w:type="dxa"/>
            </w:tcMar>
          </w:tcPr>
          <w:p w14:paraId="4D32561D"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lang w:eastAsia="es-ES"/>
              </w:rPr>
              <w:t>Moderate</w:t>
            </w:r>
          </w:p>
        </w:tc>
        <w:tc>
          <w:tcPr>
            <w:tcW w:w="947" w:type="dxa"/>
            <w:shd w:val="clear" w:color="auto" w:fill="FFFFFF"/>
            <w:tcMar>
              <w:top w:w="24" w:type="dxa"/>
              <w:left w:w="37" w:type="dxa"/>
              <w:bottom w:w="24" w:type="dxa"/>
              <w:right w:w="37" w:type="dxa"/>
            </w:tcMar>
          </w:tcPr>
          <w:p w14:paraId="1F1E7147"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lang w:eastAsia="es-ES"/>
              </w:rPr>
              <w:t>Low</w:t>
            </w:r>
          </w:p>
        </w:tc>
        <w:tc>
          <w:tcPr>
            <w:tcW w:w="780" w:type="dxa"/>
            <w:shd w:val="clear" w:color="auto" w:fill="FFFFFF"/>
            <w:tcMar>
              <w:top w:w="24" w:type="dxa"/>
              <w:left w:w="37" w:type="dxa"/>
              <w:bottom w:w="24" w:type="dxa"/>
              <w:right w:w="37" w:type="dxa"/>
            </w:tcMar>
          </w:tcPr>
          <w:p w14:paraId="6DEC62FE"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lang w:eastAsia="es-ES"/>
              </w:rPr>
              <w:t>Low</w:t>
            </w:r>
          </w:p>
        </w:tc>
        <w:tc>
          <w:tcPr>
            <w:tcW w:w="966" w:type="dxa"/>
            <w:shd w:val="clear" w:color="auto" w:fill="FFFFFF"/>
            <w:tcMar>
              <w:top w:w="24" w:type="dxa"/>
              <w:left w:w="37" w:type="dxa"/>
              <w:bottom w:w="24" w:type="dxa"/>
              <w:right w:w="37" w:type="dxa"/>
            </w:tcMar>
          </w:tcPr>
          <w:p w14:paraId="209E9EF0"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lang w:eastAsia="es-ES"/>
              </w:rPr>
              <w:t>Low</w:t>
            </w:r>
          </w:p>
        </w:tc>
        <w:tc>
          <w:tcPr>
            <w:tcW w:w="1013" w:type="dxa"/>
            <w:shd w:val="clear" w:color="auto" w:fill="FFFFFF"/>
            <w:tcMar>
              <w:top w:w="24" w:type="dxa"/>
              <w:left w:w="37" w:type="dxa"/>
              <w:bottom w:w="24" w:type="dxa"/>
              <w:right w:w="37" w:type="dxa"/>
            </w:tcMar>
          </w:tcPr>
          <w:p w14:paraId="00442FFD"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lang w:eastAsia="es-ES"/>
              </w:rPr>
              <w:t>Low</w:t>
            </w:r>
          </w:p>
        </w:tc>
        <w:tc>
          <w:tcPr>
            <w:tcW w:w="830" w:type="dxa"/>
            <w:shd w:val="clear" w:color="auto" w:fill="FFFFFF"/>
            <w:tcMar>
              <w:top w:w="24" w:type="dxa"/>
              <w:left w:w="37" w:type="dxa"/>
              <w:bottom w:w="24" w:type="dxa"/>
              <w:right w:w="37" w:type="dxa"/>
            </w:tcMar>
          </w:tcPr>
          <w:p w14:paraId="52F1A55F"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lang w:eastAsia="es-ES"/>
              </w:rPr>
              <w:t>Low</w:t>
            </w:r>
          </w:p>
        </w:tc>
        <w:tc>
          <w:tcPr>
            <w:tcW w:w="849" w:type="dxa"/>
            <w:shd w:val="clear" w:color="auto" w:fill="FFFFFF"/>
            <w:tcMar>
              <w:top w:w="24" w:type="dxa"/>
              <w:left w:w="37" w:type="dxa"/>
              <w:bottom w:w="24" w:type="dxa"/>
              <w:right w:w="37" w:type="dxa"/>
            </w:tcMar>
          </w:tcPr>
          <w:p w14:paraId="1B620AA7" w14:textId="77777777" w:rsidR="00F84B26" w:rsidRPr="00CB11A3" w:rsidRDefault="00F84B26" w:rsidP="0028131C">
            <w:pPr>
              <w:jc w:val="center"/>
              <w:rPr>
                <w:rFonts w:ascii="Calibri" w:hAnsi="Calibri" w:cs="Calibri"/>
                <w:color w:val="1F1F1F"/>
                <w:sz w:val="16"/>
                <w:szCs w:val="16"/>
                <w:lang w:eastAsia="es-ES"/>
              </w:rPr>
            </w:pPr>
            <w:r w:rsidRPr="00CB11A3">
              <w:rPr>
                <w:rFonts w:ascii="Calibri" w:hAnsi="Calibri" w:cs="Calibri"/>
                <w:color w:val="1F1F1F"/>
                <w:sz w:val="16"/>
                <w:szCs w:val="16"/>
                <w:lang w:eastAsia="es-ES"/>
              </w:rPr>
              <w:t>Serious</w:t>
            </w:r>
          </w:p>
        </w:tc>
        <w:tc>
          <w:tcPr>
            <w:tcW w:w="7162" w:type="dxa"/>
            <w:shd w:val="clear" w:color="auto" w:fill="FFFFFF"/>
            <w:tcMar>
              <w:top w:w="24" w:type="dxa"/>
              <w:left w:w="37" w:type="dxa"/>
              <w:bottom w:w="24" w:type="dxa"/>
              <w:right w:w="37" w:type="dxa"/>
            </w:tcMar>
          </w:tcPr>
          <w:p w14:paraId="1B3F6211"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D1:</w:t>
            </w:r>
            <w:r w:rsidRPr="00CB11A3">
              <w:rPr>
                <w:rFonts w:ascii="Calibri" w:hAnsi="Calibri" w:cs="Calibri"/>
                <w:color w:val="1F1F1F"/>
                <w:sz w:val="16"/>
                <w:szCs w:val="16"/>
                <w:lang w:val="en-US" w:eastAsia="es-ES"/>
              </w:rPr>
              <w:t xml:space="preserve"> “We conducted a retrospective analysis... our results are from a single integrated health system with... a non-randomized design".</w:t>
            </w:r>
          </w:p>
          <w:p w14:paraId="69A1DEE5"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D2:</w:t>
            </w:r>
            <w:r w:rsidRPr="00CB11A3">
              <w:rPr>
                <w:rFonts w:ascii="Calibri" w:hAnsi="Calibri" w:cs="Calibri"/>
                <w:color w:val="1F1F1F"/>
                <w:sz w:val="16"/>
                <w:szCs w:val="16"/>
                <w:lang w:val="en-US" w:eastAsia="es-ES"/>
              </w:rPr>
              <w:t xml:space="preserve"> “Patients... were admitted to HaH if they... passed a primary geographic screen and secondary assessment for clinical and psychosocial appropriateness".</w:t>
            </w:r>
          </w:p>
          <w:p w14:paraId="01F0E44B"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D3:</w:t>
            </w:r>
            <w:r w:rsidRPr="00CB11A3">
              <w:rPr>
                <w:rFonts w:ascii="Calibri" w:hAnsi="Calibri" w:cs="Calibri"/>
                <w:sz w:val="16"/>
                <w:szCs w:val="16"/>
                <w:lang w:val="en-US"/>
              </w:rPr>
              <w:t xml:space="preserve"> “</w:t>
            </w:r>
            <w:r w:rsidRPr="00CB11A3">
              <w:rPr>
                <w:rFonts w:ascii="Calibri" w:hAnsi="Calibri" w:cs="Calibri"/>
                <w:color w:val="1F1F1F"/>
                <w:sz w:val="16"/>
                <w:szCs w:val="16"/>
                <w:lang w:val="en-US" w:eastAsia="es-ES"/>
              </w:rPr>
              <w:t>A clinically integrated virtual command center (CIVC)... oversaw all HaH patient care through a virtual inpatient unit".</w:t>
            </w:r>
          </w:p>
          <w:p w14:paraId="1172B058"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D4:</w:t>
            </w:r>
            <w:r w:rsidRPr="00CB11A3">
              <w:rPr>
                <w:rFonts w:ascii="Calibri" w:hAnsi="Calibri" w:cs="Calibri"/>
                <w:color w:val="1F1F1F"/>
                <w:sz w:val="16"/>
                <w:szCs w:val="16"/>
                <w:lang w:val="en-US" w:eastAsia="es-ES"/>
              </w:rPr>
              <w:t xml:space="preserve"> “84% completed their home hospitalization without needing to be transferred... (care escalation)".</w:t>
            </w:r>
          </w:p>
          <w:p w14:paraId="77E3E20E"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D5:</w:t>
            </w:r>
            <w:r w:rsidRPr="00CB11A3">
              <w:rPr>
                <w:rFonts w:ascii="Calibri" w:hAnsi="Calibri" w:cs="Calibri"/>
                <w:color w:val="1F1F1F"/>
                <w:sz w:val="16"/>
                <w:szCs w:val="16"/>
                <w:lang w:val="en-US" w:eastAsia="es-ES"/>
              </w:rPr>
              <w:t xml:space="preserve"> “We extracted patient... encounter data... from our electronic medical record".</w:t>
            </w:r>
          </w:p>
          <w:p w14:paraId="7C642BDE"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D6:</w:t>
            </w:r>
            <w:r w:rsidRPr="00CB11A3">
              <w:rPr>
                <w:rFonts w:ascii="Calibri" w:hAnsi="Calibri" w:cs="Calibri"/>
                <w:sz w:val="16"/>
                <w:szCs w:val="16"/>
                <w:lang w:val="en-US"/>
              </w:rPr>
              <w:t xml:space="preserve"> </w:t>
            </w:r>
            <w:r w:rsidRPr="00CB11A3">
              <w:rPr>
                <w:rFonts w:ascii="Calibri" w:hAnsi="Calibri" w:cs="Calibri"/>
                <w:color w:val="1F1F1F"/>
                <w:sz w:val="16"/>
                <w:szCs w:val="16"/>
                <w:lang w:val="en-US" w:eastAsia="es-ES"/>
              </w:rPr>
              <w:t>"Charts with AHF... were retrospectively identified by International Classification of Diseases-10th revision codes".</w:t>
            </w:r>
          </w:p>
          <w:p w14:paraId="29F3DC5C" w14:textId="77777777" w:rsidR="00F84B26" w:rsidRPr="00CB11A3" w:rsidRDefault="00F84B26" w:rsidP="0028131C">
            <w:pPr>
              <w:rPr>
                <w:rFonts w:ascii="Calibri" w:hAnsi="Calibri" w:cs="Calibri"/>
                <w:color w:val="1F1F1F"/>
                <w:sz w:val="16"/>
                <w:szCs w:val="16"/>
                <w:lang w:val="en-US" w:eastAsia="es-ES"/>
              </w:rPr>
            </w:pPr>
            <w:r w:rsidRPr="00CB11A3">
              <w:rPr>
                <w:rFonts w:ascii="Calibri" w:hAnsi="Calibri" w:cs="Calibri"/>
                <w:b/>
                <w:bCs/>
                <w:color w:val="1F1F1F"/>
                <w:sz w:val="16"/>
                <w:szCs w:val="16"/>
                <w:lang w:val="en-US" w:eastAsia="es-ES"/>
              </w:rPr>
              <w:t>D7</w:t>
            </w:r>
            <w:r w:rsidRPr="00CB11A3">
              <w:rPr>
                <w:rFonts w:ascii="Calibri" w:hAnsi="Calibri" w:cs="Calibri"/>
                <w:color w:val="1F1F1F"/>
                <w:sz w:val="16"/>
                <w:szCs w:val="16"/>
                <w:lang w:val="en-US" w:eastAsia="es-ES"/>
              </w:rPr>
              <w:t>:</w:t>
            </w:r>
            <w:r w:rsidRPr="00CB11A3">
              <w:rPr>
                <w:rFonts w:ascii="Calibri" w:hAnsi="Calibri" w:cs="Calibri"/>
                <w:sz w:val="16"/>
                <w:szCs w:val="16"/>
                <w:lang w:val="en-US"/>
              </w:rPr>
              <w:t xml:space="preserve"> </w:t>
            </w:r>
            <w:r w:rsidRPr="00CB11A3">
              <w:rPr>
                <w:rFonts w:ascii="Calibri" w:hAnsi="Calibri" w:cs="Calibri"/>
                <w:color w:val="1F1F1F"/>
                <w:sz w:val="16"/>
                <w:szCs w:val="16"/>
                <w:lang w:val="en-US" w:eastAsia="es-ES"/>
              </w:rPr>
              <w:t>The study reports all pre-specified outcomes: decongestion (weight loss), GDMT titration (GDMT score), and safety (readmission and death)</w:t>
            </w:r>
          </w:p>
        </w:tc>
      </w:tr>
    </w:tbl>
    <w:p w14:paraId="03B1E7D9" w14:textId="77777777" w:rsidR="00F84B26" w:rsidRPr="00C431F6" w:rsidRDefault="00F84B26" w:rsidP="00F84B26">
      <w:pPr>
        <w:spacing w:after="160" w:line="278" w:lineRule="auto"/>
        <w:rPr>
          <w:lang w:val="en-US"/>
        </w:rPr>
      </w:pPr>
      <w:r w:rsidRPr="00615606">
        <w:rPr>
          <w:rFonts w:ascii="Calibri" w:hAnsi="Calibri" w:cs="Calibri"/>
          <w:i/>
          <w:iCs/>
          <w:color w:val="1F1F1F"/>
          <w:sz w:val="14"/>
          <w:szCs w:val="14"/>
          <w:lang w:val="en-US" w:eastAsia="es-ES"/>
        </w:rPr>
        <w:t xml:space="preserve">List of abbreviations: </w:t>
      </w:r>
      <w:r w:rsidRPr="00FA05C2">
        <w:rPr>
          <w:rFonts w:ascii="Calibri" w:hAnsi="Calibri" w:cs="Calibri"/>
          <w:i/>
          <w:iCs/>
          <w:color w:val="1F1F1F"/>
          <w:sz w:val="14"/>
          <w:szCs w:val="14"/>
          <w:lang w:val="en-US" w:eastAsia="es-ES"/>
        </w:rPr>
        <w:t>RoB 2: Revised Cochrane Risk of Bias tool for randomized trials</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ROBINS-I: Risk Of Bias In Non-randomized Studies - of Interventions</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D1 to D7: Domains of bias assessment</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ITT: Intention-to-trea</w:t>
      </w:r>
      <w:r w:rsidRPr="00615606">
        <w:rPr>
          <w:rFonts w:ascii="Calibri" w:hAnsi="Calibri" w:cs="Calibri"/>
          <w:i/>
          <w:iCs/>
          <w:color w:val="1F1F1F"/>
          <w:sz w:val="14"/>
          <w:szCs w:val="14"/>
          <w:lang w:val="en-US" w:eastAsia="es-ES"/>
        </w:rPr>
        <w:t xml:space="preserve">t; </w:t>
      </w:r>
      <w:r w:rsidRPr="00FA05C2">
        <w:rPr>
          <w:rFonts w:ascii="Calibri" w:hAnsi="Calibri" w:cs="Calibri"/>
          <w:i/>
          <w:iCs/>
          <w:color w:val="1F1F1F"/>
          <w:sz w:val="14"/>
          <w:szCs w:val="14"/>
          <w:lang w:val="en-US" w:eastAsia="es-ES"/>
        </w:rPr>
        <w:t>SMD: Standardized Mean Difference.OR: Odds Ratio</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AHF: Acute Heart Failure</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ADHF: Acute Decompensated Heart Failure</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MEESSI-AHF scale: Multiple Estimation of risk based on the Emergency Department Score in Patients with Acute Heart Failure</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GDMT: Guideline-Directed Medical Therapy</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 xml:space="preserve">CV event: Cardiovascular </w:t>
      </w:r>
      <w:r w:rsidRPr="00615606">
        <w:rPr>
          <w:rFonts w:ascii="Calibri" w:hAnsi="Calibri" w:cs="Calibri"/>
          <w:i/>
          <w:iCs/>
          <w:color w:val="1F1F1F"/>
          <w:sz w:val="14"/>
          <w:szCs w:val="14"/>
          <w:lang w:val="en-US" w:eastAsia="es-ES"/>
        </w:rPr>
        <w:t xml:space="preserve">evento; </w:t>
      </w:r>
      <w:r w:rsidRPr="00FA05C2">
        <w:rPr>
          <w:rFonts w:ascii="Calibri" w:hAnsi="Calibri" w:cs="Calibri"/>
          <w:i/>
          <w:iCs/>
          <w:color w:val="1F1F1F"/>
          <w:sz w:val="14"/>
          <w:szCs w:val="14"/>
          <w:lang w:val="en-US" w:eastAsia="es-ES"/>
        </w:rPr>
        <w:t>HF-related: Heart Failure-related</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ICD-10: International Classification of Diseases, 10th Revision</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HaH: Hospital at Home</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CH / CHC / CHosp: Conventional Hospitalization / Conventional Hospitalization Care</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CC: Conventional Care</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SSU: Short Stay Unit</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IM: Internal Medicine department</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ED: Emergency Department</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EMR: Electronic Medical Record</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CIVC: Clinically Integrated Virtual Command Center (Telehealth hub)</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DZThuis: Name of the specific Dutch Hospital-at-Home program (Bosman et al.</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QoL / HRQL: Quality of Life / Health-Related Quality of Life</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EQ-5D: EuroQol 5-Dimensions questionnaire</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SF-36: Short Form 36 Health Survey</w:t>
      </w:r>
      <w:r w:rsidRPr="00615606">
        <w:rPr>
          <w:rFonts w:ascii="Calibri" w:hAnsi="Calibri" w:cs="Calibri"/>
          <w:i/>
          <w:iCs/>
          <w:color w:val="1F1F1F"/>
          <w:sz w:val="14"/>
          <w:szCs w:val="14"/>
          <w:lang w:val="en-US" w:eastAsia="es-ES"/>
        </w:rPr>
        <w:t>;</w:t>
      </w:r>
      <w:r w:rsidRPr="00FA05C2">
        <w:rPr>
          <w:rFonts w:ascii="Calibri" w:hAnsi="Calibri" w:cs="Calibri"/>
          <w:i/>
          <w:iCs/>
          <w:color w:val="1F1F1F"/>
          <w:sz w:val="14"/>
          <w:szCs w:val="14"/>
          <w:lang w:val="en-US" w:eastAsia="es-ES"/>
        </w:rPr>
        <w:t>NHP: Nottingham Health Profile</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RSS: Relative's Stress Scale (measures caregiver burden)</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IADL: Instrumental Activities of Daily Living scale</w:t>
      </w:r>
      <w:r w:rsidRPr="00615606">
        <w:rPr>
          <w:rFonts w:ascii="Calibri" w:hAnsi="Calibri" w:cs="Calibri"/>
          <w:i/>
          <w:iCs/>
          <w:color w:val="1F1F1F"/>
          <w:sz w:val="14"/>
          <w:szCs w:val="14"/>
          <w:lang w:val="en-US" w:eastAsia="es-ES"/>
        </w:rPr>
        <w:t xml:space="preserve">; </w:t>
      </w:r>
      <w:r w:rsidRPr="00FA05C2">
        <w:rPr>
          <w:rFonts w:ascii="Calibri" w:hAnsi="Calibri" w:cs="Calibri"/>
          <w:i/>
          <w:iCs/>
          <w:color w:val="1F1F1F"/>
          <w:sz w:val="14"/>
          <w:szCs w:val="14"/>
          <w:lang w:val="en-US" w:eastAsia="es-ES"/>
        </w:rPr>
        <w:t>MMS / MMSE: Mini-Mental State Examination</w:t>
      </w:r>
      <w:r w:rsidRPr="00615606">
        <w:rPr>
          <w:rFonts w:ascii="Calibri" w:hAnsi="Calibri" w:cs="Calibri"/>
          <w:i/>
          <w:iCs/>
          <w:color w:val="1F1F1F"/>
          <w:sz w:val="14"/>
          <w:szCs w:val="14"/>
          <w:lang w:val="en-US" w:eastAsia="es-ES"/>
        </w:rPr>
        <w:t>.</w:t>
      </w:r>
    </w:p>
    <w:p w14:paraId="5B181478" w14:textId="77777777" w:rsidR="00F84B26" w:rsidRPr="005C6859" w:rsidRDefault="00F84B26" w:rsidP="00F84B26">
      <w:pPr>
        <w:outlineLvl w:val="2"/>
        <w:rPr>
          <w:rFonts w:ascii="Calibri" w:hAnsi="Calibri" w:cs="Calibri"/>
          <w:b/>
          <w:bCs/>
          <w:i/>
          <w:iCs/>
          <w:color w:val="1F1F1F"/>
          <w:sz w:val="14"/>
          <w:szCs w:val="14"/>
          <w:lang w:val="en-US" w:eastAsia="es-ES"/>
        </w:rPr>
      </w:pPr>
      <w:r w:rsidRPr="005C6859">
        <w:rPr>
          <w:rFonts w:ascii="Calibri" w:hAnsi="Calibri" w:cs="Calibri"/>
          <w:b/>
          <w:bCs/>
          <w:i/>
          <w:iCs/>
          <w:color w:val="1F1F1F"/>
          <w:sz w:val="14"/>
          <w:szCs w:val="14"/>
          <w:lang w:val="en-US" w:eastAsia="es-ES"/>
        </w:rPr>
        <w:t>Summary of the Quality of Evidence</w:t>
      </w:r>
    </w:p>
    <w:p w14:paraId="45D638FA" w14:textId="77777777" w:rsidR="00F84B26" w:rsidRPr="005C6859" w:rsidRDefault="00F84B26" w:rsidP="00F84B26">
      <w:pPr>
        <w:outlineLvl w:val="2"/>
        <w:rPr>
          <w:rFonts w:ascii="Calibri" w:hAnsi="Calibri" w:cs="Calibri"/>
          <w:i/>
          <w:iCs/>
          <w:color w:val="1F1F1F"/>
          <w:sz w:val="14"/>
          <w:szCs w:val="14"/>
          <w:lang w:val="en-US" w:eastAsia="es-ES"/>
        </w:rPr>
      </w:pPr>
      <w:r w:rsidRPr="005C6859">
        <w:rPr>
          <w:rFonts w:ascii="Calibri" w:hAnsi="Calibri" w:cs="Calibri"/>
          <w:i/>
          <w:iCs/>
          <w:color w:val="1F1F1F"/>
          <w:sz w:val="14"/>
          <w:szCs w:val="14"/>
          <w:lang w:val="en-US" w:eastAsia="es-ES"/>
        </w:rPr>
        <w:t>The overall quality of the analyzed evidence exhibits significant methodological heterogeneity, ranging from a "Low" risk of bias in specific technical domains to a "Serious" or "Critical" risk inherent in observational designs.</w:t>
      </w:r>
    </w:p>
    <w:p w14:paraId="4654B28D" w14:textId="77777777" w:rsidR="00F84B26" w:rsidRPr="005C6859" w:rsidRDefault="00F84B26" w:rsidP="00F84B26">
      <w:pPr>
        <w:outlineLvl w:val="2"/>
        <w:rPr>
          <w:rFonts w:ascii="Calibri" w:hAnsi="Calibri" w:cs="Calibri"/>
          <w:i/>
          <w:iCs/>
          <w:color w:val="1F1F1F"/>
          <w:sz w:val="14"/>
          <w:szCs w:val="14"/>
          <w:lang w:val="en-US" w:eastAsia="es-ES"/>
        </w:rPr>
      </w:pPr>
      <w:r w:rsidRPr="005C6859">
        <w:rPr>
          <w:rFonts w:ascii="Calibri" w:hAnsi="Calibri" w:cs="Calibri"/>
          <w:b/>
          <w:bCs/>
          <w:i/>
          <w:iCs/>
          <w:color w:val="1F1F1F"/>
          <w:sz w:val="14"/>
          <w:szCs w:val="14"/>
          <w:lang w:val="en-US" w:eastAsia="es-ES"/>
        </w:rPr>
        <w:t xml:space="preserve">•Randomized Controlled Trials (RCTs): </w:t>
      </w:r>
      <w:r w:rsidRPr="005C6859">
        <w:rPr>
          <w:rFonts w:ascii="Calibri" w:hAnsi="Calibri" w:cs="Calibri"/>
          <w:i/>
          <w:iCs/>
          <w:color w:val="1F1F1F"/>
          <w:sz w:val="14"/>
          <w:szCs w:val="14"/>
          <w:lang w:val="en-US" w:eastAsia="es-ES"/>
        </w:rPr>
        <w:t>The three evaluated RCTs (Mendoza, Patel, Tibaldi) demonstrate a general High Risk of bias, primarily due to the inability to blind the intervention, which impacts the validity of subjective outcomes.</w:t>
      </w:r>
    </w:p>
    <w:p w14:paraId="3A529BFF" w14:textId="77777777" w:rsidR="00F84B26" w:rsidRPr="005C6859" w:rsidRDefault="00F84B26" w:rsidP="00F84B26">
      <w:pPr>
        <w:outlineLvl w:val="2"/>
        <w:rPr>
          <w:rFonts w:ascii="Calibri" w:hAnsi="Calibri" w:cs="Calibri"/>
          <w:b/>
          <w:bCs/>
          <w:i/>
          <w:iCs/>
          <w:color w:val="1F1F1F"/>
          <w:sz w:val="14"/>
          <w:szCs w:val="14"/>
          <w:lang w:val="en-US" w:eastAsia="es-ES"/>
        </w:rPr>
      </w:pPr>
      <w:r w:rsidRPr="005C6859">
        <w:rPr>
          <w:rFonts w:ascii="Calibri" w:hAnsi="Calibri" w:cs="Calibri"/>
          <w:b/>
          <w:bCs/>
          <w:i/>
          <w:iCs/>
          <w:color w:val="1F1F1F"/>
          <w:sz w:val="14"/>
          <w:szCs w:val="14"/>
          <w:lang w:val="en-US" w:eastAsia="es-ES"/>
        </w:rPr>
        <w:t>•Observational and Registry-Based Studies:</w:t>
      </w:r>
    </w:p>
    <w:p w14:paraId="0E375823" w14:textId="77777777" w:rsidR="00F84B26" w:rsidRPr="005C6859" w:rsidRDefault="00F84B26" w:rsidP="00F84B26">
      <w:pPr>
        <w:numPr>
          <w:ilvl w:val="0"/>
          <w:numId w:val="1"/>
        </w:numPr>
        <w:outlineLvl w:val="2"/>
        <w:rPr>
          <w:rFonts w:ascii="Calibri" w:hAnsi="Calibri" w:cs="Calibri"/>
          <w:i/>
          <w:iCs/>
          <w:color w:val="1F1F1F"/>
          <w:sz w:val="14"/>
          <w:szCs w:val="14"/>
          <w:lang w:val="en-US" w:eastAsia="es-ES"/>
        </w:rPr>
      </w:pPr>
      <w:r w:rsidRPr="005C6859">
        <w:rPr>
          <w:rFonts w:ascii="Calibri" w:hAnsi="Calibri" w:cs="Calibri"/>
          <w:i/>
          <w:iCs/>
          <w:color w:val="1F1F1F"/>
          <w:sz w:val="14"/>
          <w:szCs w:val="14"/>
          <w:lang w:val="en-US" w:eastAsia="es-ES"/>
        </w:rPr>
        <w:t>Critical Risk: Studies such as Helberg et al. (2023) and Bosman et al. (2025) exhibit critical risks due to non-comparable control groups (e.g., treatment decliners) or a lack of adjustment for significant baseline disparities.</w:t>
      </w:r>
    </w:p>
    <w:p w14:paraId="7C3CE9AA" w14:textId="77777777" w:rsidR="00F84B26" w:rsidRPr="005C6859" w:rsidRDefault="00F84B26" w:rsidP="00F84B26">
      <w:pPr>
        <w:numPr>
          <w:ilvl w:val="0"/>
          <w:numId w:val="1"/>
        </w:numPr>
        <w:outlineLvl w:val="2"/>
        <w:rPr>
          <w:rFonts w:ascii="Calibri" w:hAnsi="Calibri" w:cs="Calibri"/>
          <w:i/>
          <w:iCs/>
          <w:color w:val="1F1F1F"/>
          <w:sz w:val="14"/>
          <w:szCs w:val="14"/>
          <w:lang w:val="en-US" w:eastAsia="es-ES"/>
        </w:rPr>
      </w:pPr>
      <w:r w:rsidRPr="005C6859">
        <w:rPr>
          <w:rFonts w:ascii="Calibri" w:hAnsi="Calibri" w:cs="Calibri"/>
          <w:i/>
          <w:iCs/>
          <w:color w:val="1F1F1F"/>
          <w:sz w:val="14"/>
          <w:szCs w:val="14"/>
          <w:lang w:val="en-US" w:eastAsia="es-ES"/>
        </w:rPr>
        <w:lastRenderedPageBreak/>
        <w:t>Serious but Adjusted Risk: Modern studies such as Martyn et al. (2025) and Sánchez Marcos et al. (2023) present a Serious overall risk due to their retrospective nature. However, they are notable for their rigorous statistical adjustment. Specifically, Sánchez Marcos et al. adjusted for baseline complexity and episode severity, demonstrating that while HaH patients were older and had more comorbidities, clinical outcomes were comparable to conventional hospitalization.</w:t>
      </w:r>
    </w:p>
    <w:p w14:paraId="47DD0C61" w14:textId="77777777" w:rsidR="00F84B26" w:rsidRPr="005C6859" w:rsidRDefault="00F84B26" w:rsidP="00F84B26">
      <w:pPr>
        <w:outlineLvl w:val="2"/>
        <w:rPr>
          <w:rFonts w:ascii="Calibri" w:hAnsi="Calibri" w:cs="Calibri"/>
          <w:b/>
          <w:bCs/>
          <w:i/>
          <w:iCs/>
          <w:color w:val="1F1F1F"/>
          <w:sz w:val="14"/>
          <w:szCs w:val="14"/>
          <w:lang w:val="en-US" w:eastAsia="es-ES"/>
        </w:rPr>
        <w:sectPr w:rsidR="00F84B26" w:rsidRPr="005C6859" w:rsidSect="00F84B26">
          <w:pgSz w:w="16840" w:h="11900" w:orient="landscape"/>
          <w:pgMar w:top="1197" w:right="1418" w:bottom="668" w:left="1134" w:header="709" w:footer="93" w:gutter="0"/>
          <w:cols w:space="708"/>
          <w:docGrid w:linePitch="360"/>
        </w:sectPr>
      </w:pPr>
      <w:r w:rsidRPr="005C6859">
        <w:rPr>
          <w:rFonts w:ascii="Calibri" w:hAnsi="Calibri" w:cs="Calibri"/>
          <w:b/>
          <w:bCs/>
          <w:i/>
          <w:iCs/>
          <w:color w:val="1F1F1F"/>
          <w:sz w:val="14"/>
          <w:szCs w:val="14"/>
          <w:lang w:val="en-US" w:eastAsia="es-ES"/>
        </w:rPr>
        <w:t xml:space="preserve">•Bias Patterns: </w:t>
      </w:r>
      <w:r w:rsidRPr="005C6859">
        <w:rPr>
          <w:rFonts w:ascii="Calibri" w:hAnsi="Calibri" w:cs="Calibri"/>
          <w:i/>
          <w:iCs/>
          <w:color w:val="1F1F1F"/>
          <w:sz w:val="14"/>
          <w:szCs w:val="14"/>
          <w:lang w:val="en-US" w:eastAsia="es-ES"/>
        </w:rPr>
        <w:t>A systemic selection bias persists, as HAH is typically reserved for patients with adequate social support and clinical stability. Nevertheless, data integrity is high in studies utilizing integrated electronic records (Martyn) or prospective multicenter registries like EAHFE (Sánchez Marcos et al.</w:t>
      </w:r>
    </w:p>
    <w:p w14:paraId="02154CFD"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1A7D96"/>
    <w:multiLevelType w:val="hybridMultilevel"/>
    <w:tmpl w:val="736C574A"/>
    <w:lvl w:ilvl="0" w:tplc="0E3C8016">
      <w:start w:val="9"/>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141771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B26"/>
    <w:rsid w:val="000C4033"/>
    <w:rsid w:val="00173ED8"/>
    <w:rsid w:val="002F50B1"/>
    <w:rsid w:val="004B42CB"/>
    <w:rsid w:val="005F2B46"/>
    <w:rsid w:val="006E1731"/>
    <w:rsid w:val="00866D74"/>
    <w:rsid w:val="00882A73"/>
    <w:rsid w:val="00906905"/>
    <w:rsid w:val="0095305D"/>
    <w:rsid w:val="009E5C86"/>
    <w:rsid w:val="00B10170"/>
    <w:rsid w:val="00B260B7"/>
    <w:rsid w:val="00B85331"/>
    <w:rsid w:val="00C94D66"/>
    <w:rsid w:val="00DE7E69"/>
    <w:rsid w:val="00E023F9"/>
    <w:rsid w:val="00F84B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69E2E"/>
  <w15:chartTrackingRefBased/>
  <w15:docId w15:val="{7533EDEC-B663-41B9-9A06-0CB941A04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B26"/>
    <w:pPr>
      <w:spacing w:after="0" w:line="240" w:lineRule="auto"/>
    </w:pPr>
    <w:rPr>
      <w:rFonts w:ascii="Times New Roman" w:eastAsia="Times New Roman" w:hAnsi="Times New Roman" w:cs="Times New Roman"/>
      <w:kern w:val="0"/>
      <w:lang w:val="es-ES" w:eastAsia="es-ES_tradnl"/>
      <w14:ligatures w14:val="none"/>
    </w:rPr>
  </w:style>
  <w:style w:type="paragraph" w:styleId="Heading1">
    <w:name w:val="heading 1"/>
    <w:basedOn w:val="Normal"/>
    <w:next w:val="Normal"/>
    <w:link w:val="Heading1Char"/>
    <w:uiPriority w:val="9"/>
    <w:qFormat/>
    <w:rsid w:val="00F84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B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B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B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B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B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B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B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B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B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B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B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B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B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B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B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B26"/>
    <w:rPr>
      <w:rFonts w:eastAsiaTheme="majorEastAsia" w:cstheme="majorBidi"/>
      <w:color w:val="272727" w:themeColor="text1" w:themeTint="D8"/>
    </w:rPr>
  </w:style>
  <w:style w:type="paragraph" w:styleId="Title">
    <w:name w:val="Title"/>
    <w:basedOn w:val="Normal"/>
    <w:next w:val="Normal"/>
    <w:link w:val="TitleChar"/>
    <w:uiPriority w:val="10"/>
    <w:qFormat/>
    <w:rsid w:val="00F84B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B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B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B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B26"/>
    <w:pPr>
      <w:spacing w:before="160"/>
      <w:jc w:val="center"/>
    </w:pPr>
    <w:rPr>
      <w:i/>
      <w:iCs/>
      <w:color w:val="404040" w:themeColor="text1" w:themeTint="BF"/>
    </w:rPr>
  </w:style>
  <w:style w:type="character" w:customStyle="1" w:styleId="QuoteChar">
    <w:name w:val="Quote Char"/>
    <w:basedOn w:val="DefaultParagraphFont"/>
    <w:link w:val="Quote"/>
    <w:uiPriority w:val="29"/>
    <w:rsid w:val="00F84B26"/>
    <w:rPr>
      <w:i/>
      <w:iCs/>
      <w:color w:val="404040" w:themeColor="text1" w:themeTint="BF"/>
    </w:rPr>
  </w:style>
  <w:style w:type="paragraph" w:styleId="ListParagraph">
    <w:name w:val="List Paragraph"/>
    <w:basedOn w:val="Normal"/>
    <w:uiPriority w:val="34"/>
    <w:qFormat/>
    <w:rsid w:val="00F84B26"/>
    <w:pPr>
      <w:ind w:left="720"/>
      <w:contextualSpacing/>
    </w:pPr>
  </w:style>
  <w:style w:type="character" w:styleId="IntenseEmphasis">
    <w:name w:val="Intense Emphasis"/>
    <w:basedOn w:val="DefaultParagraphFont"/>
    <w:uiPriority w:val="21"/>
    <w:qFormat/>
    <w:rsid w:val="00F84B26"/>
    <w:rPr>
      <w:i/>
      <w:iCs/>
      <w:color w:val="0F4761" w:themeColor="accent1" w:themeShade="BF"/>
    </w:rPr>
  </w:style>
  <w:style w:type="paragraph" w:styleId="IntenseQuote">
    <w:name w:val="Intense Quote"/>
    <w:basedOn w:val="Normal"/>
    <w:next w:val="Normal"/>
    <w:link w:val="IntenseQuoteChar"/>
    <w:uiPriority w:val="30"/>
    <w:qFormat/>
    <w:rsid w:val="00F84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B26"/>
    <w:rPr>
      <w:i/>
      <w:iCs/>
      <w:color w:val="0F4761" w:themeColor="accent1" w:themeShade="BF"/>
    </w:rPr>
  </w:style>
  <w:style w:type="character" w:styleId="IntenseReference">
    <w:name w:val="Intense Reference"/>
    <w:basedOn w:val="DefaultParagraphFont"/>
    <w:uiPriority w:val="32"/>
    <w:qFormat/>
    <w:rsid w:val="00F84B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1464</Words>
  <Characters>8348</Characters>
  <Application>Microsoft Office Word</Application>
  <DocSecurity>0</DocSecurity>
  <Lines>69</Lines>
  <Paragraphs>19</Paragraphs>
  <ScaleCrop>false</ScaleCrop>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2026-09-07T04:39:00Z</dcterms:created>
  <dcterms:modified xsi:type="dcterms:W3CDTF">2026-09-07T04:39:00Z</dcterms:modified>
</cp:coreProperties>
</file>