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5A68" w:rsidRPr="00AC41AE" w:rsidRDefault="00000000">
      <w:pPr>
        <w:spacing w:after="60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  <w:lang w:val="en-US"/>
        </w:rPr>
        <w:t>Additional file 1 — Supplementary material</w:t>
      </w:r>
    </w:p>
    <w:p w:rsidR="00AC41AE" w:rsidRPr="00AC41AE" w:rsidRDefault="00AC41AE">
      <w:pPr>
        <w:spacing w:after="60"/>
        <w:rPr>
          <w:lang w:val="en-US"/>
        </w:rPr>
      </w:pPr>
    </w:p>
    <w:p w:rsidR="007F5A68" w:rsidRDefault="00000000">
      <w:pPr>
        <w:spacing w:after="120" w:line="264" w:lineRule="auto"/>
        <w:rPr>
          <w:i/>
          <w:iCs/>
          <w:lang w:val="en-US"/>
        </w:rPr>
      </w:pPr>
      <w:r>
        <w:rPr>
          <w:b/>
          <w:bCs/>
          <w:lang w:val="en-US"/>
        </w:rPr>
        <w:t>Manuscript: Silent calibration drift in a frozen clinical prediction model: a decade-long audit and an operational monitoring framework.</w:t>
      </w:r>
      <w:r>
        <w:rPr>
          <w:i/>
          <w:iCs/>
          <w:lang w:val="en-US"/>
        </w:rPr>
      </w:r>
    </w:p>
    <w:p w:rsidR="00AC41AE" w:rsidRPr="00AC41AE" w:rsidRDefault="00AC41AE">
      <w:pPr>
        <w:spacing w:after="120" w:line="264" w:lineRule="auto"/>
        <w:rPr>
          <w:lang w:val="en-US"/>
        </w:rPr>
      </w:pPr>
    </w:p>
    <w:p>
      <w:pPr>
        <w:rPr>
          <w:b/>
          <w:lang w:val="en-US"/>
        </w:rPr>
      </w:pPr>
      <w:r>
        <w:rPr>
          <w:b/>
          <w:lang w:val="en-US"/>
        </w:rPr>
        <w:t>Table S5. Data quality by era</w:t>
      </w:r>
    </w:p>
    <w:p>
      <w:pPr>
        <w:rPr>
          <w:lang w:val="en-US"/>
        </w:rPr>
      </w:pPr>
      <w:r>
        <w:rPr>
          <w:lang w:val="en-US"/>
        </w:rPr>
        <w:t>Table S5. Data quality by era. Predicted postoperative FEV1 (ppoFEV1) was recorded as exactly 0 in 100 patients and above 150% predicted in 3; the observed distribution contains no values between 0 and 18.5% predicted, identifying 0 as a sentinel for an unmeasured value. ppoFEV1 is a derived quantity: FEV1 × (1 − resected segments / 19) reproduces the recorded value with r = 0.981 and a mean absolute error of 0.5 percentage points. It was therefore recomputed rather than imputed in the 90 affected records whose FEV1 was itself valid (first row). A further 16 records carried implausible values of other predictors. In total 24 of 1561 records (1.5%) had a value set to missing and imputed with frozen development-era medians. The calibration drift was reproduced under complete-case analysis (n = 1537; intercept −0.58 in 2016–17 and −0.35 in 2018–21) and under multiple imputation (−0.53 and −0.32; 20 imputed datasets generated by iterative imputation drawing from the posterior; within each dataset the development model was refitted on the 2011–15 era and evaluated on the later eras, and the per-era calibration intercepts were combined by Rubin’s rules).</w:t>
      </w:r>
    </w:p>
    <w:tbl>
      <w:tblPr>
        <w:tblStyle w:val="TableGrid"/>
        <w:tblW w:w="7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600"/>
        <w:gridCol w:w="1500"/>
        <w:gridCol w:w="1500"/>
        <w:gridCol w:w="1500"/>
      </w:tblGrid>
      <w:tr>
        <w:tc>
          <w:tcPr>
            <w:tcW w:w="260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Variable</w:t>
            </w:r>
          </w:p>
        </w:tc>
        <w:tc>
          <w:tcPr>
            <w:tcW w:w="150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2011–15</w:t>
            </w:r>
          </w:p>
        </w:tc>
        <w:tc>
          <w:tcPr>
            <w:tcW w:w="150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2016–17</w:t>
            </w:r>
          </w:p>
        </w:tc>
        <w:tc>
          <w:tcPr>
            <w:tcW w:w="1500" w:type="dxa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2018–21</w:t>
            </w:r>
          </w:p>
        </w:tc>
      </w:tr>
      <w:tr>
        <w:tc>
          <w:tcPr>
            <w:tcW w:w="2600" w:type="dxa"/>
          </w:tcPr>
          <w:p>
            <w:r/>
            <w:r>
              <w:rPr>
                <w:b w:val="0"/>
                <w:sz w:val="18"/>
              </w:rPr>
              <w:t>ppoFEV1 recomputed from FEV1 × (1 − segments/19)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56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17</w:t>
            </w:r>
          </w:p>
        </w:tc>
      </w:tr>
      <w:tr>
        <w:tc>
          <w:tcPr>
            <w:tcW w:w="2600" w:type="dxa"/>
          </w:tcPr>
          <w:p>
            <w:r/>
            <w:r>
              <w:rPr>
                <w:b w:val="0"/>
                <w:sz w:val="18"/>
              </w:rPr>
              <w:t>FEV1 ≤0 or &gt;200% predicted → missing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1.7%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0.5%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0.5%</w:t>
            </w:r>
          </w:p>
        </w:tc>
      </w:tr>
      <w:tr>
        <w:tc>
          <w:tcPr>
            <w:tcW w:w="2600" w:type="dxa"/>
          </w:tcPr>
          <w:p>
            <w:r/>
            <w:r>
              <w:rPr>
                <w:b w:val="0"/>
                <w:sz w:val="18"/>
              </w:rPr>
              <w:t>ppoFEV1 still missing (FEV1 invalid)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1.8%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0.5%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0.3%</w:t>
            </w:r>
          </w:p>
        </w:tc>
      </w:tr>
      <w:tr>
        <w:tc>
          <w:tcPr>
            <w:tcW w:w="2600" w:type="dxa"/>
          </w:tcPr>
          <w:p>
            <w:r/>
            <w:r>
              <w:rPr>
                <w:b w:val="0"/>
                <w:sz w:val="18"/>
              </w:rPr>
              <w:t>BMI, albumin, age, sex, ASA, pN2 → missing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0.4%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1.3%</w:t>
            </w:r>
          </w:p>
        </w:tc>
        <w:tc>
          <w:tcPr>
            <w:tcW w:w="1500" w:type="dxa"/>
          </w:tcPr>
          <w:p>
            <w:r/>
            <w:r>
              <w:rPr>
                <w:b w:val="0"/>
                <w:sz w:val="18"/>
              </w:rPr>
              <w:t>0.6%</w:t>
            </w:r>
          </w:p>
        </w:tc>
      </w:tr>
      <w:tr>
        <w:tc>
          <w:tcPr>
            <w:tcW w:w="2600" w:type="dxa"/>
          </w:tcPr>
          <w:p>
            <w:r/>
            <w:r>
              <w:rPr>
                <w:b/>
                <w:sz w:val="18"/>
              </w:rPr>
              <w:t>Any value set to missing and imputed</w:t>
            </w:r>
          </w:p>
        </w:tc>
        <w:tc>
          <w:tcPr>
            <w:tcW w:w="1500" w:type="dxa"/>
          </w:tcPr>
          <w:p>
            <w:r/>
            <w:r>
              <w:rPr>
                <w:b/>
                <w:sz w:val="18"/>
              </w:rPr>
              <w:t>2.0%</w:t>
            </w:r>
          </w:p>
        </w:tc>
        <w:tc>
          <w:tcPr>
            <w:tcW w:w="1500" w:type="dxa"/>
          </w:tcPr>
          <w:p>
            <w:r/>
            <w:r>
              <w:rPr>
                <w:b/>
                <w:sz w:val="18"/>
              </w:rPr>
              <w:t>1.6%</w:t>
            </w:r>
          </w:p>
        </w:tc>
        <w:tc>
          <w:tcPr>
            <w:tcW w:w="1500" w:type="dxa"/>
          </w:tcPr>
          <w:p>
            <w:r/>
            <w:r>
              <w:rPr>
                <w:b/>
                <w:sz w:val="18"/>
              </w:rPr>
              <w:t>1.1%</w:t>
            </w:r>
          </w:p>
        </w:tc>
      </w:tr>
    </w:tbl>
    <w:p>
      <w:pPr>
        <w:rPr>
          <w:lang w:val="en-US"/>
        </w:rPr>
      </w:pPr>
      <w:r>
        <w:rPr>
          <w:lang w:val="en-US"/>
        </w:rPr>
        <w:t xml:space="preserve"/>
      </w:r>
    </w:p>
    <w:p w:rsidR="007F5A68" w:rsidRPr="00AC41AE" w:rsidRDefault="00000000">
      <w:pPr>
        <w:spacing w:after="120" w:line="264" w:lineRule="auto"/>
        <w:rPr>
          <w:lang w:val="en-US"/>
        </w:rPr>
      </w:pPr>
      <w:r>
        <w:rPr>
          <w:b/>
          <w:bCs/>
          <w:lang w:val="en-US"/>
        </w:rPr>
        <w:t>Contents: Tables S1–S5; Figure S1; note on the supplementary code. The completed TRIPOD+AI checklist is provided separately as Additional file 2.</w:t>
      </w:r>
      <w:r>
        <w:rPr>
          <w:lang w:val="en-US"/>
        </w:rPr>
      </w:r>
    </w:p>
    <w:p w:rsidR="00AC41AE" w:rsidRDefault="00AC41AE">
      <w:pPr>
        <w:pStyle w:val="Titre1"/>
        <w:rPr>
          <w:lang w:val="en-US"/>
        </w:rPr>
      </w:pPr>
    </w:p>
    <w:p w:rsidR="007F5A68" w:rsidRPr="00AC41AE" w:rsidRDefault="00000000">
      <w:pPr>
        <w:pStyle w:val="Titre1"/>
        <w:rPr>
          <w:lang w:val="en-US"/>
        </w:rPr>
      </w:pPr>
      <w:r>
        <w:rPr>
          <w:lang w:val="en-US"/>
        </w:rPr>
        <w:t>Table S1. Full case-mix and outcome characteristics across eras</w:t>
      </w:r>
    </w:p>
    <w:p w:rsidR="007F5A68" w:rsidRPr="00AC41AE" w:rsidRDefault="00000000">
      <w:pPr>
        <w:spacing w:before="180" w:after="60"/>
        <w:rPr>
          <w:lang w:val="en-US"/>
        </w:rPr>
      </w:pPr>
      <w:r>
        <w:rPr>
          <w:b/>
          <w:bCs/>
          <w:lang w:val="en-US"/>
        </w:rPr>
        <w:t xml:space="preserve">Table S1. </w:t>
      </w:r>
      <w:r>
        <w:rPr>
          <w:sz w:val="18"/>
          <w:szCs w:val="18"/>
          <w:lang w:val="en-US"/>
        </w:rPr>
        <w:t xml:space="preserve">Patient, tumour, and operative characteristics by era. Continuous variables: mean ± SD. Binary variables: n (%). P values from one-way ANOVA (continuous) or </w:t>
      </w:r>
      <w:r>
        <w:rPr>
          <w:sz w:val="18"/>
          <w:szCs w:val="18"/>
        </w:rPr>
        <w:t>χ</w:t>
      </w:r>
      <w:r>
        <w:rPr>
          <w:sz w:val="18"/>
          <w:szCs w:val="18"/>
          <w:lang w:val="en-US"/>
        </w:rPr>
        <w:t>² test (binary).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860"/>
        <w:gridCol w:w="1860"/>
        <w:gridCol w:w="1860"/>
        <w:gridCol w:w="780"/>
      </w:tblGrid>
      <w:tr w:rsidR="007F5A6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 w:rsidR="007F5A68" w:rsidRDefault="00000000">
            <w:pPr>
              <w:spacing w:line="230" w:lineRule="auto"/>
            </w:pPr>
            <w:r>
              <w:rPr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2011–15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2016–17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2018–21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 w:rsidR="007F5A68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P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Age, years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63.1 ± 10.4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64.5 ± 9.5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65.1 ± 9.3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0.003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ASA class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1.8 ± 0.7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2.4 ± 0.6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2.5 ± 0.6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0.000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FEV1, % pred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83.8 ± 20.4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82.3 ± 21.2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85.3 ± 18.8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0.058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ppoFEV1, % pred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63.8 ± 17.9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63.7 ± 19.2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65.6 ± 16.6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0.131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BMI, kg/m²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25.6 ± 4.7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26.2 ± 4.9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26.3 ± 5.0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0.037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Albumin, g/L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39.6 ± 5.1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40.0 ± 4.5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39.9 ± 3.1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0.366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Procedure, min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161.2 ± 55.2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160.7 ± 55.7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169.5 ± 57.1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0.013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Anaesthesia, min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222.1 ± 60.7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224.7 ± 62.0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232.2 ± 64.1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0.016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Male sex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396 (73.2)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278 (73.4)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430 (67.1)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0.031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Minimally invasive access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186 (34.4)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244 (64.4)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472 (73.6)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0.000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Lobectomy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433 (80.0)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295 (77.8)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507 (79.1)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0.721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Segmentectomy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23 (4.3)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39 (10.3)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57 (8.9)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0.001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Bilobectomy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20 (3.7)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14 (3.7)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23 (3.6)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0.994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Pneumonectomy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66 (12.2)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39 (10.3)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64 (10.0)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0.440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Active smoking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470 (86.9)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348 (91.8)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555 (86.6)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0.029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Diabetes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87 (16.1)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48 (12.7)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124 (19.3)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0.020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Hypertension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199 (36.8)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174 (45.9)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302 (47.1)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0.001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COPD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166 (30.7)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136 (35.9)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177 (27.6)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0.022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Coronary artery disease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76 (14.0)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50 (13.2)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95 (14.8)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0.768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Cardiac arrhythmia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49 (9.1)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36 (9.5)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54 (8.4)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0.834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Heart failure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18 (3.3)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14 (3.7)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13 (2.0)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0.229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Renal failure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20 (3.7)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17 (4.5)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27 (4.2)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0.824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pN1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69 (12.8)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47 (12.4)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60 (9.4)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0.134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pN2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57 (10.5)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51 (13.5)</w:t>
            </w:r>
          </w:p>
        </w:tc>
        <w:tc>
          <w:tcPr>
            <w:tcW w:w="18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65 (10.1)</w:t>
            </w:r>
          </w:p>
        </w:tc>
        <w:tc>
          <w:tcPr>
            <w:tcW w:w="7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0.234</w:t>
            </w:r>
          </w:p>
        </w:tc>
      </w:tr>
      <w:tr>
        <w:tc>
          <w:tcPr>
            <w:tcW w:type="dxa" w:w="3000"/>
          </w:tcPr>
          <w:p>
            <w:r/>
            <w:r>
              <w:rPr>
                <w:b w:val="0"/>
                <w:sz w:val="18"/>
              </w:rPr>
              <w:t>Postoperative pneumonia</w:t>
            </w:r>
          </w:p>
        </w:tc>
        <w:tc>
          <w:tcPr>
            <w:tcW w:type="dxa" w:w="1860"/>
          </w:tcPr>
          <w:p>
            <w:r/>
            <w:r>
              <w:rPr>
                <w:b w:val="0"/>
                <w:sz w:val="18"/>
              </w:rPr>
              <w:t>148 (27.4)</w:t>
            </w:r>
          </w:p>
        </w:tc>
        <w:tc>
          <w:tcPr>
            <w:tcW w:type="dxa" w:w="1860"/>
          </w:tcPr>
          <w:p>
            <w:r/>
            <w:r>
              <w:rPr>
                <w:b w:val="0"/>
                <w:sz w:val="18"/>
              </w:rPr>
              <w:t>67 (17.7)</w:t>
            </w:r>
          </w:p>
        </w:tc>
        <w:tc>
          <w:tcPr>
            <w:tcW w:type="dxa" w:w="1860"/>
          </w:tcPr>
          <w:p>
            <w:r/>
            <w:r>
              <w:rPr>
                <w:b w:val="0"/>
                <w:sz w:val="18"/>
              </w:rPr>
              <w:t>124 (19.3)</w:t>
            </w:r>
          </w:p>
        </w:tc>
        <w:tc>
          <w:tcPr>
            <w:tcW w:type="dxa" w:w="780"/>
          </w:tcPr>
          <w:p>
            <w:r/>
            <w:r>
              <w:rPr>
                <w:b w:val="0"/>
                <w:sz w:val="18"/>
              </w:rPr>
              <w:t>0.000</w:t>
            </w:r>
          </w:p>
        </w:tc>
      </w:tr>
    </w:tbl>
    <w:p w:rsidR="007F5A68" w:rsidRPr="00AC41AE" w:rsidRDefault="00000000">
      <w:pPr>
        <w:spacing w:before="50" w:after="160" w:line="230" w:lineRule="auto"/>
        <w:rPr>
          <w:lang w:val="en-US"/>
        </w:rPr>
      </w:pPr>
      <w:r>
        <w:rPr>
          <w:i/>
          <w:iCs/>
          <w:sz w:val="17"/>
          <w:szCs w:val="17"/>
          <w:lang w:val="en-US"/>
        </w:rPr>
        <w:t>ASA, American Society of Anesthesiologists; FEV1, forced expiratory volume in 1 s; ppoFEV1, predicted postoperative FEV1; BMI, body-mass index; COPD, chronic obstructive pulmonary disease.</w:t>
      </w:r>
    </w:p>
    <w:p w:rsidR="00AC41AE" w:rsidRPr="00AC41AE" w:rsidRDefault="00AC41AE">
      <w:pPr>
        <w:pStyle w:val="Titre1"/>
        <w:rPr>
          <w:lang w:val="en-US"/>
        </w:rPr>
      </w:pPr>
    </w:p>
    <w:p w:rsidR="00AC41AE" w:rsidRPr="00AC41AE" w:rsidRDefault="00AC41AE">
      <w:pPr>
        <w:pStyle w:val="Titre1"/>
        <w:rPr>
          <w:lang w:val="en-US"/>
        </w:rPr>
      </w:pPr>
    </w:p>
    <w:p w:rsidR="007F5A68" w:rsidRPr="00AC41AE" w:rsidRDefault="00000000">
      <w:pPr>
        <w:pStyle w:val="Titre1"/>
        <w:rPr>
          <w:lang w:val="en-US"/>
        </w:rPr>
      </w:pPr>
      <w:r>
        <w:rPr>
          <w:lang w:val="en-US"/>
        </w:rPr>
        <w:lastRenderedPageBreak/>
        <w:t>Table S2. Covariate-shift metrics (development vs later eras)</w:t>
      </w:r>
    </w:p>
    <w:p w:rsidR="007F5A68" w:rsidRDefault="00000000">
      <w:pPr>
        <w:spacing w:before="180" w:after="60"/>
      </w:pPr>
      <w:r>
        <w:rPr>
          <w:b/>
          <w:bCs/>
          <w:lang w:val="en-US"/>
        </w:rPr>
        <w:t xml:space="preserve">Table S2. </w:t>
      </w:r>
      <w:r>
        <w:rPr>
          <w:sz w:val="18"/>
          <w:szCs w:val="18"/>
          <w:lang w:val="en-US"/>
        </w:rPr>
        <w:t xml:space="preserve">Magnitude of distributional shift for each predictor between the development era (2011–15) and the pooled later eras (2016–21). |SMD|, absolute standardized mean difference; PSI, population stability index (PSI&lt;0.1 negligible, 0.1–0.25 moderate, &gt;0.25 major shift). </w:t>
      </w:r>
      <w:r>
        <w:rPr>
          <w:sz w:val="18"/>
          <w:szCs w:val="18"/>
        </w:rPr>
        <w:t>Ranked by |SMD|.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1600"/>
        <w:gridCol w:w="1800"/>
        <w:gridCol w:w="2000"/>
      </w:tblGrid>
      <w:tr w:rsidR="007F5A6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 w:rsidR="007F5A68" w:rsidRDefault="00000000">
            <w:pPr>
              <w:spacing w:line="230" w:lineRule="auto"/>
            </w:pPr>
            <w:r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 w:rsidR="007F5A68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|SMD|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 w:rsidR="007F5A68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PSI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 w:rsidR="007F5A68" w:rsidRDefault="00000000">
            <w:pPr>
              <w:spacing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Shift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ASA class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0.97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1.142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major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Minimally invasive access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0.77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0.538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major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Segmentectomy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0.21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0.044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Hypertension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0.20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0.040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Age, years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0.18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0.067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BMI, kg/m²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0.14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0.109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moderate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Male sex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0.08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0.007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Albumin, g/L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0.07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0.201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moderate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pN1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0.07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0.005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Pneumonectomy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0.07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0.004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ppoFEV1, % pred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0.06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0.017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Active smoking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0.05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0.003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Renal failure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0.03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0.001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pN2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0.03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0.001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Diabetes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0.02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FEV1, % pred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0.02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0.016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Cardiac arrhythmia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0.01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Coronary artery disease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COPD</w:t>
            </w:r>
          </w:p>
        </w:tc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negligible</w:t>
            </w:r>
          </w:p>
        </w:tc>
      </w:tr>
    </w:tbl>
    <w:p w:rsidR="007F5A68" w:rsidRDefault="00000000">
      <w:pPr>
        <w:spacing w:before="50" w:after="160" w:line="230" w:lineRule="auto"/>
      </w:pPr>
      <w:r>
        <w:rPr>
          <w:i/>
          <w:iCs/>
          <w:sz w:val="17"/>
          <w:szCs w:val="17"/>
        </w:rPr>
        <w:t>The strongest drift affects ASA class and minimally invasive access, mirroring the structural change in thoracic surgical practice over the study period.</w:t>
      </w:r>
    </w:p>
    <w:p w:rsidR="00AC41AE" w:rsidRDefault="00AC41AE">
      <w:pPr>
        <w:pStyle w:val="Titre1"/>
      </w:pPr>
    </w:p>
    <w:p w:rsidR="007F5A68" w:rsidRDefault="00000000">
      <w:pPr>
        <w:pStyle w:val="Titre1"/>
      </w:pPr>
      <w:r>
        <w:t>Table S3. Development-era prediction model (2-year mortality)</w:t>
      </w:r>
    </w:p>
    <w:p w:rsidR="007F5A68" w:rsidRDefault="00000000">
      <w:pPr>
        <w:spacing w:before="180" w:after="60"/>
      </w:pPr>
      <w:r>
        <w:rPr>
          <w:b/>
          <w:bCs/>
        </w:rPr>
        <w:t>Table S3. Multivariable logistic regression for 2-year mortality, fitted on the development era (2011–15, 111 events). β, log-odds coefficient; OR, odds ratio; CI, confidence interval. All continuous predictors are entered on their natural scale and all binary predictors are coded 0/1 (reference = absence of the characteristic; open access for surgical approach; and lobectomy or bilobectomy — that is, non-pneumonectomy, non-segmentectomy resection — for resection extent), so an individual risk is reconstructed as logit(p) = β0 + Σ βk·xk with the coefficients below. This provides the full model specification required by TRIPOD item 21.</w:t>
      </w:r>
      <w:r>
        <w:rPr>
          <w:sz w:val="18"/>
          <w:szCs w:val="18"/>
        </w:rPr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0"/>
        <w:gridCol w:w="1400"/>
        <w:gridCol w:w="2200"/>
        <w:gridCol w:w="1400"/>
        <w:gridCol w:w="1400"/>
      </w:tblGrid>
      <w:tr w:rsidR="007F5A6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Predictor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β coefficient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OR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95% CI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P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Intercept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−0.9699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—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—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0.556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Age (per year)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0.0067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1.01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0.98–1.03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0.629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Male sex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1.4332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4.19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1.87–9.41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0.001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Diabetes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0.5464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1.73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0.91–3.27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0.094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Hypertension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−0.2899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0.75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0.43–1.30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0.306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Coronary artery disease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−0.2925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0.75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0.36–1.56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0.439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Cardiac arrhythmia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0.1029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1.11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0.49–2.53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0.807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COPD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0.3628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1.44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0.86–2.41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0.170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Renal failure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−0.0798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0.28–3.03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0.895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ASA class (per level)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0.5147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1.67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1.14–2.46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0.009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FEV1 (per % predicted)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0.0307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1.03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1.01–1.06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0.011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ppoFEV1 (per % predicted)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−0.0395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0.96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0.93–0.99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0.014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Active smoking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1.2858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3.62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0.79–16.61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0.098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BMI (per kg/m²)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−0.1212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0.89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0.83–0.94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0.000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Albumin (per g/L)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−0.0349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0.97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0.92–1.01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0.128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Minimally invasive access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−0.4829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0.62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0.34–1.12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0.113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Pneumonectomy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−0.0303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0.97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0.38–2.46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0.949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Segmentectomy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0.1852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1.20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0.31–4.74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0.791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pN1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0.5831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1.79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0.91–3.52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0.091</w:t>
            </w:r>
          </w:p>
        </w:tc>
      </w:tr>
      <w:tr>
        <w:tc>
          <w:tcPr>
            <w:tcW w:type="dxa" w:w="4360"/>
          </w:tcPr>
          <w:p>
            <w:r/>
            <w:r>
              <w:rPr>
                <w:b w:val="0"/>
                <w:sz w:val="18"/>
              </w:rPr>
              <w:t>pN2</w:t>
            </w:r>
          </w:p>
        </w:tc>
        <w:tc>
          <w:tcPr>
            <w:tcW w:type="dxa" w:w="1400"/>
          </w:tcPr>
          <w:p>
            <w:r/>
            <w:r>
              <w:rPr>
                <w:b w:val="0"/>
                <w:sz w:val="18"/>
              </w:rPr>
              <w:t>0.7060</w:t>
            </w:r>
          </w:p>
        </w:tc>
        <w:tc>
          <w:tcPr>
            <w:tcW w:type="dxa" w:w="2200"/>
          </w:tcPr>
          <w:p>
            <w:r/>
            <w:r>
              <w:rPr>
                <w:b w:val="0"/>
                <w:sz w:val="18"/>
              </w:rPr>
              <w:t>2.03</w:t>
            </w:r>
          </w:p>
        </w:tc>
        <w:tc>
          <w:tcPr>
            <w:tcW w:type="dxa" w:w="1400"/>
          </w:tcPr>
          <w:p>
            <w:r/>
            <w:r>
              <w:rPr>
                <w:b w:val="0"/>
                <w:sz w:val="18"/>
              </w:rPr>
              <w:t>0.94–4.35</w:t>
            </w:r>
          </w:p>
        </w:tc>
        <w:tc>
          <w:tcPr>
            <w:tcW w:type="dxa" w:w="1400"/>
          </w:tcPr>
          <w:p>
            <w:r/>
            <w:r>
              <w:rPr>
                <w:b w:val="0"/>
                <w:sz w:val="18"/>
              </w:rPr>
              <w:t>0.070</w:t>
            </w:r>
          </w:p>
        </w:tc>
      </w:tr>
    </w:tbl>
    <w:p w:rsidR="007F5A68" w:rsidRDefault="00000000">
      <w:pPr>
        <w:spacing w:before="50" w:after="160" w:line="230" w:lineRule="auto"/>
      </w:pPr>
      <w:r>
        <w:rPr>
          <w:i/>
          <w:iCs/>
          <w:sz w:val="17"/>
          <w:szCs w:val="17"/>
        </w:rPr>
        <w:t>Continuous predictors entered per unit as indicated; the model is reported to document specification, not as a deployable score.</w:t>
      </w:r>
    </w:p>
    <w:p w:rsidR="00AC41AE" w:rsidRDefault="00AC41AE">
      <w:pPr>
        <w:pStyle w:val="Titre1"/>
      </w:pPr>
    </w:p>
    <w:p w:rsidR="007F5A68" w:rsidRDefault="00000000">
      <w:pPr>
        <w:pStyle w:val="Titre1"/>
      </w:pPr>
      <w:r>
        <w:t>Figure S1. Era-specific calibration curves</w:t>
      </w:r>
    </w:p>
    <w:p w:rsidR="007F5A68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>
            <wp:extent cx="3429000" cy="34290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A68" w:rsidRDefault="00000000">
      <w:pPr>
        <w:spacing w:after="120" w:line="264" w:lineRule="auto"/>
      </w:pPr>
      <w:r>
        <w:rPr>
          <w:b/>
          <w:bCs/>
        </w:rPr>
        <w:t>Figure S1. Calibration curves for 2-year mortality in each era, using the model frozen on 2011–15. Points are quintiles of predicted risk (x = mean predicted risk, y = observed proportion of deaths); curves are drawn between observed quintiles and are not extrapolated. The development-era curve follows the diagonal, whereas both validation-era curves fall below it, indicating over-prediction of risk. The departure is not monotonic across eras: miscalibration is greater in 2016–17 than in 2018–21.</w:t>
      </w:r>
      <w:r/>
    </w:p>
    <w:p w:rsidR="007F5A68" w:rsidRDefault="00000000">
      <w:pPr>
        <w:spacing w:after="120" w:line="264" w:lineRule="auto"/>
      </w:pPr>
      <w:r>
        <w:rPr>
          <w:b/>
          <w:bCs/>
        </w:rPr>
        <w:t>Alt text: Calibration plot with three curves by quintile of predicted risk. The 2011–15 curve lies along the diagonal of perfect calibration; the 2016–17 and 2018–21 curves fall below the diagonal, showing the frozen model over-predicts mortality in later eras.</w:t>
      </w:r>
      <w:r/>
    </w:p>
    <w:p w:rsidR="00AC41AE" w:rsidRDefault="00AC41AE">
      <w:pPr>
        <w:pStyle w:val="Titre1"/>
      </w:pPr>
    </w:p>
    <w:p w:rsidR="007F5A68" w:rsidRDefault="00000000">
      <w:pPr>
        <w:pStyle w:val="Titre1"/>
      </w:pPr>
      <w:r>
        <w:lastRenderedPageBreak/>
        <w:t>Table S4. Sensitivity analysis: penalized (ridge) regression</w:t>
      </w:r>
    </w:p>
    <w:p w:rsidR="007F5A68" w:rsidRDefault="00000000">
      <w:pPr>
        <w:spacing w:before="180" w:after="60"/>
      </w:pPr>
      <w:r>
        <w:rPr>
          <w:b/>
          <w:bCs/>
        </w:rPr>
        <w:t>Table S4. Temporal validation repeated with L2-penalized (ridge) logistic regression (penalty tuned by internal cross-validation), compared with the unpenalized development model. The discrimination-stable / calibration-drift pattern is unchanged, indicating that the calibration-in-the-large drift is not an overfitting artifact. Penalization does move the validation calibration slopes upward (0.69→0.76 and 0.74→0.82), consistent with the slope below 1 being a development-overfitting phenomenon rather than temporal drift.</w:t>
      </w:r>
      <w:r>
        <w:rPr>
          <w:sz w:val="18"/>
          <w:szCs w:val="18"/>
        </w:rPr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700"/>
        <w:gridCol w:w="1700"/>
        <w:gridCol w:w="1680"/>
        <w:gridCol w:w="1680"/>
      </w:tblGrid>
      <w:tr w:rsidR="007F5A6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Era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AUC (unpen.)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AUC (ridge)</w:t>
            </w:r>
          </w:p>
        </w:tc>
        <w:tc>
          <w:tcPr>
            <w:tcW w:w="16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Intercept (unpen.)</w:t>
            </w:r>
          </w:p>
        </w:tc>
        <w:tc>
          <w:tcPr>
            <w:tcW w:w="16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/>
                <w:sz w:val="18"/>
              </w:rPr>
              <w:t>Intercept (ridge)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2011–15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0.81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0.80</w:t>
            </w:r>
          </w:p>
        </w:tc>
        <w:tc>
          <w:tcPr>
            <w:tcW w:w="16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+0.00</w:t>
            </w:r>
          </w:p>
        </w:tc>
        <w:tc>
          <w:tcPr>
            <w:tcW w:w="16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−0.00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2016–17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0.74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0.72</w:t>
            </w:r>
          </w:p>
        </w:tc>
        <w:tc>
          <w:tcPr>
            <w:tcW w:w="16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−0.54</w:t>
            </w:r>
          </w:p>
        </w:tc>
        <w:tc>
          <w:tcPr>
            <w:tcW w:w="16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−0.47</w:t>
            </w:r>
          </w:p>
        </w:tc>
      </w:tr>
      <w:tr w:rsidR="007F5A68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2018–21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0.75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0.73</w:t>
            </w:r>
          </w:p>
        </w:tc>
        <w:tc>
          <w:tcPr>
            <w:tcW w:w="16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−0.31</w:t>
            </w:r>
          </w:p>
        </w:tc>
        <w:tc>
          <w:tcPr>
            <w:tcW w:w="168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6" w:type="dxa"/>
              <w:left w:w="96" w:type="dxa"/>
              <w:bottom w:w="46" w:type="dxa"/>
              <w:right w:w="96" w:type="dxa"/>
            </w:tcMar>
          </w:tcPr>
          <w:p>
            <w:r/>
            <w:r>
              <w:rPr>
                <w:b w:val="0"/>
                <w:sz w:val="18"/>
              </w:rPr>
              <w:t>−0.31</w:t>
            </w:r>
          </w:p>
        </w:tc>
      </w:tr>
    </w:tbl>
    <w:p w:rsidR="007F5A68" w:rsidRDefault="00000000">
      <w:pPr>
        <w:spacing w:before="50" w:after="160" w:line="230" w:lineRule="auto"/>
      </w:pPr>
      <w:r>
        <w:rPr>
          <w:i/>
          <w:iCs/>
          <w:sz w:val="17"/>
          <w:szCs w:val="17"/>
        </w:rPr>
        <w:t>Ridge penalty selected by 5-fold cross-validation on the development era. Penalization leaves discrimination and the calibration-in-the-large drift unchanged, but moves the validation calibration slopes upward (unpenalized 0.69 and 0.74; ridge 0.76 and 0.82), consistent with the slope below 1 being a development-overfitting phenomenon rather than temporal drift.</w:t>
      </w:r>
    </w:p>
    <w:p w:rsidR="007F5A68" w:rsidRDefault="00000000">
      <w:pPr>
        <w:pStyle w:val="Titre1"/>
      </w:pPr>
      <w:r>
        <w:t>Supplementary Code</w:t>
      </w:r>
    </w:p>
    <w:p w:rsidR="007F5A68" w:rsidRDefault="00000000">
      <w:pPr>
        <w:spacing w:after="120" w:line="264" w:lineRule="auto"/>
      </w:pPr>
      <w:r>
        <w:rPr>
          <w:lang w:val="en-US"/>
        </w:rPr>
        <w:t>A standalone, documented Python module (model_monitoring.py) implementing the monitoring loop of Figure 3 and Table 4 is provided: case-mix shift detection (standardized mean difference, population stability index), calibration metrics (intercept, slope, ICI, observed-to-expected), bootstrap intercept confidence intervals, intercept and logistic recalibration, and a single-call monitor_window() trigger. Running the module executes a fully synthetic demonstration that reproduces the qualitative findings (stable discrimination, drifting calibration, restored by recalibration) without any patient-level data. The complete, runnable analysis pipeline is deposited in a versioned public repository archived with a DOI (Zenodo; https://doi.org/10.5281/zenodo.21459490), together with a synthetic dataset mirroring the real data structure. Calibration metrics use the integrated calibration index computed from an isotonic calibration curve; recalibration performance is estimated by five-fold cross-fitting; random seeds and package versions are recorded in the repository.</w:t>
      </w:r>
      <w:r/>
    </w:p>
    <w:p w:rsidR="007F5A68" w:rsidRDefault="00000000">
      <w:pPr>
        <w:pStyle w:val="Titre1"/>
      </w:pPr>
      <w:r>
        <w:t>TRIPOD+AI checklist</w:t>
      </w:r>
    </w:p>
    <w:p w:rsidR="007F5A68" w:rsidRDefault="00000000">
      <w:pPr>
        <w:spacing w:after="120" w:line="264" w:lineRule="auto"/>
      </w:pPr>
      <w:r>
        <w:rPr>
          <w:lang w:val="en-US"/>
        </w:rPr>
        <w:t xml:space="preserve">A completed TRIPOD+AI reporting checklist, mapping each item to the relevant section and page of the main manuscript, is provided as a separate file at submission. </w:t>
      </w:r>
    </w:p>
    <w:sectPr w:rsidR="007F5A68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52C60"/>
    <w:multiLevelType w:val="hybridMultilevel"/>
    <w:tmpl w:val="10E20C4E"/>
    <w:lvl w:ilvl="0" w:tplc="4EE05130">
      <w:start w:val="1"/>
      <w:numFmt w:val="bullet"/>
      <w:lvlText w:val="●"/>
      <w:lvlJc w:val="left"/>
      <w:pPr>
        <w:ind w:left="720" w:hanging="360"/>
      </w:pPr>
    </w:lvl>
    <w:lvl w:ilvl="1" w:tplc="078E407A">
      <w:start w:val="1"/>
      <w:numFmt w:val="bullet"/>
      <w:lvlText w:val="○"/>
      <w:lvlJc w:val="left"/>
      <w:pPr>
        <w:ind w:left="1440" w:hanging="360"/>
      </w:pPr>
    </w:lvl>
    <w:lvl w:ilvl="2" w:tplc="D9EA6BA6">
      <w:start w:val="1"/>
      <w:numFmt w:val="bullet"/>
      <w:lvlText w:val="■"/>
      <w:lvlJc w:val="left"/>
      <w:pPr>
        <w:ind w:left="2160" w:hanging="360"/>
      </w:pPr>
    </w:lvl>
    <w:lvl w:ilvl="3" w:tplc="1F4CFE3E">
      <w:start w:val="1"/>
      <w:numFmt w:val="bullet"/>
      <w:lvlText w:val="●"/>
      <w:lvlJc w:val="left"/>
      <w:pPr>
        <w:ind w:left="2880" w:hanging="360"/>
      </w:pPr>
    </w:lvl>
    <w:lvl w:ilvl="4" w:tplc="2C04DD96">
      <w:start w:val="1"/>
      <w:numFmt w:val="bullet"/>
      <w:lvlText w:val="○"/>
      <w:lvlJc w:val="left"/>
      <w:pPr>
        <w:ind w:left="3600" w:hanging="360"/>
      </w:pPr>
    </w:lvl>
    <w:lvl w:ilvl="5" w:tplc="58BEC3E8">
      <w:start w:val="1"/>
      <w:numFmt w:val="bullet"/>
      <w:lvlText w:val="■"/>
      <w:lvlJc w:val="left"/>
      <w:pPr>
        <w:ind w:left="4320" w:hanging="360"/>
      </w:pPr>
    </w:lvl>
    <w:lvl w:ilvl="6" w:tplc="2CF03B6E">
      <w:start w:val="1"/>
      <w:numFmt w:val="bullet"/>
      <w:lvlText w:val="●"/>
      <w:lvlJc w:val="left"/>
      <w:pPr>
        <w:ind w:left="5040" w:hanging="360"/>
      </w:pPr>
    </w:lvl>
    <w:lvl w:ilvl="7" w:tplc="7890A62C">
      <w:start w:val="1"/>
      <w:numFmt w:val="bullet"/>
      <w:lvlText w:val="●"/>
      <w:lvlJc w:val="left"/>
      <w:pPr>
        <w:ind w:left="5760" w:hanging="360"/>
      </w:pPr>
    </w:lvl>
    <w:lvl w:ilvl="8" w:tplc="9438B30E">
      <w:start w:val="1"/>
      <w:numFmt w:val="bullet"/>
      <w:lvlText w:val="●"/>
      <w:lvlJc w:val="left"/>
      <w:pPr>
        <w:ind w:left="6480" w:hanging="360"/>
      </w:pPr>
    </w:lvl>
  </w:abstractNum>
  <w:num w:numId="1" w16cid:durableId="7443796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A68"/>
    <w:rsid w:val="007F5A68"/>
    <w:rsid w:val="00AC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0EE709"/>
  <w15:docId w15:val="{3506B8F2-F260-A44C-A455-31FBFDD8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240" w:after="120"/>
      <w:outlineLvl w:val="0"/>
    </w:pPr>
    <w:rPr>
      <w:b/>
      <w:bCs/>
      <w:color w:val="000000"/>
      <w:sz w:val="22"/>
      <w:szCs w:val="2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5690</Characters>
  <Application>Microsoft Office Word</Application>
  <DocSecurity>0</DocSecurity>
  <Lines>47</Lines>
  <Paragraphs>13</Paragraphs>
  <ScaleCrop>false</ScaleCrop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Olivier GEORGES</cp:lastModifiedBy>
  <cp:revision>2</cp:revision>
  <dcterms:created xsi:type="dcterms:W3CDTF">2026-06-11T08:44:00Z</dcterms:created>
  <dcterms:modified xsi:type="dcterms:W3CDTF">2026-06-11T08:59:00Z</dcterms:modified>
</cp:coreProperties>
</file>