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TRIPOD+AI reporting checklist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Manuscript: Silent calibration drift in a frozen clinical prediction model: a decade-long audit and an operational monitoring framework.</w:t>
      </w:r>
    </w:p>
    <w:p>
      <w:pPr>
        <w:spacing w:after="40"/>
      </w:pPr>
      <w:r>
        <w:rPr>
          <w:rFonts w:ascii="Calibri" w:cs="Calibri" w:eastAsia="Calibri" w:hAnsi="Calibri"/>
          <w:sz w:val="18"/>
          <w:szCs w:val="18"/>
        </w:rPr>
        <w:t xml:space="preserve">Based on: Collins GS, Moons KGM, Dhiman P, et al. TRIPOD+AI statement. BMJ 2024;385:e078378 (27-item checklist).</w:t>
      </w:r>
    </w:p>
    <w:p>
      <w:pPr>
        <w:spacing w:after="40"/>
      </w:pPr>
      <w:r>
        <w:rPr>
          <w:rFonts w:ascii="Calibri" w:cs="Calibri" w:eastAsia="Calibri" w:hAnsi="Calibri"/>
          <w:sz w:val="18"/>
          <w:szCs w:val="18"/>
        </w:rPr>
        <w:t>Page numbers refer to the double-spaced submission manuscript. Item wording is abbreviated from the published 27-item checklist (Collins et al., BMJ 2024). “Suppl.” = reported in Additional file 1 (supplementary material).</w:t>
      </w:r>
    </w:p>
    <w:p>
      <w:pPr>
        <w:spacing w:after="120"/>
      </w:pP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600"/>
        <w:gridCol w:w="4900"/>
        <w:gridCol w:w="1200"/>
      </w:tblGrid>
      <w:tr>
        <w:tc>
          <w:tcPr>
            <w:tcW w:type="dxa" w:w="700"/>
            <w:shd w:fill="EFEFEF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4600"/>
            <w:shd w:fill="EFEFEF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TRIPOD+AI checklist item (abbreviated)</w:t>
            </w:r>
          </w:p>
        </w:tc>
        <w:tc>
          <w:tcPr>
            <w:tcW w:type="dxa" w:w="4900"/>
            <w:shd w:fill="EFEFEF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Reported in this manuscript</w:t>
            </w:r>
          </w:p>
        </w:tc>
        <w:tc>
          <w:tcPr>
            <w:tcW w:type="dxa" w:w="1200"/>
            <w:shd w:fill="EFEFEF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Page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Title and abstract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Title — identify as developing/evaluating a prediction model, target population and outcome.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Title page (title + case-study line)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Abstract — structured summary.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Abstract; discloses cohort (n=1561), no landmark exclusion, apparent and optimism-corrected development performance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Introduction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Background — healthcare context and rationale, incl. existing models.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Background and Significance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3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Objectives — study objectives; development, evaluation, or both.</w:t>
            </w:r>
          </w:p>
        </w:tc>
        <w:tc>
          <w:tcPr>
            <w:tcW w:type="dxa" w:w="4900"/>
          </w:tcPr>
          <w:p>
            <w:r/>
            <w:r>
              <w:rPr>
                <w:sz w:val="18"/>
              </w:rPr>
              <w:t>Background (objectives stated in the final paragraph)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3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Methods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 — source(s) of data and key study dates.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Data source and cohort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4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Participants — setting, centres, eligibility, treatments; participant flow.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Data source and cohort. Flow: 1571 records → 6 without anatomical resection and 4 without survival data excluded → 1561 analysed. No 90-day landmark exclusion.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4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 preparation — cleaning, standardisation, transformations.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Model development. Predicted postoperative FEV1 recomputed from FEV1 and resected segments where sentinel-coded (0) or implausible; remaining implausible values set to missing; predictors entered on their natural scale (not standardised).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Outcome — definition, how/when assessed; blinding.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Outcome and model role. 2-year all-cause post-resection mortality, fixed horizon, no differential censoring.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Predictors/features — definition, how/when measured; blinding.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Model development; Supplementary Table S3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Sample size — how study size was determined.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Model development. No a priori calculation; consecutive registry cohort. Events-per-variable stated (111 events / 19 parameters = 5.8) and its consequences addressed in Limitations.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5, 14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Missing data — how missing data were handled.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Model development. No true missing values; sentinel-coded and implausible values recomputed (ppoFEV1, 90 records) or set to missing and imputed with frozen development-era medians (24 records, 1.5%). Per-era rates in Supplementary Table S5; complete-case and multiple-imputation sensitivity analyses reported.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5; Suppl. S5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Analytical methods — predictors; model type and building; performance evaluation; recalibration.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Model development; Temporal validation, metrics, and drift; Recalibration and monitoring framework. Recalibration estimated by 5-fold cross-fitting.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5–7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Class imbalance — methods to address it.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Model development (standard logistic regression; no resampling applied)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Fairness — any fairness/subgroup evaluation.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Robustness by surgical-access subgroup (Results — Mechanism of the drift); no formal fairness analysis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9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Model output — what the model outputs.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Outcome and model role (predicted 1- and 2-year mortality probability)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5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Performance measures — how discrimination and calibration were assessed.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Temporal validation, metrics, and drift. AUC; calibration intercept, slope, O:E; ICI from an isotonic calibration curve. Bootstrap CIs (2000 resamples). Development performance reported apparent and bootstrap optimism-corrected (1000 resamples).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6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Model updating — methods used to update/recalibrate.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Methods — Recalibration and monitoring framework (intercept and Platt recalibration, cross-fitted; stale-correction comparison)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7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Open science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Funding; conflicts of interest; ethical approval; protocol/registration; data and code availability.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Ethics (Methods); Funding; Competing interests; Data and code availability. Analysis pipeline deposited in a versioned public repository with a DOI. Not registered / no protocol.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7, 15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Patient and public involvement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Whether and how patients/public were involved.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patient or public involvement (statement in the manuscript).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15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Results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Participants — flow and characteristics of development/evaluation data.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Results — A decade of practice change; Table 1; Supplementary Table S1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7–8; Suppl. S1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Model development — final model specification (coefficients).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Supplementary Table S3 (intercept and beta coefficients, odds ratios and CIs, with the variable coding needed to reconstruct an individual risk); deposited code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Suppl. S3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Model performance — discrimination and calibration, with uncertainty.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Results — Discrimination remains stable…; Table 2 (bootstrap CIs for AUC, O:E, intercept, ICI); Figures 1–2; Suppl. Figure S1; ridge (Table S4)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8–9; Suppl.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Model performance — additional analyses (subgroups, mechanism).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Results — Mechanism of the drift (optimism-corrected development slope 0.74 vs validation 0.69/0.74); Sensitivity analysis (ridge, complete-case, multiple imputation, 90-day landmark subgroup)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9–10; Suppl. S4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Model updating — results of any updating/recalibration.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Results — Recalibration restores calibration; Table 3 (cross-fitted); Figure 2; stale-correction result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10</w:t>
            </w:r>
          </w:p>
        </w:tc>
      </w:tr>
      <w:tr>
        <w:tc>
          <w:tcPr>
            <w:tcW w:type="dxa" w:w="11400"/>
            <w:gridSpan w:val="4"/>
            <w:shd w:fill="DCE6F1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Discussion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Interpretation — overall interpretation incl. fairness vs objectives and prior work.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Discussion — Principal findings; From finding to operational framework; Relation to prior work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11–14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26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Limitations — limitations and their effects on bias, uncertainty, generalisability.</w:t>
            </w:r>
          </w:p>
        </w:tc>
        <w:tc>
          <w:tcPr>
            <w:tcW w:type="dxa" w:w="49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Discussion — Limitations (single centre; endpoint is not operative mortality; EPV 5.8 and the overfitting explanation for the slope; era-varying data quality)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14</w:t>
            </w:r>
          </w:p>
        </w:tc>
      </w:tr>
      <w:tr>
        <w:tc>
          <w:tcPr>
            <w:tcW w:type="dxa" w:w="7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27</w:t>
            </w:r>
          </w:p>
        </w:tc>
        <w:tc>
          <w:tcPr>
            <w:tcW w:type="dxa" w:w="4600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Usability/implications — implementation, handling of poor/unavailable inputs, governance.</w:t>
            </w:r>
          </w:p>
        </w:tc>
        <w:tc>
          <w:tcPr>
            <w:tcW w:type="dxa" w:w="4900"/>
          </w:tcPr>
          <w:p>
            <w:r>
              <w:rPr>
                <w:sz w:val="18"/>
              </w:rPr>
              <w:t>Discussion — From finding to operational framework (Figure 3, Table 4: separate drift and spread triggers); Clinical relevance of the case study</w:t>
            </w:r>
          </w:p>
        </w:tc>
        <w:tc>
          <w:tcPr>
            <w:tcW w:type="dxa" w:w="1200"/>
          </w:tcPr>
          <w:p>
            <w:r/>
            <w:r>
              <w:rPr>
                <w:b/>
                <w:sz w:val="18"/>
              </w:rPr>
              <w:t>11–13</w:t>
            </w:r>
          </w:p>
        </w:tc>
      </w:tr>
    </w:tbl>
    <w:p>
      <w:pPr>
        <w:spacing w:before="120"/>
      </w:pPr>
    </w:p>
    <w:p>
      <w:pPr>
        <w:spacing w:after="4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This study develops a model used as an audit vehicle and evaluates its temporal performance; development-type (D) and evaluation-type (E) items both apply. The model is a logistic regression; the “AI” framing reflects the dataset-shift and deployment-governance lens rather than the model class.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2026-07-21T07:49:00.279Z</dcterms:created>
  <dcterms:modified xsi:type="dcterms:W3CDTF">2026-07-21T07:49:00.298Z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