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B6E7B" w14:textId="77777777" w:rsidR="00284000" w:rsidRPr="00963A68" w:rsidRDefault="00000000" w:rsidP="00912EAB">
      <w:pPr>
        <w:jc w:val="center"/>
        <w:rPr>
          <w:rFonts w:asciiTheme="majorBidi" w:hAnsiTheme="majorBidi" w:cstheme="majorBidi"/>
        </w:rPr>
      </w:pPr>
      <w:r w:rsidRPr="00963A68">
        <w:rPr>
          <w:rFonts w:asciiTheme="majorBidi" w:hAnsiTheme="majorBidi" w:cstheme="majorBidi"/>
          <w:b/>
          <w:color w:val="1F4E79"/>
          <w:sz w:val="30"/>
        </w:rPr>
        <w:t>Literature Search and Parameterisation Report</w:t>
      </w:r>
    </w:p>
    <w:p w14:paraId="085A3130" w14:textId="77777777" w:rsidR="00284000" w:rsidRPr="00912EAB" w:rsidRDefault="00000000" w:rsidP="00912EAB">
      <w:pPr>
        <w:spacing w:before="240"/>
        <w:jc w:val="center"/>
        <w:rPr>
          <w:rFonts w:asciiTheme="majorBidi" w:hAnsiTheme="majorBidi" w:cstheme="majorBidi"/>
          <w:iCs/>
          <w:sz w:val="24"/>
          <w:szCs w:val="24"/>
        </w:rPr>
      </w:pPr>
      <w:r w:rsidRPr="00912EAB">
        <w:rPr>
          <w:rFonts w:asciiTheme="majorBidi" w:hAnsiTheme="majorBidi" w:cstheme="majorBidi"/>
          <w:iCs/>
          <w:sz w:val="24"/>
          <w:szCs w:val="24"/>
        </w:rPr>
        <w:t>Machine Learning-Based Decision Support for Mode of Delivery: A Biopsychosocial Proof-of-Concept Framework</w:t>
      </w:r>
    </w:p>
    <w:p w14:paraId="071DC360" w14:textId="77777777" w:rsidR="00284000" w:rsidRPr="00912EAB" w:rsidRDefault="00000000" w:rsidP="00912EAB">
      <w:pPr>
        <w:spacing w:before="240"/>
        <w:jc w:val="center"/>
        <w:rPr>
          <w:rFonts w:asciiTheme="majorBidi" w:hAnsiTheme="majorBidi" w:cstheme="majorBidi"/>
          <w:sz w:val="24"/>
          <w:szCs w:val="24"/>
        </w:rPr>
      </w:pPr>
      <w:r w:rsidRPr="00912EAB">
        <w:rPr>
          <w:rFonts w:asciiTheme="majorBidi" w:hAnsiTheme="majorBidi" w:cstheme="majorBidi"/>
          <w:sz w:val="24"/>
          <w:szCs w:val="24"/>
        </w:rPr>
        <w:t>Zahra Dashti | Islamic Azad University, Bojnourd Branch</w:t>
      </w:r>
    </w:p>
    <w:tbl>
      <w:tblPr>
        <w:tblW w:w="9072" w:type="dxa"/>
        <w:tblLook w:val="04A0" w:firstRow="1" w:lastRow="0" w:firstColumn="1" w:lastColumn="0" w:noHBand="0" w:noVBand="1"/>
      </w:tblPr>
      <w:tblGrid>
        <w:gridCol w:w="9072"/>
      </w:tblGrid>
      <w:tr w:rsidR="00284000" w:rsidRPr="00963A68" w14:paraId="062B6021" w14:textId="77777777">
        <w:tc>
          <w:tcPr>
            <w:tcW w:w="9072" w:type="dxa"/>
            <w:tcBorders>
              <w:top w:val="single" w:sz="8" w:space="0" w:color="1F4E79"/>
              <w:left w:val="single" w:sz="8" w:space="0" w:color="1F4E79"/>
              <w:bottom w:val="single" w:sz="8" w:space="0" w:color="1F4E79"/>
              <w:right w:val="single" w:sz="8" w:space="0" w:color="1F4E79"/>
            </w:tcBorders>
            <w:shd w:val="clear" w:color="auto" w:fill="FFF2CC"/>
            <w:tcMar>
              <w:top w:w="80" w:type="dxa"/>
              <w:left w:w="140" w:type="dxa"/>
              <w:bottom w:w="80" w:type="dxa"/>
              <w:right w:w="140" w:type="dxa"/>
            </w:tcMar>
          </w:tcPr>
          <w:p w14:paraId="1BDCF18D" w14:textId="77777777" w:rsidR="00284000" w:rsidRPr="00912EAB" w:rsidRDefault="00000000" w:rsidP="00912EAB">
            <w:pPr>
              <w:spacing w:after="0"/>
              <w:jc w:val="lowKashida"/>
              <w:rPr>
                <w:rFonts w:asciiTheme="majorBidi" w:hAnsiTheme="majorBidi" w:cstheme="majorBidi"/>
                <w:sz w:val="24"/>
                <w:szCs w:val="32"/>
              </w:rPr>
            </w:pPr>
            <w:r w:rsidRPr="00912EAB">
              <w:rPr>
                <w:rFonts w:asciiTheme="majorBidi" w:hAnsiTheme="majorBidi" w:cstheme="majorBidi"/>
                <w:b/>
                <w:color w:val="7F6000"/>
                <w:sz w:val="24"/>
                <w:szCs w:val="32"/>
              </w:rPr>
              <w:t xml:space="preserve">IMPORTANT NOTE: </w:t>
            </w:r>
            <w:r w:rsidRPr="00912EAB">
              <w:rPr>
                <w:rFonts w:asciiTheme="majorBidi" w:hAnsiTheme="majorBidi" w:cstheme="majorBidi"/>
                <w:sz w:val="24"/>
                <w:szCs w:val="32"/>
              </w:rPr>
              <w:t>This report describes a structured literature search conducted to obtain distributional parameters, effect sizes (odds ratios), and correlation estimates for the purpose of synthetic data generation. It should not be interpreted as a formal systematic review or meta-analysis, and does not comply with PRISMA 2020 guidelines for systematic reviews. The included studies were not assessed for risk of bias, heterogeneity, or meta-analytic pooling.</w:t>
            </w:r>
          </w:p>
        </w:tc>
      </w:tr>
    </w:tbl>
    <w:p w14:paraId="0CCBB9B7" w14:textId="77777777" w:rsidR="00284000" w:rsidRPr="00963A68" w:rsidRDefault="00000000" w:rsidP="00912EAB">
      <w:pPr>
        <w:spacing w:before="240" w:after="0"/>
        <w:jc w:val="lowKashida"/>
        <w:rPr>
          <w:rFonts w:asciiTheme="majorBidi" w:hAnsiTheme="majorBidi" w:cstheme="majorBidi"/>
        </w:rPr>
      </w:pPr>
      <w:r w:rsidRPr="00963A68">
        <w:rPr>
          <w:rFonts w:asciiTheme="majorBidi" w:hAnsiTheme="majorBidi" w:cstheme="majorBidi"/>
          <w:b/>
          <w:color w:val="1F4E79"/>
          <w:sz w:val="26"/>
        </w:rPr>
        <w:t>1. Purpose of the Literature Search</w:t>
      </w:r>
    </w:p>
    <w:p w14:paraId="7EA067D6"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rPr>
        <w:t>The primary objective of this literature search was not to synthesise clinical evidence but to identify published effect sizes (odds ratios and adjusted odds ratios), prevalence estimates, distributional parameters, and correlation structures that could serve as a scientifically defensible basis for parameterising a synthetic patient-level dataset. The synthetic dataset was subsequently used to develop and evaluate a proof-of-concept, explainable machine learning framework for delivery mode counselling and exploratory secondary infertility risk projection.</w:t>
      </w:r>
    </w:p>
    <w:p w14:paraId="6ABC6C15"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rPr>
        <w:t>All parameters derived from this search represent best-available estimates from published literature and were used exclusively as inputs to a data-generating process. They do not constitute new empirical findings, and the resulting model outputs should be interpreted only as properties of the simulation architecture.</w:t>
      </w:r>
    </w:p>
    <w:p w14:paraId="598B5ED5" w14:textId="77777777" w:rsidR="00284000" w:rsidRPr="00963A68" w:rsidRDefault="00000000" w:rsidP="00912EAB">
      <w:pPr>
        <w:spacing w:before="240" w:after="0"/>
        <w:jc w:val="lowKashida"/>
        <w:rPr>
          <w:rFonts w:asciiTheme="majorBidi" w:hAnsiTheme="majorBidi" w:cstheme="majorBidi"/>
        </w:rPr>
      </w:pPr>
      <w:r w:rsidRPr="00963A68">
        <w:rPr>
          <w:rFonts w:asciiTheme="majorBidi" w:hAnsiTheme="majorBidi" w:cstheme="majorBidi"/>
          <w:b/>
          <w:color w:val="1F4E79"/>
          <w:sz w:val="26"/>
        </w:rPr>
        <w:t>2. Search Strategy</w:t>
      </w:r>
    </w:p>
    <w:p w14:paraId="52C1FF39"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color w:val="2E75B6"/>
          <w:sz w:val="22"/>
        </w:rPr>
        <w:t>2.1 Databases searched</w:t>
      </w:r>
    </w:p>
    <w:p w14:paraId="7769127C"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PubMed / MEDLINE</w:t>
      </w:r>
    </w:p>
    <w:p w14:paraId="14F704A7" w14:textId="77777777" w:rsidR="00284000" w:rsidRPr="00963A68" w:rsidRDefault="00000000" w:rsidP="00912EAB">
      <w:pPr>
        <w:pStyle w:val="ListBullet"/>
        <w:spacing w:before="400" w:after="0"/>
        <w:jc w:val="lowKashida"/>
        <w:rPr>
          <w:rFonts w:asciiTheme="majorBidi" w:hAnsiTheme="majorBidi" w:cstheme="majorBidi"/>
        </w:rPr>
      </w:pPr>
      <w:r w:rsidRPr="00963A68">
        <w:rPr>
          <w:rFonts w:asciiTheme="majorBidi" w:hAnsiTheme="majorBidi" w:cstheme="majorBidi"/>
        </w:rPr>
        <w:t>Google Scholar</w:t>
      </w:r>
    </w:p>
    <w:p w14:paraId="637A39D5" w14:textId="77777777" w:rsidR="00284000" w:rsidRPr="00963A68" w:rsidRDefault="00000000" w:rsidP="00912EAB">
      <w:pPr>
        <w:pStyle w:val="ListBullet"/>
        <w:spacing w:before="400" w:after="0"/>
        <w:jc w:val="lowKashida"/>
        <w:rPr>
          <w:rFonts w:asciiTheme="majorBidi" w:hAnsiTheme="majorBidi" w:cstheme="majorBidi"/>
        </w:rPr>
      </w:pPr>
      <w:r w:rsidRPr="00963A68">
        <w:rPr>
          <w:rFonts w:asciiTheme="majorBidi" w:hAnsiTheme="majorBidi" w:cstheme="majorBidi"/>
        </w:rPr>
        <w:t>Web of Science (Core Collection)</w:t>
      </w:r>
    </w:p>
    <w:p w14:paraId="63097EF0"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color w:val="2E75B6"/>
          <w:sz w:val="22"/>
        </w:rPr>
        <w:t>2.2 Search window</w:t>
      </w:r>
    </w:p>
    <w:p w14:paraId="7E579FDD"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rPr>
        <w:t>January 2002 — December 2026 (inclusive).</w:t>
      </w:r>
    </w:p>
    <w:p w14:paraId="029CE9F5"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color w:val="2E75B6"/>
          <w:sz w:val="22"/>
        </w:rPr>
        <w:t>2.3 Key search term domains</w:t>
      </w:r>
    </w:p>
    <w:p w14:paraId="58C81B78"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rPr>
        <w:t xml:space="preserve">Delivery mode / caesarean section: </w:t>
      </w:r>
      <w:r w:rsidRPr="00963A68">
        <w:rPr>
          <w:rFonts w:asciiTheme="majorBidi" w:hAnsiTheme="majorBidi" w:cstheme="majorBidi"/>
          <w:color w:val="444444"/>
        </w:rPr>
        <w:t>caesarean section, cesarean delivery, mode of delivery, vaginal birth, emergency CS, elective CS, CS prediction, intrapartum decision</w:t>
      </w:r>
    </w:p>
    <w:p w14:paraId="0FD29EAB"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rPr>
        <w:t xml:space="preserve">Psychosocial predictors: </w:t>
      </w:r>
      <w:r w:rsidRPr="00963A68">
        <w:rPr>
          <w:rFonts w:asciiTheme="majorBidi" w:hAnsiTheme="majorBidi" w:cstheme="majorBidi"/>
          <w:color w:val="444444"/>
        </w:rPr>
        <w:t>fear of childbirth, W-DEQ, childbirth anxiety, STAI, depressive symptoms, CES-D, EPDS, birth trauma, PTSD, childbirth self-efficacy, CBSEI</w:t>
      </w:r>
    </w:p>
    <w:p w14:paraId="1E1DC8F6"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rPr>
        <w:t xml:space="preserve">Clinical / obstetric predictors: </w:t>
      </w:r>
      <w:r w:rsidRPr="00963A68">
        <w:rPr>
          <w:rFonts w:asciiTheme="majorBidi" w:hAnsiTheme="majorBidi" w:cstheme="majorBidi"/>
          <w:color w:val="444444"/>
        </w:rPr>
        <w:t>Bishop score, cervical dilation, fetal station, induction of labour, epidural analgesia, oxytocin augmentation, gestational age, BMI, parity, previous caesarean, hypertensive disorder, gestational diabetes</w:t>
      </w:r>
    </w:p>
    <w:p w14:paraId="77B339BD"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rPr>
        <w:t xml:space="preserve">Supportive interventions: </w:t>
      </w:r>
      <w:r w:rsidRPr="00963A68">
        <w:rPr>
          <w:rFonts w:asciiTheme="majorBidi" w:hAnsiTheme="majorBidi" w:cstheme="majorBidi"/>
          <w:color w:val="444444"/>
        </w:rPr>
        <w:t>doula support, continuous labour support, hypnobirthing, prenatal education, waterbirth, non-pharmacological pain relief, relaxation programme</w:t>
      </w:r>
    </w:p>
    <w:p w14:paraId="31BB0697"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rPr>
        <w:t xml:space="preserve">Secondary infertility: </w:t>
      </w:r>
      <w:r w:rsidRPr="00963A68">
        <w:rPr>
          <w:rFonts w:asciiTheme="majorBidi" w:hAnsiTheme="majorBidi" w:cstheme="majorBidi"/>
          <w:color w:val="444444"/>
        </w:rPr>
        <w:t>secondary infertility, subfertility, time to pregnancy, fecundability, Asherman syndrome, intrauterine adhesions, caesarean scar disorder, endometriosis, recurrent miscarriage, postpartum infertility</w:t>
      </w:r>
    </w:p>
    <w:p w14:paraId="6EF89D4E"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rPr>
        <w:t xml:space="preserve">Effect size / statistical methods: </w:t>
      </w:r>
      <w:r w:rsidRPr="00963A68">
        <w:rPr>
          <w:rFonts w:asciiTheme="majorBidi" w:hAnsiTheme="majorBidi" w:cstheme="majorBidi"/>
          <w:color w:val="444444"/>
        </w:rPr>
        <w:t>odds ratio, adjusted OR, aOR, logistic regression, machine learning, prediction model, synthetic data, Gaussian copula</w:t>
      </w:r>
    </w:p>
    <w:p w14:paraId="52B799FE" w14:textId="77777777" w:rsidR="00284000" w:rsidRPr="00963A68" w:rsidRDefault="00000000" w:rsidP="00912EAB">
      <w:pPr>
        <w:spacing w:before="240" w:after="0"/>
        <w:jc w:val="lowKashida"/>
        <w:rPr>
          <w:rFonts w:asciiTheme="majorBidi" w:hAnsiTheme="majorBidi" w:cstheme="majorBidi"/>
        </w:rPr>
      </w:pPr>
      <w:r w:rsidRPr="00963A68">
        <w:rPr>
          <w:rFonts w:asciiTheme="majorBidi" w:hAnsiTheme="majorBidi" w:cstheme="majorBidi"/>
          <w:b/>
          <w:color w:val="1F4E79"/>
          <w:sz w:val="26"/>
        </w:rPr>
        <w:t>3. Inclusion and Exclusion Criteria</w:t>
      </w:r>
    </w:p>
    <w:p w14:paraId="689B8B66"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color w:val="2E75B6"/>
          <w:sz w:val="22"/>
        </w:rPr>
        <w:t>3.1 Inclusion criteria</w:t>
      </w:r>
    </w:p>
    <w:p w14:paraId="323FB800"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lastRenderedPageBreak/>
        <w:t>Published odds ratio (OR) or adjusted OR available for at least one predictor of interest</w:t>
      </w:r>
    </w:p>
    <w:p w14:paraId="518299B6"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Human obstetric, gynaecological, or reproductive health population</w:t>
      </w:r>
    </w:p>
    <w:p w14:paraId="1A4FC06C"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Publication year 2002–2026</w:t>
      </w:r>
    </w:p>
    <w:p w14:paraId="0095B8E5"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English-language full text accessible</w:t>
      </w:r>
    </w:p>
    <w:p w14:paraId="0AE2CB83"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Predictor variable alignable with the biopsychosocial modelling framework (biological, psychological, or social domain)</w:t>
      </w:r>
    </w:p>
    <w:p w14:paraId="39A61B69"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Sufficient distributional data to specify a marginal distribution (mean, SD, prevalence, or categorical proportions)</w:t>
      </w:r>
    </w:p>
    <w:p w14:paraId="347660AD"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b/>
          <w:color w:val="2E75B6"/>
          <w:sz w:val="22"/>
        </w:rPr>
        <w:t>3.2 Exclusion criteria</w:t>
      </w:r>
    </w:p>
    <w:p w14:paraId="3C67A09E"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No extractable OR or aOR for any included predictor</w:t>
      </w:r>
    </w:p>
    <w:p w14:paraId="6E89AA15"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Insufficient data for distributional parameterisation</w:t>
      </w:r>
    </w:p>
    <w:p w14:paraId="324EDBEB"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Non-human or animal study</w:t>
      </w:r>
    </w:p>
    <w:p w14:paraId="16579C9E"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Conference abstract only (no full text)</w:t>
      </w:r>
    </w:p>
    <w:p w14:paraId="3A200F7F"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Duplicate data from the same cohort as an already-included study (primary study preferred over secondary analysis of same data)</w:t>
      </w:r>
    </w:p>
    <w:p w14:paraId="7AFF5A84" w14:textId="77777777" w:rsidR="00284000" w:rsidRPr="00963A68" w:rsidRDefault="00000000" w:rsidP="00912EAB">
      <w:pPr>
        <w:pStyle w:val="ListBullet"/>
        <w:spacing w:after="0"/>
        <w:jc w:val="lowKashida"/>
        <w:rPr>
          <w:rFonts w:asciiTheme="majorBidi" w:hAnsiTheme="majorBidi" w:cstheme="majorBidi"/>
        </w:rPr>
      </w:pPr>
      <w:r w:rsidRPr="00963A68">
        <w:rPr>
          <w:rFonts w:asciiTheme="majorBidi" w:hAnsiTheme="majorBidi" w:cstheme="majorBidi"/>
        </w:rPr>
        <w:t>Predictor outside the scope of the biopsychosocial framework</w:t>
      </w:r>
    </w:p>
    <w:p w14:paraId="314082EC" w14:textId="77777777" w:rsidR="00284000" w:rsidRPr="00963A68" w:rsidRDefault="00000000" w:rsidP="00912EAB">
      <w:pPr>
        <w:spacing w:before="240"/>
        <w:jc w:val="lowKashida"/>
        <w:rPr>
          <w:rFonts w:asciiTheme="majorBidi" w:hAnsiTheme="majorBidi" w:cstheme="majorBidi"/>
        </w:rPr>
      </w:pPr>
      <w:r w:rsidRPr="00963A68">
        <w:rPr>
          <w:rFonts w:asciiTheme="majorBidi" w:hAnsiTheme="majorBidi" w:cstheme="majorBidi"/>
          <w:b/>
          <w:color w:val="1F4E79"/>
          <w:sz w:val="26"/>
        </w:rPr>
        <w:t>4. Search Flow and Study Selection</w:t>
      </w:r>
    </w:p>
    <w:tbl>
      <w:tblPr>
        <w:tblW w:w="9071" w:type="dxa"/>
        <w:tblLook w:val="04A0" w:firstRow="1" w:lastRow="0" w:firstColumn="1" w:lastColumn="0" w:noHBand="0" w:noVBand="1"/>
      </w:tblPr>
      <w:tblGrid>
        <w:gridCol w:w="2835"/>
        <w:gridCol w:w="4252"/>
        <w:gridCol w:w="1984"/>
      </w:tblGrid>
      <w:tr w:rsidR="00284000" w:rsidRPr="00963A68" w14:paraId="67A08F99" w14:textId="77777777" w:rsidTr="00912EAB">
        <w:tc>
          <w:tcPr>
            <w:tcW w:w="2835" w:type="dxa"/>
            <w:tcBorders>
              <w:top w:val="single" w:sz="8" w:space="0" w:color="1F4E79"/>
              <w:left w:val="single" w:sz="8" w:space="0" w:color="1F4E79"/>
              <w:bottom w:val="single" w:sz="8" w:space="0" w:color="1F4E79"/>
              <w:right w:val="single" w:sz="8" w:space="0" w:color="1F4E79"/>
            </w:tcBorders>
            <w:shd w:val="clear" w:color="auto" w:fill="1F4E79"/>
            <w:tcMar>
              <w:top w:w="60" w:type="dxa"/>
              <w:left w:w="120" w:type="dxa"/>
              <w:bottom w:w="60" w:type="dxa"/>
              <w:right w:w="120" w:type="dxa"/>
            </w:tcMar>
            <w:vAlign w:val="center"/>
          </w:tcPr>
          <w:p w14:paraId="12EB7313"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Stage</w:t>
            </w:r>
          </w:p>
        </w:tc>
        <w:tc>
          <w:tcPr>
            <w:tcW w:w="4252" w:type="dxa"/>
            <w:tcBorders>
              <w:top w:val="single" w:sz="8" w:space="0" w:color="1F4E79"/>
              <w:left w:val="single" w:sz="8" w:space="0" w:color="1F4E79"/>
              <w:bottom w:val="single" w:sz="8" w:space="0" w:color="1F4E79"/>
              <w:right w:val="single" w:sz="8" w:space="0" w:color="1F4E79"/>
            </w:tcBorders>
            <w:shd w:val="clear" w:color="auto" w:fill="1F4E79"/>
            <w:tcMar>
              <w:top w:w="60" w:type="dxa"/>
              <w:left w:w="120" w:type="dxa"/>
              <w:bottom w:w="60" w:type="dxa"/>
              <w:right w:w="120" w:type="dxa"/>
            </w:tcMar>
            <w:vAlign w:val="center"/>
          </w:tcPr>
          <w:p w14:paraId="6DAA637C"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Description</w:t>
            </w:r>
          </w:p>
        </w:tc>
        <w:tc>
          <w:tcPr>
            <w:tcW w:w="1984" w:type="dxa"/>
            <w:tcBorders>
              <w:top w:val="single" w:sz="8" w:space="0" w:color="1F4E79"/>
              <w:left w:val="single" w:sz="8" w:space="0" w:color="1F4E79"/>
              <w:bottom w:val="single" w:sz="8" w:space="0" w:color="1F4E79"/>
              <w:right w:val="single" w:sz="8" w:space="0" w:color="1F4E79"/>
            </w:tcBorders>
            <w:shd w:val="clear" w:color="auto" w:fill="1F4E79"/>
            <w:tcMar>
              <w:top w:w="60" w:type="dxa"/>
              <w:left w:w="120" w:type="dxa"/>
              <w:bottom w:w="60" w:type="dxa"/>
              <w:right w:w="120" w:type="dxa"/>
            </w:tcMar>
            <w:vAlign w:val="center"/>
          </w:tcPr>
          <w:p w14:paraId="3CB7861B"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n (records/studies)</w:t>
            </w:r>
          </w:p>
        </w:tc>
      </w:tr>
      <w:tr w:rsidR="00284000" w:rsidRPr="00963A68" w14:paraId="47A7354C" w14:textId="77777777" w:rsidTr="00912EAB">
        <w:tc>
          <w:tcPr>
            <w:tcW w:w="2835"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15B1DFF7"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Identification</w:t>
            </w:r>
          </w:p>
        </w:tc>
        <w:tc>
          <w:tcPr>
            <w:tcW w:w="4252"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63E9B21D"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Database searches: PubMed, Google Scholar, Web of Science</w:t>
            </w:r>
          </w:p>
        </w:tc>
        <w:tc>
          <w:tcPr>
            <w:tcW w:w="1984"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1762E2E5"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410</w:t>
            </w:r>
          </w:p>
        </w:tc>
      </w:tr>
      <w:tr w:rsidR="00284000" w:rsidRPr="00963A68" w14:paraId="61BC169C" w14:textId="77777777" w:rsidTr="00912EAB">
        <w:tc>
          <w:tcPr>
            <w:tcW w:w="2835"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74B470BC"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Identification</w:t>
            </w:r>
          </w:p>
        </w:tc>
        <w:tc>
          <w:tcPr>
            <w:tcW w:w="4252"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4955CB1E"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Additional records: citation tracking and reference lists</w:t>
            </w:r>
          </w:p>
        </w:tc>
        <w:tc>
          <w:tcPr>
            <w:tcW w:w="1984"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7B5E0A3F"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68</w:t>
            </w:r>
          </w:p>
        </w:tc>
      </w:tr>
      <w:tr w:rsidR="00284000" w:rsidRPr="00963A68" w14:paraId="6B0E5039" w14:textId="77777777" w:rsidTr="00912EAB">
        <w:tc>
          <w:tcPr>
            <w:tcW w:w="2835"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07BC451A"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After deduplication</w:t>
            </w:r>
          </w:p>
        </w:tc>
        <w:tc>
          <w:tcPr>
            <w:tcW w:w="4252"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5CB3B589"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Records remaining after removal of duplicates</w:t>
            </w:r>
          </w:p>
        </w:tc>
        <w:tc>
          <w:tcPr>
            <w:tcW w:w="1984"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7548205C"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432</w:t>
            </w:r>
          </w:p>
        </w:tc>
      </w:tr>
      <w:tr w:rsidR="00284000" w:rsidRPr="00963A68" w14:paraId="7EE12245" w14:textId="77777777" w:rsidTr="00912EAB">
        <w:tc>
          <w:tcPr>
            <w:tcW w:w="2835"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1F287CA4"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Screening</w:t>
            </w:r>
          </w:p>
        </w:tc>
        <w:tc>
          <w:tcPr>
            <w:tcW w:w="4252"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6F4262A3"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Records excluded at title/abstract stage (not relevant to topic)</w:t>
            </w:r>
          </w:p>
        </w:tc>
        <w:tc>
          <w:tcPr>
            <w:tcW w:w="1984"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60CEF6DB"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182 excluded</w:t>
            </w:r>
            <w:r w:rsidRPr="00963A68">
              <w:rPr>
                <w:rFonts w:asciiTheme="majorBidi" w:hAnsiTheme="majorBidi" w:cstheme="majorBidi"/>
                <w:sz w:val="19"/>
              </w:rPr>
              <w:br/>
              <w:t>(250 retained)</w:t>
            </w:r>
          </w:p>
        </w:tc>
      </w:tr>
      <w:tr w:rsidR="00284000" w:rsidRPr="00963A68" w14:paraId="25B92743" w14:textId="77777777" w:rsidTr="00912EAB">
        <w:tc>
          <w:tcPr>
            <w:tcW w:w="2835"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1DECB4CB"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Eligibility</w:t>
            </w:r>
          </w:p>
        </w:tc>
        <w:tc>
          <w:tcPr>
            <w:tcW w:w="4252"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1CE08FD0"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Full texts assessed; excluded: no OR (51), insufficient data (34), non-obstetric (22), duplicate cohort (12)</w:t>
            </w:r>
          </w:p>
        </w:tc>
        <w:tc>
          <w:tcPr>
            <w:tcW w:w="1984" w:type="dxa"/>
            <w:tcBorders>
              <w:top w:val="single" w:sz="4" w:space="0" w:color="AAAAAA"/>
              <w:left w:val="single" w:sz="4" w:space="0" w:color="AAAAAA"/>
              <w:bottom w:val="single" w:sz="4" w:space="0" w:color="AAAAAA"/>
              <w:right w:val="single" w:sz="4" w:space="0" w:color="AAAAAA"/>
            </w:tcBorders>
            <w:shd w:val="clear" w:color="auto" w:fill="F8F9FB"/>
            <w:tcMar>
              <w:top w:w="50" w:type="dxa"/>
              <w:left w:w="100" w:type="dxa"/>
              <w:bottom w:w="50" w:type="dxa"/>
              <w:right w:w="100" w:type="dxa"/>
            </w:tcMar>
            <w:vAlign w:val="center"/>
          </w:tcPr>
          <w:p w14:paraId="6DF9DDA6"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119 excluded</w:t>
            </w:r>
            <w:r w:rsidRPr="00963A68">
              <w:rPr>
                <w:rFonts w:asciiTheme="majorBidi" w:hAnsiTheme="majorBidi" w:cstheme="majorBidi"/>
                <w:sz w:val="19"/>
              </w:rPr>
              <w:br/>
              <w:t>(131 retained)</w:t>
            </w:r>
          </w:p>
        </w:tc>
      </w:tr>
      <w:tr w:rsidR="00284000" w:rsidRPr="00963A68" w14:paraId="49E592F7" w14:textId="77777777" w:rsidTr="00912EAB">
        <w:tc>
          <w:tcPr>
            <w:tcW w:w="2835"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4B23F5DA"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Included</w:t>
            </w:r>
          </w:p>
        </w:tc>
        <w:tc>
          <w:tcPr>
            <w:tcW w:w="4252"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3D9B9518"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Studies included for parameter extraction and synthetic data generation</w:t>
            </w:r>
          </w:p>
        </w:tc>
        <w:tc>
          <w:tcPr>
            <w:tcW w:w="1984"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14B39EF3"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833C11"/>
                <w:sz w:val="19"/>
              </w:rPr>
              <w:t>131</w:t>
            </w:r>
          </w:p>
        </w:tc>
      </w:tr>
    </w:tbl>
    <w:p w14:paraId="51237436" w14:textId="77777777" w:rsidR="00284000" w:rsidRPr="00963A68" w:rsidRDefault="00000000" w:rsidP="00912EAB">
      <w:pPr>
        <w:spacing w:before="240"/>
        <w:jc w:val="lowKashida"/>
        <w:rPr>
          <w:rFonts w:asciiTheme="majorBidi" w:hAnsiTheme="majorBidi" w:cstheme="majorBidi"/>
        </w:rPr>
      </w:pPr>
      <w:r w:rsidRPr="00963A68">
        <w:rPr>
          <w:rFonts w:asciiTheme="majorBidi" w:hAnsiTheme="majorBidi" w:cstheme="majorBidi"/>
          <w:b/>
          <w:color w:val="1F4E79"/>
          <w:sz w:val="26"/>
        </w:rPr>
        <w:t>5. Temporal Distribution of Included Studies</w:t>
      </w:r>
    </w:p>
    <w:tbl>
      <w:tblPr>
        <w:tblW w:w="9071" w:type="dxa"/>
        <w:jc w:val="center"/>
        <w:tblLook w:val="04A0" w:firstRow="1" w:lastRow="0" w:firstColumn="1" w:lastColumn="0" w:noHBand="0" w:noVBand="1"/>
      </w:tblPr>
      <w:tblGrid>
        <w:gridCol w:w="1701"/>
        <w:gridCol w:w="1417"/>
        <w:gridCol w:w="1417"/>
        <w:gridCol w:w="4536"/>
      </w:tblGrid>
      <w:tr w:rsidR="00284000" w:rsidRPr="00963A68" w14:paraId="0C5D8A81" w14:textId="77777777" w:rsidTr="00912EAB">
        <w:trPr>
          <w:jc w:val="center"/>
        </w:trPr>
        <w:tc>
          <w:tcPr>
            <w:tcW w:w="1701" w:type="dxa"/>
            <w:tcBorders>
              <w:top w:val="single" w:sz="8" w:space="0" w:color="1F4E79"/>
              <w:left w:val="single" w:sz="8" w:space="0" w:color="1F4E79"/>
              <w:bottom w:val="single" w:sz="8" w:space="0" w:color="1F4E79"/>
              <w:right w:val="single" w:sz="8" w:space="0" w:color="1F4E79"/>
            </w:tcBorders>
            <w:shd w:val="clear" w:color="auto" w:fill="2E75B6"/>
            <w:tcMar>
              <w:top w:w="60" w:type="dxa"/>
              <w:left w:w="120" w:type="dxa"/>
              <w:bottom w:w="60" w:type="dxa"/>
              <w:right w:w="120" w:type="dxa"/>
            </w:tcMar>
            <w:vAlign w:val="center"/>
          </w:tcPr>
          <w:p w14:paraId="582E2F88"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Period</w:t>
            </w:r>
          </w:p>
        </w:tc>
        <w:tc>
          <w:tcPr>
            <w:tcW w:w="1417" w:type="dxa"/>
            <w:tcBorders>
              <w:top w:val="single" w:sz="8" w:space="0" w:color="1F4E79"/>
              <w:left w:val="single" w:sz="8" w:space="0" w:color="1F4E79"/>
              <w:bottom w:val="single" w:sz="8" w:space="0" w:color="1F4E79"/>
              <w:right w:val="single" w:sz="8" w:space="0" w:color="1F4E79"/>
            </w:tcBorders>
            <w:shd w:val="clear" w:color="auto" w:fill="2E75B6"/>
            <w:tcMar>
              <w:top w:w="60" w:type="dxa"/>
              <w:left w:w="120" w:type="dxa"/>
              <w:bottom w:w="60" w:type="dxa"/>
              <w:right w:w="120" w:type="dxa"/>
            </w:tcMar>
            <w:vAlign w:val="center"/>
          </w:tcPr>
          <w:p w14:paraId="7EE24E2B"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n studies</w:t>
            </w:r>
          </w:p>
        </w:tc>
        <w:tc>
          <w:tcPr>
            <w:tcW w:w="1417" w:type="dxa"/>
            <w:tcBorders>
              <w:top w:val="single" w:sz="8" w:space="0" w:color="1F4E79"/>
              <w:left w:val="single" w:sz="8" w:space="0" w:color="1F4E79"/>
              <w:bottom w:val="single" w:sz="8" w:space="0" w:color="1F4E79"/>
              <w:right w:val="single" w:sz="8" w:space="0" w:color="1F4E79"/>
            </w:tcBorders>
            <w:shd w:val="clear" w:color="auto" w:fill="2E75B6"/>
            <w:tcMar>
              <w:top w:w="60" w:type="dxa"/>
              <w:left w:w="120" w:type="dxa"/>
              <w:bottom w:w="60" w:type="dxa"/>
              <w:right w:w="120" w:type="dxa"/>
            </w:tcMar>
            <w:vAlign w:val="center"/>
          </w:tcPr>
          <w:p w14:paraId="4ADDB8B0"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 of total</w:t>
            </w:r>
          </w:p>
        </w:tc>
        <w:tc>
          <w:tcPr>
            <w:tcW w:w="4536" w:type="dxa"/>
            <w:tcBorders>
              <w:top w:val="single" w:sz="8" w:space="0" w:color="1F4E79"/>
              <w:left w:val="single" w:sz="8" w:space="0" w:color="1F4E79"/>
              <w:bottom w:val="single" w:sz="8" w:space="0" w:color="1F4E79"/>
              <w:right w:val="single" w:sz="8" w:space="0" w:color="1F4E79"/>
            </w:tcBorders>
            <w:shd w:val="clear" w:color="auto" w:fill="2E75B6"/>
            <w:tcMar>
              <w:top w:w="60" w:type="dxa"/>
              <w:left w:w="120" w:type="dxa"/>
              <w:bottom w:w="60" w:type="dxa"/>
              <w:right w:w="120" w:type="dxa"/>
            </w:tcMar>
            <w:vAlign w:val="center"/>
          </w:tcPr>
          <w:p w14:paraId="37031586"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Primary domain focus</w:t>
            </w:r>
          </w:p>
        </w:tc>
      </w:tr>
      <w:tr w:rsidR="00284000" w:rsidRPr="00963A68" w14:paraId="4091B00E" w14:textId="77777777" w:rsidTr="00912EAB">
        <w:trPr>
          <w:jc w:val="center"/>
        </w:trPr>
        <w:tc>
          <w:tcPr>
            <w:tcW w:w="1701"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7B971BA6"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2002–2010</w:t>
            </w:r>
          </w:p>
        </w:tc>
        <w:tc>
          <w:tcPr>
            <w:tcW w:w="1417"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6F0CB69F"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16</w:t>
            </w:r>
          </w:p>
        </w:tc>
        <w:tc>
          <w:tcPr>
            <w:tcW w:w="1417"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55C6F3C3"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12.2%</w:t>
            </w:r>
          </w:p>
        </w:tc>
        <w:tc>
          <w:tcPr>
            <w:tcW w:w="4536"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4C825F5F"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CS rate benchmarks, early psychosocial predictors</w:t>
            </w:r>
          </w:p>
        </w:tc>
      </w:tr>
      <w:tr w:rsidR="00284000" w:rsidRPr="00963A68" w14:paraId="56FA35FA" w14:textId="77777777" w:rsidTr="00912EAB">
        <w:trPr>
          <w:jc w:val="center"/>
        </w:trPr>
        <w:tc>
          <w:tcPr>
            <w:tcW w:w="1701"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301BDC2F"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2011–2015</w:t>
            </w:r>
          </w:p>
        </w:tc>
        <w:tc>
          <w:tcPr>
            <w:tcW w:w="1417"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37DABB69"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32</w:t>
            </w:r>
          </w:p>
        </w:tc>
        <w:tc>
          <w:tcPr>
            <w:tcW w:w="1417"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5D5477CB"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24.4%</w:t>
            </w:r>
          </w:p>
        </w:tc>
        <w:tc>
          <w:tcPr>
            <w:tcW w:w="4536"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0C849FFC"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Fear of childbirth instruments, parity effects</w:t>
            </w:r>
          </w:p>
        </w:tc>
      </w:tr>
      <w:tr w:rsidR="00284000" w:rsidRPr="00963A68" w14:paraId="56220E9D" w14:textId="77777777" w:rsidTr="00912EAB">
        <w:trPr>
          <w:jc w:val="center"/>
        </w:trPr>
        <w:tc>
          <w:tcPr>
            <w:tcW w:w="1701"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57F590D6"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2016–2020</w:t>
            </w:r>
          </w:p>
        </w:tc>
        <w:tc>
          <w:tcPr>
            <w:tcW w:w="1417"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02C2337E"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41</w:t>
            </w:r>
          </w:p>
        </w:tc>
        <w:tc>
          <w:tcPr>
            <w:tcW w:w="1417"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6F3E22C4"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31.3%</w:t>
            </w:r>
          </w:p>
        </w:tc>
        <w:tc>
          <w:tcPr>
            <w:tcW w:w="4536"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3DC8A9AC"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Biopsychosocial integration, doula/support evidence</w:t>
            </w:r>
          </w:p>
        </w:tc>
      </w:tr>
      <w:tr w:rsidR="00284000" w:rsidRPr="00963A68" w14:paraId="47FCA922" w14:textId="77777777" w:rsidTr="00912EAB">
        <w:trPr>
          <w:jc w:val="center"/>
        </w:trPr>
        <w:tc>
          <w:tcPr>
            <w:tcW w:w="1701"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739782C9"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2021–2023</w:t>
            </w:r>
          </w:p>
        </w:tc>
        <w:tc>
          <w:tcPr>
            <w:tcW w:w="1417"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16814C7D"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25</w:t>
            </w:r>
          </w:p>
        </w:tc>
        <w:tc>
          <w:tcPr>
            <w:tcW w:w="1417"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79600770"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19.1%</w:t>
            </w:r>
          </w:p>
        </w:tc>
        <w:tc>
          <w:tcPr>
            <w:tcW w:w="4536"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vAlign w:val="center"/>
          </w:tcPr>
          <w:p w14:paraId="740A3E15"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Post-pandemic obstetric data, SI framework studies</w:t>
            </w:r>
          </w:p>
        </w:tc>
      </w:tr>
      <w:tr w:rsidR="00284000" w:rsidRPr="00963A68" w14:paraId="487CE3EF" w14:textId="77777777" w:rsidTr="00912EAB">
        <w:trPr>
          <w:jc w:val="center"/>
        </w:trPr>
        <w:tc>
          <w:tcPr>
            <w:tcW w:w="1701"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42F160C8"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2024–2026</w:t>
            </w:r>
          </w:p>
        </w:tc>
        <w:tc>
          <w:tcPr>
            <w:tcW w:w="1417"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411AB3EB"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17</w:t>
            </w:r>
          </w:p>
        </w:tc>
        <w:tc>
          <w:tcPr>
            <w:tcW w:w="1417"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3875215A"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13.0%</w:t>
            </w:r>
          </w:p>
        </w:tc>
        <w:tc>
          <w:tcPr>
            <w:tcW w:w="4536" w:type="dxa"/>
            <w:tcBorders>
              <w:top w:val="single" w:sz="4" w:space="0" w:color="AAAAAA"/>
              <w:left w:val="single" w:sz="4" w:space="0" w:color="AAAAAA"/>
              <w:bottom w:val="single" w:sz="4" w:space="0" w:color="AAAAAA"/>
              <w:right w:val="single" w:sz="4" w:space="0" w:color="AAAAAA"/>
            </w:tcBorders>
            <w:shd w:val="clear" w:color="auto" w:fill="EEF3FB"/>
            <w:tcMar>
              <w:top w:w="50" w:type="dxa"/>
              <w:left w:w="100" w:type="dxa"/>
              <w:bottom w:w="50" w:type="dxa"/>
              <w:right w:w="100" w:type="dxa"/>
            </w:tcMar>
            <w:vAlign w:val="center"/>
          </w:tcPr>
          <w:p w14:paraId="008D5184"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sz w:val="19"/>
              </w:rPr>
              <w:t>Most recent ML models, updated OR estimates</w:t>
            </w:r>
          </w:p>
        </w:tc>
      </w:tr>
    </w:tbl>
    <w:p w14:paraId="7A411D64" w14:textId="77777777" w:rsidR="00284000" w:rsidRPr="00963A68" w:rsidRDefault="00000000" w:rsidP="00912EAB">
      <w:pPr>
        <w:spacing w:before="240" w:after="0"/>
        <w:jc w:val="lowKashida"/>
        <w:rPr>
          <w:rFonts w:asciiTheme="majorBidi" w:hAnsiTheme="majorBidi" w:cstheme="majorBidi"/>
        </w:rPr>
      </w:pPr>
      <w:r w:rsidRPr="00963A68">
        <w:rPr>
          <w:rFonts w:asciiTheme="majorBidi" w:hAnsiTheme="majorBidi" w:cstheme="majorBidi"/>
        </w:rPr>
        <w:t>The majority of included studies (63.4%) were published after 2016, ensuring that the parameterisation reflects contemporary evidence. Studies published before 2011 were included when they provided foundational OR estimates for key predictors (e.g. fear of childbirth, previous CS history) that have remained stable across subsequent literature.</w:t>
      </w:r>
    </w:p>
    <w:p w14:paraId="2F117B44" w14:textId="77777777" w:rsidR="00284000" w:rsidRPr="00963A68" w:rsidRDefault="00000000" w:rsidP="00912EAB">
      <w:pPr>
        <w:spacing w:before="240"/>
        <w:jc w:val="lowKashida"/>
        <w:rPr>
          <w:rFonts w:asciiTheme="majorBidi" w:hAnsiTheme="majorBidi" w:cstheme="majorBidi"/>
        </w:rPr>
      </w:pPr>
      <w:r w:rsidRPr="00963A68">
        <w:rPr>
          <w:rFonts w:asciiTheme="majorBidi" w:hAnsiTheme="majorBidi" w:cstheme="majorBidi"/>
          <w:b/>
          <w:color w:val="1F4E79"/>
          <w:sz w:val="26"/>
        </w:rPr>
        <w:lastRenderedPageBreak/>
        <w:t>6. Distribution by Parameterisation Domain</w:t>
      </w:r>
    </w:p>
    <w:tbl>
      <w:tblPr>
        <w:tblW w:w="9071" w:type="dxa"/>
        <w:jc w:val="center"/>
        <w:tblLook w:val="04A0" w:firstRow="1" w:lastRow="0" w:firstColumn="1" w:lastColumn="0" w:noHBand="0" w:noVBand="1"/>
      </w:tblPr>
      <w:tblGrid>
        <w:gridCol w:w="2551"/>
        <w:gridCol w:w="1417"/>
        <w:gridCol w:w="1134"/>
        <w:gridCol w:w="3969"/>
      </w:tblGrid>
      <w:tr w:rsidR="00284000" w:rsidRPr="00963A68" w14:paraId="679F3469" w14:textId="77777777" w:rsidTr="00912EAB">
        <w:trPr>
          <w:jc w:val="center"/>
        </w:trPr>
        <w:tc>
          <w:tcPr>
            <w:tcW w:w="2551" w:type="dxa"/>
            <w:tcBorders>
              <w:top w:val="single" w:sz="8" w:space="0" w:color="1F4E79"/>
              <w:left w:val="single" w:sz="8" w:space="0" w:color="1F4E79"/>
              <w:bottom w:val="single" w:sz="8" w:space="0" w:color="1F4E79"/>
              <w:right w:val="single" w:sz="8" w:space="0" w:color="1F4E79"/>
            </w:tcBorders>
            <w:shd w:val="clear" w:color="auto" w:fill="375623"/>
            <w:tcMar>
              <w:top w:w="60" w:type="dxa"/>
              <w:left w:w="120" w:type="dxa"/>
              <w:bottom w:w="60" w:type="dxa"/>
              <w:right w:w="120" w:type="dxa"/>
            </w:tcMar>
          </w:tcPr>
          <w:p w14:paraId="4CB2B5F2"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Domain / component</w:t>
            </w:r>
          </w:p>
        </w:tc>
        <w:tc>
          <w:tcPr>
            <w:tcW w:w="1417" w:type="dxa"/>
            <w:tcBorders>
              <w:top w:val="single" w:sz="8" w:space="0" w:color="1F4E79"/>
              <w:left w:val="single" w:sz="8" w:space="0" w:color="1F4E79"/>
              <w:bottom w:val="single" w:sz="8" w:space="0" w:color="1F4E79"/>
              <w:right w:val="single" w:sz="8" w:space="0" w:color="1F4E79"/>
            </w:tcBorders>
            <w:shd w:val="clear" w:color="auto" w:fill="375623"/>
            <w:tcMar>
              <w:top w:w="60" w:type="dxa"/>
              <w:left w:w="120" w:type="dxa"/>
              <w:bottom w:w="60" w:type="dxa"/>
              <w:right w:w="120" w:type="dxa"/>
            </w:tcMar>
          </w:tcPr>
          <w:p w14:paraId="7EFAE15F"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Coverage</w:t>
            </w:r>
          </w:p>
        </w:tc>
        <w:tc>
          <w:tcPr>
            <w:tcW w:w="1134" w:type="dxa"/>
            <w:tcBorders>
              <w:top w:val="single" w:sz="8" w:space="0" w:color="1F4E79"/>
              <w:left w:val="single" w:sz="8" w:space="0" w:color="1F4E79"/>
              <w:bottom w:val="single" w:sz="8" w:space="0" w:color="1F4E79"/>
              <w:right w:val="single" w:sz="8" w:space="0" w:color="1F4E79"/>
            </w:tcBorders>
            <w:shd w:val="clear" w:color="auto" w:fill="375623"/>
            <w:tcMar>
              <w:top w:w="60" w:type="dxa"/>
              <w:left w:w="120" w:type="dxa"/>
              <w:bottom w:w="60" w:type="dxa"/>
              <w:right w:w="120" w:type="dxa"/>
            </w:tcMar>
          </w:tcPr>
          <w:p w14:paraId="79A4FF41"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Studies used</w:t>
            </w:r>
          </w:p>
        </w:tc>
        <w:tc>
          <w:tcPr>
            <w:tcW w:w="3969" w:type="dxa"/>
            <w:tcBorders>
              <w:top w:val="single" w:sz="8" w:space="0" w:color="1F4E79"/>
              <w:left w:val="single" w:sz="8" w:space="0" w:color="1F4E79"/>
              <w:bottom w:val="single" w:sz="8" w:space="0" w:color="1F4E79"/>
              <w:right w:val="single" w:sz="8" w:space="0" w:color="1F4E79"/>
            </w:tcBorders>
            <w:shd w:val="clear" w:color="auto" w:fill="375623"/>
            <w:tcMar>
              <w:top w:w="60" w:type="dxa"/>
              <w:left w:w="120" w:type="dxa"/>
              <w:bottom w:w="60" w:type="dxa"/>
              <w:right w:w="120" w:type="dxa"/>
            </w:tcMar>
          </w:tcPr>
          <w:p w14:paraId="49E169A8" w14:textId="77777777" w:rsidR="00284000" w:rsidRPr="00963A68" w:rsidRDefault="00000000" w:rsidP="00912EAB">
            <w:pPr>
              <w:spacing w:after="0"/>
              <w:jc w:val="center"/>
              <w:rPr>
                <w:rFonts w:asciiTheme="majorBidi" w:hAnsiTheme="majorBidi" w:cstheme="majorBidi"/>
              </w:rPr>
            </w:pPr>
            <w:r w:rsidRPr="00963A68">
              <w:rPr>
                <w:rFonts w:asciiTheme="majorBidi" w:hAnsiTheme="majorBidi" w:cstheme="majorBidi"/>
                <w:b/>
                <w:color w:val="FFFFFF"/>
              </w:rPr>
              <w:t>Key sources</w:t>
            </w:r>
          </w:p>
        </w:tc>
      </w:tr>
      <w:tr w:rsidR="00284000" w:rsidRPr="00963A68" w14:paraId="5E0B21C9" w14:textId="77777777" w:rsidTr="00912EAB">
        <w:trPr>
          <w:jc w:val="center"/>
        </w:trPr>
        <w:tc>
          <w:tcPr>
            <w:tcW w:w="2551"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61AA8CF0"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CS — Antepartum predictors</w:t>
            </w:r>
          </w:p>
        </w:tc>
        <w:tc>
          <w:tcPr>
            <w:tcW w:w="1417"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66EDC97F"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15 predictors</w:t>
            </w:r>
          </w:p>
        </w:tc>
        <w:tc>
          <w:tcPr>
            <w:tcW w:w="1134"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4B580612"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~45 studies</w:t>
            </w:r>
          </w:p>
        </w:tc>
        <w:tc>
          <w:tcPr>
            <w:tcW w:w="3969"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0AEDC0D3"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i/>
                <w:sz w:val="18"/>
              </w:rPr>
              <w:t>Hunt 2025; Tun 2022; Wu 2019; Betran 2021; Liu 2026; Chaudhary 2025; Huang 2026; Al-Omari 2026; Crabtree 2026; Zhu 2025</w:t>
            </w:r>
          </w:p>
        </w:tc>
      </w:tr>
      <w:tr w:rsidR="00284000" w:rsidRPr="00963A68" w14:paraId="3A636CC9" w14:textId="77777777" w:rsidTr="00912EAB">
        <w:trPr>
          <w:jc w:val="center"/>
        </w:trPr>
        <w:tc>
          <w:tcPr>
            <w:tcW w:w="2551"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6C1C12A1"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CS — Intrapartum predictors</w:t>
            </w:r>
          </w:p>
        </w:tc>
        <w:tc>
          <w:tcPr>
            <w:tcW w:w="1417"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0C0398F0"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7 predictors</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010ED8C7"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~28 studies</w:t>
            </w:r>
          </w:p>
        </w:tc>
        <w:tc>
          <w:tcPr>
            <w:tcW w:w="3969"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319EF680"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i/>
                <w:sz w:val="18"/>
              </w:rPr>
              <w:t>Hunt 2025; Sinha 2024; Nicoli 2026; Oruc 2025; Verhoeven 2012; Whittington 2023; Bischoff 2017</w:t>
            </w:r>
          </w:p>
        </w:tc>
      </w:tr>
      <w:tr w:rsidR="00284000" w:rsidRPr="00963A68" w14:paraId="1AD10C8B" w14:textId="77777777" w:rsidTr="00912EAB">
        <w:trPr>
          <w:jc w:val="center"/>
        </w:trPr>
        <w:tc>
          <w:tcPr>
            <w:tcW w:w="2551"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135129A9"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SI — Uterine / structural</w:t>
            </w:r>
          </w:p>
        </w:tc>
        <w:tc>
          <w:tcPr>
            <w:tcW w:w="1417"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2BB7F0E4"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5 predictors</w:t>
            </w:r>
          </w:p>
        </w:tc>
        <w:tc>
          <w:tcPr>
            <w:tcW w:w="1134"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4AA13305"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~18 studies</w:t>
            </w:r>
          </w:p>
        </w:tc>
        <w:tc>
          <w:tcPr>
            <w:tcW w:w="3969"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252F18A4"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i/>
                <w:sz w:val="18"/>
              </w:rPr>
              <w:t>Guo 2019; Hooker 2014; Ma 2025</w:t>
            </w:r>
          </w:p>
        </w:tc>
      </w:tr>
      <w:tr w:rsidR="00284000" w:rsidRPr="00963A68" w14:paraId="7D91681F" w14:textId="77777777" w:rsidTr="00912EAB">
        <w:trPr>
          <w:jc w:val="center"/>
        </w:trPr>
        <w:tc>
          <w:tcPr>
            <w:tcW w:w="2551"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60DAF67A"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SI — Clinical / gynaecological</w:t>
            </w:r>
          </w:p>
        </w:tc>
        <w:tc>
          <w:tcPr>
            <w:tcW w:w="1417"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4B2E992F"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7 predictors</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55B78B5F"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~25 studies</w:t>
            </w:r>
          </w:p>
        </w:tc>
        <w:tc>
          <w:tcPr>
            <w:tcW w:w="3969"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7D6A998B"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i/>
                <w:sz w:val="18"/>
              </w:rPr>
              <w:t>te Velde 2002; Bulletti 2010; Rai &amp; Regan 2006; Mintziori 2016; Thoma 2013</w:t>
            </w:r>
          </w:p>
        </w:tc>
      </w:tr>
      <w:tr w:rsidR="00284000" w:rsidRPr="00963A68" w14:paraId="516EC5B3" w14:textId="77777777" w:rsidTr="00912EAB">
        <w:trPr>
          <w:jc w:val="center"/>
        </w:trPr>
        <w:tc>
          <w:tcPr>
            <w:tcW w:w="2551"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4E546C90"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SI — Psychosocial</w:t>
            </w:r>
          </w:p>
        </w:tc>
        <w:tc>
          <w:tcPr>
            <w:tcW w:w="1417"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17D5C188"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5 predictors</w:t>
            </w:r>
          </w:p>
        </w:tc>
        <w:tc>
          <w:tcPr>
            <w:tcW w:w="1134"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7E6E437D"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~15 studies</w:t>
            </w:r>
          </w:p>
        </w:tc>
        <w:tc>
          <w:tcPr>
            <w:tcW w:w="3969"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671FFE61"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i/>
                <w:sz w:val="18"/>
              </w:rPr>
              <w:t>Storksen 2013; Tun 2022; Kinouchi 2026; Laursen 2009; Sydsjö 2012</w:t>
            </w:r>
          </w:p>
        </w:tc>
      </w:tr>
      <w:tr w:rsidR="00284000" w:rsidRPr="00963A68" w14:paraId="0D2902C9" w14:textId="77777777" w:rsidTr="00912EAB">
        <w:trPr>
          <w:jc w:val="center"/>
        </w:trPr>
        <w:tc>
          <w:tcPr>
            <w:tcW w:w="2551"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21A3448A"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SI — Obstetric / protective</w:t>
            </w:r>
          </w:p>
        </w:tc>
        <w:tc>
          <w:tcPr>
            <w:tcW w:w="1417"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0F8913D0"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2 predictors</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18C9D673"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~8 studies</w:t>
            </w:r>
          </w:p>
        </w:tc>
        <w:tc>
          <w:tcPr>
            <w:tcW w:w="3969"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1234C2FC"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i/>
                <w:sz w:val="18"/>
              </w:rPr>
              <w:t>Ma 2025; Cox 2023; Chaudhary 2025</w:t>
            </w:r>
          </w:p>
        </w:tc>
      </w:tr>
      <w:tr w:rsidR="00284000" w:rsidRPr="00963A68" w14:paraId="58932409" w14:textId="77777777" w:rsidTr="00912EAB">
        <w:trPr>
          <w:jc w:val="center"/>
        </w:trPr>
        <w:tc>
          <w:tcPr>
            <w:tcW w:w="2551"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795C8633"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Prevalence calibration</w:t>
            </w:r>
          </w:p>
        </w:tc>
        <w:tc>
          <w:tcPr>
            <w:tcW w:w="1417"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6D9540AB"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3 targets</w:t>
            </w:r>
          </w:p>
        </w:tc>
        <w:tc>
          <w:tcPr>
            <w:tcW w:w="1134"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11DEE0ED"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~12 studies</w:t>
            </w:r>
          </w:p>
        </w:tc>
        <w:tc>
          <w:tcPr>
            <w:tcW w:w="3969" w:type="dxa"/>
            <w:tcBorders>
              <w:top w:val="single" w:sz="4" w:space="0" w:color="AAAAAA"/>
              <w:left w:val="single" w:sz="4" w:space="0" w:color="AAAAAA"/>
              <w:bottom w:val="single" w:sz="4" w:space="0" w:color="AAAAAA"/>
              <w:right w:val="single" w:sz="4" w:space="0" w:color="AAAAAA"/>
            </w:tcBorders>
            <w:shd w:val="clear" w:color="auto" w:fill="EAF3DE"/>
            <w:tcMar>
              <w:top w:w="50" w:type="dxa"/>
              <w:left w:w="100" w:type="dxa"/>
              <w:bottom w:w="50" w:type="dxa"/>
              <w:right w:w="100" w:type="dxa"/>
            </w:tcMar>
          </w:tcPr>
          <w:p w14:paraId="2E67A0DE"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i/>
                <w:sz w:val="18"/>
              </w:rPr>
              <w:t>Betran 2021; Hunt 2025; Cox 2023; WHO 2023</w:t>
            </w:r>
          </w:p>
        </w:tc>
      </w:tr>
      <w:tr w:rsidR="00284000" w:rsidRPr="00963A68" w14:paraId="608458C1" w14:textId="77777777" w:rsidTr="00912EAB">
        <w:trPr>
          <w:jc w:val="center"/>
        </w:trPr>
        <w:tc>
          <w:tcPr>
            <w:tcW w:w="2551"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1FDA60BC"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Correlation structure</w:t>
            </w:r>
          </w:p>
        </w:tc>
        <w:tc>
          <w:tcPr>
            <w:tcW w:w="1417"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17BDE29E"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5 copula pairs</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6AAB8476"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sz w:val="18"/>
              </w:rPr>
              <w:t>~10 studies</w:t>
            </w:r>
          </w:p>
        </w:tc>
        <w:tc>
          <w:tcPr>
            <w:tcW w:w="3969" w:type="dxa"/>
            <w:tcBorders>
              <w:top w:val="single" w:sz="4" w:space="0" w:color="AAAAAA"/>
              <w:left w:val="single" w:sz="4" w:space="0" w:color="AAAAAA"/>
              <w:bottom w:val="single" w:sz="4" w:space="0" w:color="AAAAAA"/>
              <w:right w:val="single" w:sz="4" w:space="0" w:color="AAAAAA"/>
            </w:tcBorders>
            <w:shd w:val="clear" w:color="auto" w:fill="FFFFFF"/>
            <w:tcMar>
              <w:top w:w="50" w:type="dxa"/>
              <w:left w:w="100" w:type="dxa"/>
              <w:bottom w:w="50" w:type="dxa"/>
              <w:right w:w="100" w:type="dxa"/>
            </w:tcMar>
          </w:tcPr>
          <w:p w14:paraId="5105A47E" w14:textId="77777777" w:rsidR="00284000" w:rsidRPr="00963A68" w:rsidRDefault="00000000" w:rsidP="00912EAB">
            <w:pPr>
              <w:spacing w:after="0"/>
              <w:jc w:val="lowKashida"/>
              <w:rPr>
                <w:rFonts w:asciiTheme="majorBidi" w:hAnsiTheme="majorBidi" w:cstheme="majorBidi"/>
              </w:rPr>
            </w:pPr>
            <w:r w:rsidRPr="00963A68">
              <w:rPr>
                <w:rFonts w:asciiTheme="majorBidi" w:hAnsiTheme="majorBidi" w:cstheme="majorBidi"/>
                <w:i/>
                <w:sz w:val="18"/>
              </w:rPr>
              <w:t>Sinha 2024; Hunt 2025; Oruc 2025; Tun 2022; Zhu 2025</w:t>
            </w:r>
          </w:p>
        </w:tc>
      </w:tr>
    </w:tbl>
    <w:p w14:paraId="512F6ECE" w14:textId="77777777" w:rsidR="00284000" w:rsidRPr="00963A68" w:rsidRDefault="00000000" w:rsidP="00912EAB">
      <w:pPr>
        <w:spacing w:before="240"/>
        <w:jc w:val="lowKashida"/>
        <w:rPr>
          <w:rFonts w:asciiTheme="majorBidi" w:hAnsiTheme="majorBidi" w:cstheme="majorBidi"/>
        </w:rPr>
      </w:pPr>
      <w:r w:rsidRPr="00963A68">
        <w:rPr>
          <w:rFonts w:asciiTheme="majorBidi" w:hAnsiTheme="majorBidi" w:cstheme="majorBidi"/>
          <w:b/>
          <w:color w:val="1F4E79"/>
          <w:sz w:val="26"/>
        </w:rPr>
        <w:t>7. Limitations of the Literature Search</w:t>
      </w:r>
    </w:p>
    <w:p w14:paraId="23BAAA68" w14:textId="77777777" w:rsidR="00284000" w:rsidRPr="00912EAB" w:rsidRDefault="00000000" w:rsidP="00912EAB">
      <w:pPr>
        <w:pStyle w:val="ListBullet"/>
        <w:spacing w:after="0"/>
        <w:jc w:val="lowKashida"/>
        <w:rPr>
          <w:rFonts w:asciiTheme="majorBidi" w:hAnsiTheme="majorBidi" w:cstheme="majorBidi"/>
          <w:sz w:val="24"/>
          <w:szCs w:val="28"/>
        </w:rPr>
      </w:pPr>
      <w:r w:rsidRPr="00912EAB">
        <w:rPr>
          <w:rFonts w:asciiTheme="majorBidi" w:hAnsiTheme="majorBidi" w:cstheme="majorBidi"/>
          <w:sz w:val="24"/>
          <w:szCs w:val="28"/>
        </w:rPr>
        <w:t>The search was not systematic in the PRISMA sense — no prospective protocol was registered, no flow diagram was filed a priori, and dual independent screening was not performed.</w:t>
      </w:r>
    </w:p>
    <w:p w14:paraId="4B281BE4" w14:textId="77777777" w:rsidR="00284000" w:rsidRPr="00912EAB" w:rsidRDefault="00000000" w:rsidP="00912EAB">
      <w:pPr>
        <w:pStyle w:val="ListBullet"/>
        <w:spacing w:after="0"/>
        <w:jc w:val="lowKashida"/>
        <w:rPr>
          <w:rFonts w:asciiTheme="majorBidi" w:hAnsiTheme="majorBidi" w:cstheme="majorBidi"/>
          <w:sz w:val="24"/>
          <w:szCs w:val="28"/>
        </w:rPr>
      </w:pPr>
      <w:r w:rsidRPr="00912EAB">
        <w:rPr>
          <w:rFonts w:asciiTheme="majorBidi" w:hAnsiTheme="majorBidi" w:cstheme="majorBidi"/>
          <w:sz w:val="24"/>
          <w:szCs w:val="28"/>
        </w:rPr>
        <w:t>Studies were not formally assessed for risk of bias (e.g. ROBINS-I, Cochrane RoB). Parameter quality varies across included sources.</w:t>
      </w:r>
    </w:p>
    <w:p w14:paraId="5CC2D7F0" w14:textId="77777777" w:rsidR="00284000" w:rsidRPr="00912EAB" w:rsidRDefault="00000000" w:rsidP="00912EAB">
      <w:pPr>
        <w:pStyle w:val="ListBullet"/>
        <w:spacing w:after="0"/>
        <w:jc w:val="lowKashida"/>
        <w:rPr>
          <w:rFonts w:asciiTheme="majorBidi" w:hAnsiTheme="majorBidi" w:cstheme="majorBidi"/>
          <w:sz w:val="24"/>
          <w:szCs w:val="28"/>
        </w:rPr>
      </w:pPr>
      <w:r w:rsidRPr="00912EAB">
        <w:rPr>
          <w:rFonts w:asciiTheme="majorBidi" w:hAnsiTheme="majorBidi" w:cstheme="majorBidi"/>
          <w:sz w:val="24"/>
          <w:szCs w:val="28"/>
        </w:rPr>
        <w:t>Effect sizes (ORs) were extracted from heterogeneous study designs (RCTs, cohort studies, cross-sectional studies), populations, and settings. Heterogeneity across sources was not quantified.</w:t>
      </w:r>
    </w:p>
    <w:p w14:paraId="39E2F16C" w14:textId="77777777" w:rsidR="00284000" w:rsidRPr="00912EAB" w:rsidRDefault="00000000" w:rsidP="00912EAB">
      <w:pPr>
        <w:pStyle w:val="ListBullet"/>
        <w:spacing w:after="0"/>
        <w:jc w:val="lowKashida"/>
        <w:rPr>
          <w:rFonts w:asciiTheme="majorBidi" w:hAnsiTheme="majorBidi" w:cstheme="majorBidi"/>
          <w:sz w:val="24"/>
          <w:szCs w:val="28"/>
        </w:rPr>
      </w:pPr>
      <w:r w:rsidRPr="00912EAB">
        <w:rPr>
          <w:rFonts w:asciiTheme="majorBidi" w:hAnsiTheme="majorBidi" w:cstheme="majorBidi"/>
          <w:sz w:val="24"/>
          <w:szCs w:val="28"/>
        </w:rPr>
        <w:t>The secondary infertility parameter set is based on a more limited and heterogeneous evidence base compared with the CS framework. Individual-level evidence for a causal childbirth-to-infertility pathway remains limited.</w:t>
      </w:r>
    </w:p>
    <w:p w14:paraId="525490E7" w14:textId="77777777" w:rsidR="00284000" w:rsidRPr="00912EAB" w:rsidRDefault="00000000" w:rsidP="00912EAB">
      <w:pPr>
        <w:pStyle w:val="ListBullet"/>
        <w:spacing w:after="0"/>
        <w:jc w:val="lowKashida"/>
        <w:rPr>
          <w:rFonts w:asciiTheme="majorBidi" w:hAnsiTheme="majorBidi" w:cstheme="majorBidi"/>
          <w:sz w:val="24"/>
          <w:szCs w:val="28"/>
        </w:rPr>
      </w:pPr>
      <w:r w:rsidRPr="00912EAB">
        <w:rPr>
          <w:rFonts w:asciiTheme="majorBidi" w:hAnsiTheme="majorBidi" w:cstheme="majorBidi"/>
          <w:sz w:val="24"/>
          <w:szCs w:val="28"/>
        </w:rPr>
        <w:t>Grey literature, non-English publications, and conference abstracts were not systematically searched.</w:t>
      </w:r>
    </w:p>
    <w:p w14:paraId="1147D180" w14:textId="77777777" w:rsidR="00284000" w:rsidRPr="00912EAB" w:rsidRDefault="00000000" w:rsidP="00912EAB">
      <w:pPr>
        <w:pStyle w:val="ListBullet"/>
        <w:spacing w:after="0"/>
        <w:jc w:val="lowKashida"/>
        <w:rPr>
          <w:rFonts w:asciiTheme="majorBidi" w:hAnsiTheme="majorBidi" w:cstheme="majorBidi"/>
          <w:sz w:val="24"/>
          <w:szCs w:val="28"/>
        </w:rPr>
      </w:pPr>
      <w:r w:rsidRPr="00912EAB">
        <w:rPr>
          <w:rFonts w:asciiTheme="majorBidi" w:hAnsiTheme="majorBidi" w:cstheme="majorBidi"/>
          <w:sz w:val="24"/>
          <w:szCs w:val="28"/>
        </w:rPr>
        <w:t>The search was conducted by a single researcher without independent verification of data extraction.</w:t>
      </w:r>
    </w:p>
    <w:p w14:paraId="0B3CDE57" w14:textId="77777777" w:rsidR="00284000" w:rsidRPr="00963A68" w:rsidRDefault="00000000" w:rsidP="00912EAB">
      <w:pPr>
        <w:spacing w:before="240"/>
        <w:jc w:val="lowKashida"/>
        <w:rPr>
          <w:rFonts w:asciiTheme="majorBidi" w:hAnsiTheme="majorBidi" w:cstheme="majorBidi"/>
        </w:rPr>
      </w:pPr>
      <w:r w:rsidRPr="00963A68">
        <w:rPr>
          <w:rFonts w:asciiTheme="majorBidi" w:hAnsiTheme="majorBidi" w:cstheme="majorBidi"/>
          <w:b/>
          <w:color w:val="1F4E79"/>
          <w:sz w:val="26"/>
        </w:rPr>
        <w:t>8. Summary Statement</w:t>
      </w:r>
    </w:p>
    <w:p w14:paraId="0E76BE46" w14:textId="22770F96" w:rsidR="00D1042F" w:rsidRPr="00912EAB" w:rsidRDefault="00000000" w:rsidP="00912EAB">
      <w:pPr>
        <w:spacing w:after="0"/>
        <w:jc w:val="lowKashida"/>
        <w:rPr>
          <w:rFonts w:asciiTheme="majorBidi" w:hAnsiTheme="majorBidi" w:cstheme="majorBidi"/>
          <w:sz w:val="24"/>
          <w:szCs w:val="28"/>
        </w:rPr>
      </w:pPr>
      <w:r w:rsidRPr="00912EAB">
        <w:rPr>
          <w:rFonts w:asciiTheme="majorBidi" w:hAnsiTheme="majorBidi" w:cstheme="majorBidi"/>
          <w:sz w:val="24"/>
          <w:szCs w:val="28"/>
        </w:rPr>
        <w:t>A structured, purposive literature search identified 131 published studies (2002</w:t>
      </w:r>
      <w:r w:rsidR="00912EAB">
        <w:rPr>
          <w:rFonts w:asciiTheme="majorBidi" w:hAnsiTheme="majorBidi" w:cstheme="majorBidi"/>
          <w:sz w:val="24"/>
          <w:szCs w:val="28"/>
        </w:rPr>
        <w:t>-</w:t>
      </w:r>
      <w:r w:rsidRPr="00912EAB">
        <w:rPr>
          <w:rFonts w:asciiTheme="majorBidi" w:hAnsiTheme="majorBidi" w:cstheme="majorBidi"/>
          <w:sz w:val="24"/>
          <w:szCs w:val="28"/>
        </w:rPr>
        <w:t xml:space="preserve">2026) that provided extractable distributional parameters, odds ratios, and correlation estimates used to parameterise two synthetic patient-level datasets: a caesarean section prediction cohort (n=3,000) and a secondary infertility risk cohort (n=4,000). The search was not designed to synthesise clinical evidence or draw causal inferences. All resulting model outputs represent properties of the simulation architecture and require prospective validation in real-world </w:t>
      </w:r>
      <w:r w:rsidRPr="00912EAB">
        <w:rPr>
          <w:rFonts w:asciiTheme="majorBidi" w:hAnsiTheme="majorBidi" w:cstheme="majorBidi"/>
          <w:sz w:val="24"/>
          <w:szCs w:val="28"/>
        </w:rPr>
        <w:lastRenderedPageBreak/>
        <w:t>clinical populations before any clinical application can be considered. The PRISMA-inspired flow diagram accompanying this report (Figure</w:t>
      </w:r>
      <w:r w:rsidR="00912EAB">
        <w:rPr>
          <w:rFonts w:asciiTheme="majorBidi" w:hAnsiTheme="majorBidi" w:cstheme="majorBidi"/>
          <w:sz w:val="24"/>
          <w:szCs w:val="28"/>
        </w:rPr>
        <w:t xml:space="preserve"> </w:t>
      </w:r>
      <w:r w:rsidRPr="00912EAB">
        <w:rPr>
          <w:rFonts w:asciiTheme="majorBidi" w:hAnsiTheme="majorBidi" w:cstheme="majorBidi"/>
          <w:sz w:val="24"/>
          <w:szCs w:val="28"/>
        </w:rPr>
        <w:t>1 / Supplementary Figure S2) is provided for transparency only and does not imply that this study constitutes a systematic review.</w:t>
      </w:r>
    </w:p>
    <w:sectPr w:rsidR="00D1042F" w:rsidRPr="00912EAB"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0237287">
    <w:abstractNumId w:val="8"/>
  </w:num>
  <w:num w:numId="2" w16cid:durableId="1558737333">
    <w:abstractNumId w:val="6"/>
  </w:num>
  <w:num w:numId="3" w16cid:durableId="1357078412">
    <w:abstractNumId w:val="5"/>
  </w:num>
  <w:num w:numId="4" w16cid:durableId="1997488213">
    <w:abstractNumId w:val="4"/>
  </w:num>
  <w:num w:numId="5" w16cid:durableId="1688023757">
    <w:abstractNumId w:val="7"/>
  </w:num>
  <w:num w:numId="6" w16cid:durableId="1828354488">
    <w:abstractNumId w:val="3"/>
  </w:num>
  <w:num w:numId="7" w16cid:durableId="102119223">
    <w:abstractNumId w:val="2"/>
  </w:num>
  <w:num w:numId="8" w16cid:durableId="2089186613">
    <w:abstractNumId w:val="1"/>
  </w:num>
  <w:num w:numId="9" w16cid:durableId="686443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4000"/>
    <w:rsid w:val="0029639D"/>
    <w:rsid w:val="00303813"/>
    <w:rsid w:val="00326F90"/>
    <w:rsid w:val="00912EAB"/>
    <w:rsid w:val="00963A68"/>
    <w:rsid w:val="00AA1D8D"/>
    <w:rsid w:val="00B47730"/>
    <w:rsid w:val="00CB0664"/>
    <w:rsid w:val="00D104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F77213"/>
  <w14:defaultImageDpi w14:val="300"/>
  <w15:docId w15:val="{85A065CF-A00E-4D6E-9FFF-88E62CE8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Arman Aryanzadeh</cp:lastModifiedBy>
  <cp:revision>3</cp:revision>
  <dcterms:created xsi:type="dcterms:W3CDTF">2013-12-23T23:15:00Z</dcterms:created>
  <dcterms:modified xsi:type="dcterms:W3CDTF">2026-06-13T07:14:00Z</dcterms:modified>
  <cp:category/>
</cp:coreProperties>
</file>