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SupplementTitle"/>
      </w:pPr>
      <w:r>
        <w:t>Supplementary Material</w:t>
      </w:r>
    </w:p>
    <w:p>
      <w:pPr>
        <w:pStyle w:val="SupplementSubtitle"/>
      </w:pPr>
      <w:r>
        <w:t>Anger Induced by a Modified Ultimatum Game in Borderline Personality Disorder: an experimental study</w:t>
      </w:r>
    </w:p>
    <w:p>
      <w:pPr>
        <w:pStyle w:val="SupplementAuthors"/>
      </w:pPr>
      <w:r>
        <w:t>Milad Amini Masouleh1,2,*, Romy Wachter2,3, Valerie Skarke2,3, Traute Demirakca2,4, Gabriele Ende2,4, Florian Bublatzky 1,2,Shadab Javanmard1,2, Jana Zweerings5, Catherine Barnes-Scheufler6, Christian Schmahl1,2, Christian Paret1,2,*</w:t>
      </w:r>
    </w:p>
    <w:p>
      <w:pPr>
        <w:pStyle w:val="SupplementAffiliation"/>
      </w:pPr>
      <w:r>
        <w:t>1. Department of Psychosomatic Medicine and Psychotherapy, Central Institute of Mental Health, Medical Faculty Mannheim/Heidelberg University, Mannheim, Germany</w:t>
      </w:r>
    </w:p>
    <w:p>
      <w:pPr>
        <w:pStyle w:val="SupplementAffiliation"/>
      </w:pPr>
      <w:r>
        <w:t>2. German Center for Mental Health, Partner Site Mannheim-Heidelberg-Ulm</w:t>
      </w:r>
    </w:p>
    <w:p>
      <w:pPr>
        <w:pStyle w:val="SupplementAffiliation"/>
      </w:pPr>
      <w:r>
        <w:t>3. Medical Faculty Mannheim, Heidelberg University, Mannheim, Germany</w:t>
      </w:r>
    </w:p>
    <w:p>
      <w:pPr>
        <w:pStyle w:val="SupplementAffiliation"/>
      </w:pPr>
      <w:r>
        <w:t>4. Department of Neuroimaging, Medical Faculty Mannheim, Central Institute of Mental Health, Heidelberg University, Mannheim, Germany</w:t>
      </w:r>
    </w:p>
    <w:p>
      <w:pPr>
        <w:pStyle w:val="SupplementAffiliation"/>
      </w:pPr>
      <w:r>
        <w:t>5. Department of Psychiatry, Psychotherapy and Psychosomatics, University Hospital RWTH Aachen, Aachen, Germany</w:t>
      </w:r>
    </w:p>
    <w:p>
      <w:pPr>
        <w:pStyle w:val="SupplementAffiliation"/>
      </w:pPr>
      <w:r>
        <w:t>6. Department of Psychiatry, Psychosomatic Medicine and Psychotherapy, University Hospital Frankfurt, Goethe University Frankfurt, Frankfurt am Main, Germany</w:t>
      </w:r>
    </w:p>
    <w:p>
      <w:pPr>
        <w:pStyle w:val="SupplementAffiliation"/>
      </w:pPr>
      <w:r>
        <w:t>*Correspondence to: miladamini.masouleh@zi-mannheim.de, christian.paret@zi-mannheim.de</w:t>
      </w:r>
    </w:p>
    <w:p w14:paraId="70940F27" w14:textId="77777777" w:rsidR="00095853" w:rsidRPr="006A4162" w:rsidRDefault="00095853" w:rsidP="006A4162">
      <w:pPr>
        <w:pStyle w:val="SupplementHeading"/>
        <w:spacing w:before="240" w:after="240" w:line="48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A4162">
        <w:rPr>
          <w:rFonts w:asciiTheme="majorBidi" w:hAnsiTheme="majorBidi" w:cstheme="majorBidi"/>
          <w:b/>
          <w:bCs/>
          <w:sz w:val="28"/>
          <w:szCs w:val="28"/>
        </w:rPr>
        <w:t>Supplementary Results</w:t>
      </w:r>
    </w:p>
    <w:p w14:paraId="7B1632A4" w14:textId="77777777" w:rsidR="00095853" w:rsidRPr="006A4162" w:rsidRDefault="00095853" w:rsidP="006A4162">
      <w:pPr>
        <w:spacing w:before="240" w:after="24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6A4162">
        <w:rPr>
          <w:rFonts w:asciiTheme="majorBidi" w:hAnsiTheme="majorBidi" w:cstheme="majorBidi"/>
          <w:sz w:val="24"/>
          <w:szCs w:val="24"/>
        </w:rPr>
        <w:t>We conducted complementary robustness analyses by excluding individuals who accepted ≥95% of all offers. This analysis was conducted to ensure that high-acceptance participants did not affect the results. These response patterns have been previously interpreted as reflecting disengagement from fairness evaluation rather than genuine social decision-making behavior (e.g., [1, 2]).</w:t>
      </w:r>
    </w:p>
    <w:p w14:paraId="601A3D7D" w14:textId="77777777" w:rsidR="00095853" w:rsidRPr="006A4162" w:rsidRDefault="00095853" w:rsidP="006A4162">
      <w:pPr>
        <w:pStyle w:val="SupplementHeading"/>
        <w:spacing w:before="240" w:after="240" w:line="480" w:lineRule="auto"/>
        <w:jc w:val="both"/>
        <w:rPr>
          <w:rFonts w:asciiTheme="majorBidi" w:hAnsiTheme="majorBidi" w:cstheme="majorBidi"/>
          <w:sz w:val="28"/>
          <w:szCs w:val="28"/>
        </w:rPr>
      </w:pPr>
      <w:r w:rsidRPr="006A4162">
        <w:rPr>
          <w:rFonts w:asciiTheme="majorBidi" w:hAnsiTheme="majorBidi" w:cstheme="majorBidi"/>
          <w:sz w:val="28"/>
          <w:szCs w:val="28"/>
        </w:rPr>
        <w:t>S1. Sample demographics after exclusion of high-acceptance participants</w:t>
      </w:r>
    </w:p>
    <w:p w14:paraId="69B5D34D" w14:textId="77777777" w:rsidR="00095853" w:rsidRPr="006A4162" w:rsidRDefault="00095853" w:rsidP="006A4162">
      <w:pPr>
        <w:spacing w:before="240" w:after="240" w:line="480" w:lineRule="auto"/>
        <w:jc w:val="both"/>
        <w:rPr>
          <w:rFonts w:asciiTheme="majorBidi" w:hAnsiTheme="majorBidi" w:cstheme="majorBidi"/>
          <w:sz w:val="24"/>
          <w:szCs w:val="24"/>
          <w:lang w:val="en-GB"/>
        </w:rPr>
      </w:pPr>
      <w:r w:rsidRPr="006A4162">
        <w:rPr>
          <w:rFonts w:asciiTheme="majorBidi" w:hAnsiTheme="majorBidi" w:cstheme="majorBidi"/>
          <w:sz w:val="24"/>
          <w:szCs w:val="24"/>
        </w:rPr>
        <w:t>After excluding high-acceptance participants, 80 participants, including 29 individuals with Borderline Personality Disorder (BPD) and 51 healthy controls (HC) remained. One non-binary participant was excluded from gender-difference analyses.</w:t>
      </w:r>
    </w:p>
    <w:p w14:paraId="7F782A94" w14:textId="77777777" w:rsidR="00095853" w:rsidRPr="006A4162" w:rsidRDefault="00095853" w:rsidP="006A4162">
      <w:pPr>
        <w:pStyle w:val="SupplementCaption"/>
        <w:spacing w:after="0" w:afterAutospacing="0" w:line="480" w:lineRule="auto"/>
        <w:jc w:val="center"/>
        <w:rPr>
          <w:rFonts w:asciiTheme="majorBidi" w:hAnsiTheme="majorBidi" w:cstheme="majorBidi"/>
          <w:b/>
          <w:bCs/>
          <w:lang w:val="en-GB"/>
        </w:rPr>
      </w:pPr>
      <w:r w:rsidRPr="006A4162">
        <w:rPr>
          <w:rStyle w:val="Strong"/>
          <w:rFonts w:asciiTheme="majorBidi" w:hAnsiTheme="majorBidi" w:cstheme="majorBidi"/>
          <w:lang w:val="en-GB"/>
        </w:rPr>
        <w:t xml:space="preserve">Table S1. Sample </w:t>
      </w:r>
      <w:r w:rsidRPr="006A4162">
        <w:rPr>
          <w:rFonts w:asciiTheme="majorBidi" w:hAnsiTheme="majorBidi" w:cstheme="majorBidi"/>
        </w:rPr>
        <w:t>demographics</w:t>
      </w:r>
      <w:r w:rsidRPr="006A4162">
        <w:rPr>
          <w:rFonts w:asciiTheme="majorBidi" w:hAnsiTheme="majorBidi" w:cstheme="majorBidi"/>
          <w:b/>
          <w:bCs/>
        </w:rPr>
        <w:t xml:space="preserve"> </w:t>
      </w:r>
    </w:p>
    <w:tbl>
      <w:tblPr>
        <w:tblStyle w:val="PlainTable2"/>
        <w:tblW w:w="7200" w:type="dxa"/>
        <w:jc w:val="center"/>
        <w:tblLayout w:type="fixed"/>
        <w:tblLook w:val="04A0" w:firstRow="1" w:lastRow="0" w:firstColumn="1" w:lastColumn="0" w:noHBand="0" w:noVBand="1"/>
      </w:tblPr>
      <w:tblGrid>
        <w:gridCol w:w="791"/>
        <w:gridCol w:w="436"/>
        <w:gridCol w:w="1457"/>
        <w:gridCol w:w="1443"/>
      </w:tblGrid>
      <w:tr w:rsidR="00095853" w:rsidRPr="006A4162" w14:paraId="20C6284E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5" w:type="dxa"/>
            <w:vAlign w:val="center"/>
            <w:hideMark/>
          </w:tcPr>
          <w:p w14:paraId="40066867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Group</w:t>
            </w:r>
          </w:p>
        </w:tc>
        <w:tc>
          <w:tcPr>
            <w:tcW w:w="1152" w:type="dxa"/>
            <w:vAlign w:val="center"/>
            <w:hideMark/>
          </w:tcPr>
          <w:p w14:paraId="50DFFBFA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N</w:t>
            </w:r>
          </w:p>
        </w:tc>
        <w:tc>
          <w:tcPr>
            <w:tcW w:w="2160" w:type="dxa"/>
            <w:vAlign w:val="center"/>
            <w:hideMark/>
          </w:tcPr>
          <w:p w14:paraId="3BD28761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Gender (F/M)</w:t>
            </w:r>
          </w:p>
        </w:tc>
        <w:tc>
          <w:tcPr>
            <w:tcW w:w="2232" w:type="dxa"/>
            <w:vAlign w:val="center"/>
            <w:hideMark/>
          </w:tcPr>
          <w:p w14:paraId="16A05AC0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Age (M ± SD)</w:t>
            </w:r>
          </w:p>
        </w:tc>
      </w:tr>
      <w:tr w:rsidR="00095853" w:rsidRPr="006A4162" w14:paraId="2CF81401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5" w:type="dxa"/>
            <w:vAlign w:val="center"/>
            <w:hideMark/>
          </w:tcPr>
          <w:p w14:paraId="6D0506C9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HC</w:t>
            </w:r>
          </w:p>
        </w:tc>
        <w:tc>
          <w:tcPr>
            <w:tcW w:w="1152" w:type="dxa"/>
            <w:vAlign w:val="center"/>
            <w:hideMark/>
          </w:tcPr>
          <w:p w14:paraId="74E22DAD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51</w:t>
            </w:r>
          </w:p>
        </w:tc>
        <w:tc>
          <w:tcPr>
            <w:tcW w:w="2160" w:type="dxa"/>
            <w:vAlign w:val="center"/>
            <w:hideMark/>
          </w:tcPr>
          <w:p w14:paraId="23FF2BFA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38 / 13</w:t>
            </w:r>
          </w:p>
        </w:tc>
        <w:tc>
          <w:tcPr>
            <w:tcW w:w="2232" w:type="dxa"/>
            <w:vAlign w:val="center"/>
            <w:hideMark/>
          </w:tcPr>
          <w:p w14:paraId="0F46DF7A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26.2 ± 6.2</w:t>
            </w:r>
          </w:p>
        </w:tc>
      </w:tr>
      <w:tr w:rsidR="00095853" w:rsidRPr="006A4162" w14:paraId="21C49E64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5" w:type="dxa"/>
            <w:vAlign w:val="center"/>
            <w:hideMark/>
          </w:tcPr>
          <w:p w14:paraId="4424252F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BPD</w:t>
            </w:r>
          </w:p>
        </w:tc>
        <w:tc>
          <w:tcPr>
            <w:tcW w:w="1152" w:type="dxa"/>
            <w:vAlign w:val="center"/>
            <w:hideMark/>
          </w:tcPr>
          <w:p w14:paraId="39B3461B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29</w:t>
            </w:r>
          </w:p>
        </w:tc>
        <w:tc>
          <w:tcPr>
            <w:tcW w:w="2160" w:type="dxa"/>
            <w:vAlign w:val="center"/>
            <w:hideMark/>
          </w:tcPr>
          <w:p w14:paraId="2D953EF8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25 / 3</w:t>
            </w:r>
          </w:p>
        </w:tc>
        <w:tc>
          <w:tcPr>
            <w:tcW w:w="2232" w:type="dxa"/>
            <w:vAlign w:val="center"/>
            <w:hideMark/>
          </w:tcPr>
          <w:p w14:paraId="519D7CAB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26.8 ± 8.0</w:t>
            </w:r>
          </w:p>
        </w:tc>
      </w:tr>
    </w:tbl>
    <w:p w14:paraId="2C9C2B82" w14:textId="77777777" w:rsidR="00095853" w:rsidRPr="006A4162" w:rsidRDefault="00095853" w:rsidP="006A4162">
      <w:pPr>
        <w:pStyle w:val="SupplementHeading"/>
        <w:spacing w:line="480" w:lineRule="auto"/>
        <w:jc w:val="both"/>
        <w:rPr>
          <w:rFonts w:asciiTheme="majorBidi" w:hAnsiTheme="majorBidi" w:cstheme="majorBidi"/>
          <w:color w:val="auto"/>
        </w:rPr>
      </w:pPr>
      <w:r w:rsidRPr="006A4162">
        <w:rPr>
          <w:rFonts w:asciiTheme="majorBidi" w:hAnsiTheme="majorBidi" w:cstheme="majorBidi"/>
          <w:color w:val="auto"/>
        </w:rPr>
        <w:t>S2. Fairness effects after exclusion of high-acceptance participants</w:t>
      </w:r>
    </w:p>
    <w:p w14:paraId="7E3DE8D3" w14:textId="77777777" w:rsidR="00095853" w:rsidRPr="006A4162" w:rsidRDefault="00095853" w:rsidP="006A4162">
      <w:pPr>
        <w:pStyle w:val="NormalWeb"/>
        <w:spacing w:line="480" w:lineRule="auto"/>
        <w:jc w:val="both"/>
        <w:rPr>
          <w:rFonts w:asciiTheme="majorBidi" w:hAnsiTheme="majorBidi" w:cstheme="majorBidi"/>
          <w:lang w:val="en-GB"/>
        </w:rPr>
      </w:pPr>
      <w:r w:rsidRPr="006A4162">
        <w:rPr>
          <w:rFonts w:asciiTheme="majorBidi" w:hAnsiTheme="majorBidi" w:cstheme="majorBidi"/>
          <w:lang w:val="en-GB"/>
        </w:rPr>
        <w:t xml:space="preserve">A repeated-measures ANOVA showed a strong main effect of fairness on rejection rates, F(1.91, 149.09) = 372.98, p &lt; .001,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.64. </w:t>
      </w:r>
      <w:r w:rsidRPr="006A4162">
        <w:rPr>
          <w:rFonts w:asciiTheme="majorBidi" w:hAnsiTheme="majorBidi" w:cstheme="majorBidi"/>
          <w:lang w:val="en-GB" w:eastAsia="en-GB"/>
        </w:rPr>
        <w:t>Rejection rates increased</w:t>
      </w:r>
      <w:r w:rsidRPr="006A4162">
        <w:rPr>
          <w:rFonts w:asciiTheme="majorBidi" w:hAnsiTheme="majorBidi" w:cstheme="majorBidi"/>
          <w:lang w:val="en-GB"/>
        </w:rPr>
        <w:t xml:space="preserve"> from fair to medium to unfair offers.</w:t>
      </w:r>
    </w:p>
    <w:p w14:paraId="2819D540" w14:textId="77777777" w:rsidR="00095853" w:rsidRPr="006A4162" w:rsidRDefault="00095853" w:rsidP="006A4162">
      <w:pPr>
        <w:pStyle w:val="SupplementCaption"/>
        <w:spacing w:after="0" w:afterAutospacing="0" w:line="480" w:lineRule="auto"/>
        <w:jc w:val="center"/>
        <w:rPr>
          <w:rFonts w:asciiTheme="majorBidi" w:hAnsiTheme="majorBidi" w:cstheme="majorBidi"/>
          <w:b/>
          <w:bCs/>
          <w:lang w:val="en-GB"/>
        </w:rPr>
      </w:pPr>
      <w:r w:rsidRPr="006A4162">
        <w:rPr>
          <w:rStyle w:val="Strong"/>
          <w:rFonts w:asciiTheme="majorBidi" w:hAnsiTheme="majorBidi" w:cstheme="majorBidi"/>
          <w:lang w:val="en-GB"/>
        </w:rPr>
        <w:lastRenderedPageBreak/>
        <w:t xml:space="preserve">Table S2. Fairness effects </w:t>
      </w:r>
    </w:p>
    <w:tbl>
      <w:tblPr>
        <w:tblStyle w:val="PlainTable2"/>
        <w:tblW w:w="8424" w:type="dxa"/>
        <w:jc w:val="center"/>
        <w:tblLayout w:type="fixed"/>
        <w:tblLook w:val="04A0" w:firstRow="1" w:lastRow="0" w:firstColumn="1" w:lastColumn="0" w:noHBand="0" w:noVBand="1"/>
      </w:tblPr>
      <w:tblGrid>
        <w:gridCol w:w="1011"/>
        <w:gridCol w:w="1316"/>
        <w:gridCol w:w="821"/>
        <w:gridCol w:w="805"/>
        <w:gridCol w:w="502"/>
      </w:tblGrid>
      <w:tr w:rsidR="00095853" w:rsidRPr="006A4162" w14:paraId="58181BC4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vAlign w:val="center"/>
            <w:hideMark/>
          </w:tcPr>
          <w:p w14:paraId="0216AFA0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Effect</w:t>
            </w:r>
          </w:p>
        </w:tc>
        <w:tc>
          <w:tcPr>
            <w:tcW w:w="2088" w:type="dxa"/>
            <w:vAlign w:val="center"/>
            <w:hideMark/>
          </w:tcPr>
          <w:p w14:paraId="3B5C4985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df</w:t>
            </w:r>
          </w:p>
        </w:tc>
        <w:tc>
          <w:tcPr>
            <w:tcW w:w="1368" w:type="dxa"/>
            <w:vAlign w:val="center"/>
            <w:hideMark/>
          </w:tcPr>
          <w:p w14:paraId="5E7D363A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F</w:t>
            </w:r>
          </w:p>
        </w:tc>
        <w:tc>
          <w:tcPr>
            <w:tcW w:w="1368" w:type="dxa"/>
            <w:vAlign w:val="center"/>
            <w:hideMark/>
          </w:tcPr>
          <w:p w14:paraId="049647C9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p</w:t>
            </w:r>
          </w:p>
        </w:tc>
        <w:tc>
          <w:tcPr>
            <w:tcW w:w="1368" w:type="dxa"/>
            <w:vAlign w:val="center"/>
            <w:hideMark/>
          </w:tcPr>
          <w:p w14:paraId="144C8F09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20"/>
              </w:rPr>
              <w:t>η²g</w:t>
            </w:r>
          </w:p>
        </w:tc>
      </w:tr>
      <w:tr w:rsidR="00095853" w:rsidRPr="006A4162" w14:paraId="2881EBA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vAlign w:val="center"/>
            <w:hideMark/>
          </w:tcPr>
          <w:p w14:paraId="2FEE23B1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Fairness</w:t>
            </w:r>
          </w:p>
        </w:tc>
        <w:tc>
          <w:tcPr>
            <w:tcW w:w="2088" w:type="dxa"/>
            <w:vAlign w:val="center"/>
            <w:hideMark/>
          </w:tcPr>
          <w:p w14:paraId="5DDC0FF2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1.91, 149.09</w:t>
            </w:r>
          </w:p>
        </w:tc>
        <w:tc>
          <w:tcPr>
            <w:tcW w:w="1368" w:type="dxa"/>
            <w:vAlign w:val="center"/>
            <w:hideMark/>
          </w:tcPr>
          <w:p w14:paraId="5E5C9E2A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372.98</w:t>
            </w:r>
          </w:p>
        </w:tc>
        <w:tc>
          <w:tcPr>
            <w:tcW w:w="1368" w:type="dxa"/>
            <w:vAlign w:val="center"/>
            <w:hideMark/>
          </w:tcPr>
          <w:p w14:paraId="222C96A3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&lt; .001</w:t>
            </w:r>
          </w:p>
        </w:tc>
        <w:tc>
          <w:tcPr>
            <w:tcW w:w="1368" w:type="dxa"/>
            <w:vAlign w:val="center"/>
            <w:hideMark/>
          </w:tcPr>
          <w:p w14:paraId="239BBBD7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20"/>
              </w:rPr>
              <w:t>.64</w:t>
            </w:r>
          </w:p>
        </w:tc>
      </w:tr>
    </w:tbl>
    <w:p w14:paraId="1B3ABA51" w14:textId="77777777" w:rsidR="00095853" w:rsidRPr="006A4162" w:rsidRDefault="00095853" w:rsidP="006A4162">
      <w:pPr>
        <w:pStyle w:val="SupplementHeading"/>
        <w:spacing w:line="480" w:lineRule="auto"/>
        <w:jc w:val="both"/>
        <w:rPr>
          <w:rFonts w:asciiTheme="majorBidi" w:hAnsiTheme="majorBidi" w:cstheme="majorBidi"/>
          <w:color w:val="auto"/>
        </w:rPr>
      </w:pPr>
      <w:r w:rsidRPr="006A4162">
        <w:rPr>
          <w:rFonts w:asciiTheme="majorBidi" w:hAnsiTheme="majorBidi" w:cstheme="majorBidi"/>
          <w:color w:val="auto"/>
        </w:rPr>
        <w:t>S3. Gender effects after exclusion of high-acceptance participants</w:t>
      </w:r>
    </w:p>
    <w:p w14:paraId="6DA98579" w14:textId="23796DBB" w:rsidR="00095853" w:rsidRPr="006A4162" w:rsidRDefault="00882C37" w:rsidP="006A4162">
      <w:pPr>
        <w:pStyle w:val="NormalWeb"/>
        <w:spacing w:line="480" w:lineRule="auto"/>
        <w:jc w:val="both"/>
        <w:rPr>
          <w:rFonts w:asciiTheme="majorBidi" w:hAnsiTheme="majorBidi" w:cstheme="majorBidi"/>
          <w:lang w:val="en-GB"/>
        </w:rPr>
      </w:pPr>
      <w:r w:rsidRPr="006A4162">
        <w:rPr>
          <w:rFonts w:asciiTheme="majorBidi" w:hAnsiTheme="majorBidi" w:cstheme="majorBidi"/>
          <w:lang w:val="en-GB"/>
        </w:rPr>
        <w:t xml:space="preserve">A non-parametric Wilcoxon rank-sum test was used to analyse gender differences in unfair-offer rejection after exclusion of high-acceptance participants, with Welch’s independent-samples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-test reported as a complementary parametric test. After exclusion of high-acceptance participants, the Wilcoxon rank-sum test remained significant, </w:t>
      </w:r>
      <w:r w:rsidRPr="006A4162">
        <w:rPr>
          <w:rStyle w:val="Emphasis"/>
          <w:rFonts w:asciiTheme="majorBidi" w:hAnsiTheme="majorBidi" w:cstheme="majorBidi"/>
          <w:lang w:val="en-GB"/>
        </w:rPr>
        <w:t>W</w:t>
      </w:r>
      <w:r w:rsidRPr="006A4162">
        <w:rPr>
          <w:rFonts w:asciiTheme="majorBidi" w:hAnsiTheme="majorBidi" w:cstheme="majorBidi"/>
          <w:lang w:val="en-GB"/>
        </w:rPr>
        <w:t xml:space="preserve"> = 292,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.005, whereas Welch’s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-test was no longer significant,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(23.1) = −1.39,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.178.</w:t>
      </w:r>
    </w:p>
    <w:p w14:paraId="711FEEE3" w14:textId="0F859686" w:rsidR="00C17DD3" w:rsidRPr="006A4162" w:rsidRDefault="00095853" w:rsidP="006A4162">
      <w:pPr>
        <w:pStyle w:val="SupplementCaption"/>
        <w:spacing w:after="0" w:afterAutospacing="0" w:line="480" w:lineRule="auto"/>
        <w:jc w:val="center"/>
        <w:rPr>
          <w:rFonts w:asciiTheme="majorBidi" w:hAnsiTheme="majorBidi" w:cstheme="majorBidi"/>
          <w:b/>
          <w:bCs/>
          <w:lang w:val="en-GB"/>
        </w:rPr>
      </w:pPr>
      <w:r w:rsidRPr="006A4162">
        <w:rPr>
          <w:rStyle w:val="Strong"/>
          <w:rFonts w:asciiTheme="majorBidi" w:hAnsiTheme="majorBidi" w:cstheme="majorBidi"/>
          <w:lang w:val="en-GB"/>
        </w:rPr>
        <w:t>Table S3. Gender differences in unfair-offer rejection after exclusion</w:t>
      </w:r>
    </w:p>
    <w:tbl>
      <w:tblPr>
        <w:tblStyle w:val="PlainTable2"/>
        <w:tblW w:w="8755" w:type="dxa"/>
        <w:jc w:val="center"/>
        <w:tblLayout w:type="fixed"/>
        <w:tblLook w:val="04A0" w:firstRow="1" w:lastRow="0" w:firstColumn="1" w:lastColumn="0" w:noHBand="0" w:noVBand="1"/>
      </w:tblPr>
      <w:tblGrid>
        <w:gridCol w:w="901"/>
        <w:gridCol w:w="742"/>
        <w:gridCol w:w="601"/>
        <w:gridCol w:w="1396"/>
        <w:gridCol w:w="1115"/>
        <w:gridCol w:w="1139"/>
        <w:gridCol w:w="1335"/>
        <w:gridCol w:w="1249"/>
      </w:tblGrid>
      <w:tr w:rsidR="00C17DD3" w:rsidRPr="006A4162" w14:paraId="252947E5" w14:textId="77777777" w:rsidTr="00C17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vAlign w:val="center"/>
            <w:hideMark/>
          </w:tcPr>
          <w:p w14:paraId="711C6011" w14:textId="77777777" w:rsidR="00C17DD3" w:rsidRPr="006A4162" w:rsidRDefault="00C17DD3" w:rsidP="006A4162">
            <w:pPr>
              <w:spacing w:line="240" w:lineRule="auto" w:before="0" w:after="0"/>
              <w:jc w:val="center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Gender</w:t>
            </w:r>
          </w:p>
        </w:tc>
        <w:tc>
          <w:tcPr>
            <w:tcW w:w="936" w:type="dxa"/>
            <w:vAlign w:val="center"/>
            <w:hideMark/>
          </w:tcPr>
          <w:p w14:paraId="689E51B4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Mean</w:t>
            </w:r>
          </w:p>
        </w:tc>
        <w:tc>
          <w:tcPr>
            <w:tcW w:w="936" w:type="dxa"/>
            <w:vAlign w:val="center"/>
            <w:hideMark/>
          </w:tcPr>
          <w:p w14:paraId="1CB14507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SD</w:t>
            </w:r>
          </w:p>
        </w:tc>
        <w:tc>
          <w:tcPr>
            <w:tcW w:w="1655" w:type="dxa"/>
            <w:vAlign w:val="center"/>
            <w:hideMark/>
          </w:tcPr>
          <w:p w14:paraId="57B1E0D4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Welch’s t(df)</w:t>
            </w:r>
          </w:p>
        </w:tc>
        <w:tc>
          <w:tcPr>
            <w:tcW w:w="1036" w:type="dxa"/>
            <w:vAlign w:val="center"/>
            <w:hideMark/>
          </w:tcPr>
          <w:p w14:paraId="5E0B0333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Welch’s p</w:t>
            </w:r>
          </w:p>
        </w:tc>
        <w:tc>
          <w:tcPr>
            <w:tcW w:w="1036" w:type="dxa"/>
            <w:vAlign w:val="center"/>
            <w:hideMark/>
          </w:tcPr>
          <w:p w14:paraId="6786A1BA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Cohen’s d</w:t>
            </w:r>
          </w:p>
        </w:tc>
        <w:tc>
          <w:tcPr>
            <w:tcW w:w="1036" w:type="dxa"/>
            <w:vAlign w:val="center"/>
            <w:hideMark/>
          </w:tcPr>
          <w:p w14:paraId="32F7537C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Wilcoxon W</w:t>
            </w:r>
          </w:p>
        </w:tc>
        <w:tc>
          <w:tcPr>
            <w:tcW w:w="1036" w:type="dxa"/>
            <w:vAlign w:val="center"/>
            <w:hideMark/>
          </w:tcPr>
          <w:p w14:paraId="554A79A3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b/>
                <w:i/>
                <w:iCs/>
                <w:sz w:val="16"/>
                <w:lang w:val="en-GB" w:eastAsia="en-GB"/>
              </w:rPr>
              <w:t>Wilcoxon p</w:t>
            </w:r>
          </w:p>
        </w:tc>
      </w:tr>
      <w:tr w:rsidR="00C17DD3" w:rsidRPr="006A4162" w14:paraId="37985233" w14:textId="77777777" w:rsidTr="00C17D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vAlign w:val="center"/>
            <w:hideMark/>
          </w:tcPr>
          <w:p w14:paraId="3BB7E253" w14:textId="77777777" w:rsidR="00C17DD3" w:rsidRPr="006A4162" w:rsidRDefault="00C17DD3" w:rsidP="006A4162">
            <w:pPr>
              <w:spacing w:line="240" w:lineRule="auto" w:before="0" w:after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Female</w:t>
            </w:r>
          </w:p>
        </w:tc>
        <w:tc>
          <w:tcPr>
            <w:tcW w:w="936" w:type="dxa"/>
            <w:vAlign w:val="center"/>
            <w:hideMark/>
          </w:tcPr>
          <w:p w14:paraId="18726498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21.65</w:t>
            </w:r>
          </w:p>
        </w:tc>
        <w:tc>
          <w:tcPr>
            <w:tcW w:w="936" w:type="dxa"/>
            <w:vAlign w:val="center"/>
            <w:hideMark/>
          </w:tcPr>
          <w:p w14:paraId="7789D7E8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5.35</w:t>
            </w:r>
          </w:p>
        </w:tc>
        <w:tc>
          <w:tcPr>
            <w:tcW w:w="1655" w:type="dxa"/>
            <w:vAlign w:val="center"/>
            <w:hideMark/>
          </w:tcPr>
          <w:p w14:paraId="7E2CE46D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−1.39 (23.1)</w:t>
            </w:r>
          </w:p>
        </w:tc>
        <w:tc>
          <w:tcPr>
            <w:tcW w:w="1036" w:type="dxa"/>
            <w:vAlign w:val="center"/>
            <w:hideMark/>
          </w:tcPr>
          <w:p w14:paraId="1B442143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.178</w:t>
            </w:r>
          </w:p>
        </w:tc>
        <w:tc>
          <w:tcPr>
            <w:tcW w:w="1036" w:type="dxa"/>
            <w:vAlign w:val="center"/>
            <w:hideMark/>
          </w:tcPr>
          <w:p w14:paraId="1FBCBDF7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−0.39</w:t>
            </w:r>
          </w:p>
        </w:tc>
        <w:tc>
          <w:tcPr>
            <w:tcW w:w="1036" w:type="dxa"/>
            <w:vAlign w:val="center"/>
            <w:hideMark/>
          </w:tcPr>
          <w:p w14:paraId="26D0702B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292</w:t>
            </w:r>
          </w:p>
        </w:tc>
        <w:tc>
          <w:tcPr>
            <w:tcW w:w="1036" w:type="dxa"/>
            <w:vAlign w:val="center"/>
            <w:hideMark/>
          </w:tcPr>
          <w:p w14:paraId="256BE762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.005</w:t>
            </w:r>
          </w:p>
        </w:tc>
      </w:tr>
      <w:tr w:rsidR="00C17DD3" w:rsidRPr="006A4162" w14:paraId="53ED4297" w14:textId="77777777" w:rsidTr="00C17DD3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vAlign w:val="center"/>
            <w:hideMark/>
          </w:tcPr>
          <w:p w14:paraId="69963FD3" w14:textId="77777777" w:rsidR="00C17DD3" w:rsidRPr="006A4162" w:rsidRDefault="00C17DD3" w:rsidP="006A4162">
            <w:pPr>
              <w:spacing w:line="240" w:lineRule="auto" w:before="0" w:after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Male</w:t>
            </w:r>
          </w:p>
        </w:tc>
        <w:tc>
          <w:tcPr>
            <w:tcW w:w="936" w:type="dxa"/>
            <w:vAlign w:val="center"/>
            <w:hideMark/>
          </w:tcPr>
          <w:p w14:paraId="441B5E90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19.56</w:t>
            </w:r>
          </w:p>
        </w:tc>
        <w:tc>
          <w:tcPr>
            <w:tcW w:w="936" w:type="dxa"/>
            <w:vAlign w:val="center"/>
            <w:hideMark/>
          </w:tcPr>
          <w:p w14:paraId="69079D24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  <w:r w:rsidRPr="006A4162">
              <w:rPr>
                <w:rFonts w:asciiTheme="majorBidi" w:eastAsia="Times New Roman" w:hAnsiTheme="majorBidi" w:cstheme="majorBidi" w:ascii="Times New Roman" w:hAnsi="Times New Roman"/>
                <w:i/>
                <w:iCs/>
                <w:sz w:val="16"/>
                <w:lang w:val="en-GB" w:eastAsia="en-GB"/>
              </w:rPr>
              <w:t>5.38</w:t>
            </w:r>
          </w:p>
        </w:tc>
        <w:tc>
          <w:tcPr>
            <w:tcW w:w="1655" w:type="dxa"/>
            <w:vAlign w:val="center"/>
            <w:hideMark/>
          </w:tcPr>
          <w:p w14:paraId="64245E52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</w:p>
        </w:tc>
        <w:tc>
          <w:tcPr>
            <w:tcW w:w="1036" w:type="dxa"/>
            <w:vAlign w:val="center"/>
            <w:hideMark/>
          </w:tcPr>
          <w:p w14:paraId="62434D5F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</w:p>
        </w:tc>
        <w:tc>
          <w:tcPr>
            <w:tcW w:w="1036" w:type="dxa"/>
            <w:vAlign w:val="center"/>
            <w:hideMark/>
          </w:tcPr>
          <w:p w14:paraId="4AFC30B2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</w:p>
        </w:tc>
        <w:tc>
          <w:tcPr>
            <w:tcW w:w="1036" w:type="dxa"/>
            <w:vAlign w:val="center"/>
            <w:hideMark/>
          </w:tcPr>
          <w:p w14:paraId="47E4E7D1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</w:p>
        </w:tc>
        <w:tc>
          <w:tcPr>
            <w:tcW w:w="1036" w:type="dxa"/>
            <w:vAlign w:val="center"/>
            <w:hideMark/>
          </w:tcPr>
          <w:p w14:paraId="339E1DE2" w14:textId="77777777" w:rsidR="00C17DD3" w:rsidRPr="006A4162" w:rsidRDefault="00C17DD3" w:rsidP="006A4162">
            <w:pPr>
              <w:spacing w:line="240" w:lineRule="auto" w:before="0"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i/>
                <w:iCs/>
                <w:lang w:val="en-GB" w:eastAsia="en-GB"/>
              </w:rPr>
            </w:pPr>
          </w:p>
        </w:tc>
      </w:tr>
    </w:tbl>
    <w:p w14:paraId="01C9ECA3" w14:textId="77777777" w:rsidR="00095853" w:rsidRPr="006A4162" w:rsidRDefault="00095853" w:rsidP="006A4162">
      <w:pPr>
        <w:pStyle w:val="SupplementHeading"/>
        <w:spacing w:line="480" w:lineRule="auto"/>
        <w:jc w:val="both"/>
        <w:rPr>
          <w:rFonts w:asciiTheme="majorBidi" w:hAnsiTheme="majorBidi" w:cstheme="majorBidi"/>
          <w:sz w:val="28"/>
          <w:szCs w:val="28"/>
          <w:lang w:val="en-GB"/>
        </w:rPr>
      </w:pPr>
      <w:r w:rsidRPr="006A4162">
        <w:rPr>
          <w:rFonts w:asciiTheme="majorBidi" w:hAnsiTheme="majorBidi" w:cstheme="majorBidi"/>
          <w:sz w:val="28"/>
          <w:szCs w:val="28"/>
          <w:lang w:val="en-GB"/>
        </w:rPr>
        <w:t>S4. Group × Fairness effects after exclusion of high-acceptance participants</w:t>
      </w:r>
    </w:p>
    <w:p w14:paraId="0AB6F222" w14:textId="4BC4D01D" w:rsidR="00095853" w:rsidRPr="006A4162" w:rsidRDefault="00095853" w:rsidP="006A4162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lang w:val="en-GB"/>
        </w:rPr>
      </w:pPr>
      <w:r w:rsidRPr="006A4162">
        <w:rPr>
          <w:rFonts w:asciiTheme="majorBidi" w:hAnsiTheme="majorBidi" w:cstheme="majorBidi"/>
          <w:sz w:val="24"/>
          <w:szCs w:val="24"/>
          <w:lang w:val="en-GB"/>
        </w:rPr>
        <w:t>The Group × Fairness interaction observed in the full sample was no longer significant after exclusion of high-acceptance participants, F(1.91, 149.09) = 0.95, p = .385, indicating that the full-sample interaction was not robust to exclusion of high-acceptance participants.</w:t>
      </w:r>
    </w:p>
    <w:p w14:paraId="1BB78757" w14:textId="77777777" w:rsidR="00095853" w:rsidRPr="006A4162" w:rsidRDefault="00095853" w:rsidP="006A4162">
      <w:pPr>
        <w:pStyle w:val="SupplementCaption"/>
        <w:spacing w:line="480" w:lineRule="auto"/>
        <w:jc w:val="center"/>
        <w:rPr>
          <w:rFonts w:asciiTheme="majorBidi" w:hAnsiTheme="majorBidi" w:cstheme="majorBidi"/>
          <w:sz w:val="24"/>
          <w:szCs w:val="24"/>
          <w:lang w:val="en-GB"/>
        </w:rPr>
      </w:pPr>
      <w:r w:rsidRPr="006A4162">
        <w:rPr>
          <w:rFonts w:asciiTheme="majorBidi" w:hAnsiTheme="majorBidi" w:cstheme="majorBidi"/>
          <w:sz w:val="24"/>
          <w:szCs w:val="24"/>
          <w:lang w:val="en-GB"/>
        </w:rPr>
        <w:lastRenderedPageBreak/>
        <w:t>Table S4. Group × Fairness effects</w:t>
      </w:r>
    </w:p>
    <w:tbl>
      <w:tblPr>
        <w:tblStyle w:val="PlainTable2"/>
        <w:tblW w:w="8856" w:type="dxa"/>
        <w:jc w:val="center"/>
        <w:tblLayout w:type="fixed"/>
        <w:tblLook w:val="04A0" w:firstRow="1" w:lastRow="0" w:firstColumn="1" w:lastColumn="0" w:noHBand="0" w:noVBand="1"/>
      </w:tblPr>
      <w:tblGrid>
        <w:gridCol w:w="1833"/>
        <w:gridCol w:w="1316"/>
        <w:gridCol w:w="601"/>
        <w:gridCol w:w="601"/>
        <w:gridCol w:w="513"/>
      </w:tblGrid>
      <w:tr w:rsidR="00095853" w:rsidRPr="006A4162" w14:paraId="326E184E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6ACFC78E" w14:textId="77777777" w:rsidR="00095853" w:rsidRPr="006A4162" w:rsidRDefault="00095853" w:rsidP="006A4162">
            <w:pPr>
              <w:spacing w:line="240" w:lineRule="auto" w:before="0" w:after="0"/>
              <w:jc w:val="center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Effect</w:t>
            </w:r>
          </w:p>
        </w:tc>
        <w:tc>
          <w:tcPr>
            <w:tcW w:w="2088" w:type="dxa"/>
            <w:vAlign w:val="center"/>
            <w:hideMark/>
          </w:tcPr>
          <w:p w14:paraId="40278035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df</w:t>
            </w:r>
          </w:p>
        </w:tc>
        <w:tc>
          <w:tcPr>
            <w:tcW w:w="1296" w:type="dxa"/>
            <w:vAlign w:val="center"/>
            <w:hideMark/>
          </w:tcPr>
          <w:p w14:paraId="466E4134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F</w:t>
            </w:r>
          </w:p>
        </w:tc>
        <w:tc>
          <w:tcPr>
            <w:tcW w:w="1296" w:type="dxa"/>
            <w:vAlign w:val="center"/>
            <w:hideMark/>
          </w:tcPr>
          <w:p w14:paraId="0EC83A77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p</w:t>
            </w:r>
          </w:p>
        </w:tc>
        <w:tc>
          <w:tcPr>
            <w:tcW w:w="1296" w:type="dxa"/>
            <w:vAlign w:val="center"/>
            <w:hideMark/>
          </w:tcPr>
          <w:p w14:paraId="3277A127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η²g</w:t>
            </w:r>
          </w:p>
        </w:tc>
      </w:tr>
      <w:tr w:rsidR="00095853" w:rsidRPr="006A4162" w14:paraId="7541D0A3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44A73896" w14:textId="77777777" w:rsidR="00095853" w:rsidRPr="006A4162" w:rsidRDefault="00095853" w:rsidP="006A4162">
            <w:pPr>
              <w:spacing w:line="240" w:lineRule="auto" w:before="0" w:after="0"/>
              <w:jc w:val="center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Group</w:t>
            </w:r>
          </w:p>
        </w:tc>
        <w:tc>
          <w:tcPr>
            <w:tcW w:w="2088" w:type="dxa"/>
            <w:vAlign w:val="center"/>
            <w:hideMark/>
          </w:tcPr>
          <w:p w14:paraId="5E329A92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1, 78</w:t>
            </w:r>
          </w:p>
        </w:tc>
        <w:tc>
          <w:tcPr>
            <w:tcW w:w="1296" w:type="dxa"/>
            <w:vAlign w:val="center"/>
            <w:hideMark/>
          </w:tcPr>
          <w:p w14:paraId="5660C933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0.22</w:t>
            </w:r>
          </w:p>
        </w:tc>
        <w:tc>
          <w:tcPr>
            <w:tcW w:w="1296" w:type="dxa"/>
            <w:vAlign w:val="center"/>
            <w:hideMark/>
          </w:tcPr>
          <w:p w14:paraId="5A139486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.640</w:t>
            </w:r>
          </w:p>
        </w:tc>
        <w:tc>
          <w:tcPr>
            <w:tcW w:w="1296" w:type="dxa"/>
            <w:vAlign w:val="center"/>
            <w:hideMark/>
          </w:tcPr>
          <w:p w14:paraId="3C35C135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.00</w:t>
            </w:r>
          </w:p>
        </w:tc>
      </w:tr>
      <w:tr w:rsidR="00095853" w:rsidRPr="006A4162" w14:paraId="6DDC7550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78EDFADE" w14:textId="77777777" w:rsidR="00095853" w:rsidRPr="006A4162" w:rsidRDefault="00095853" w:rsidP="006A4162">
            <w:pPr>
              <w:spacing w:line="240" w:lineRule="auto" w:before="0" w:after="0"/>
              <w:jc w:val="center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Group × Fairness</w:t>
            </w:r>
          </w:p>
        </w:tc>
        <w:tc>
          <w:tcPr>
            <w:tcW w:w="2088" w:type="dxa"/>
            <w:vAlign w:val="center"/>
            <w:hideMark/>
          </w:tcPr>
          <w:p w14:paraId="5CBE0803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1.91, 149.09</w:t>
            </w:r>
          </w:p>
        </w:tc>
        <w:tc>
          <w:tcPr>
            <w:tcW w:w="1296" w:type="dxa"/>
            <w:vAlign w:val="center"/>
            <w:hideMark/>
          </w:tcPr>
          <w:p w14:paraId="0146548E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0.95</w:t>
            </w:r>
          </w:p>
        </w:tc>
        <w:tc>
          <w:tcPr>
            <w:tcW w:w="1296" w:type="dxa"/>
            <w:vAlign w:val="center"/>
            <w:hideMark/>
          </w:tcPr>
          <w:p w14:paraId="02266990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.385</w:t>
            </w:r>
          </w:p>
        </w:tc>
        <w:tc>
          <w:tcPr>
            <w:tcW w:w="1296" w:type="dxa"/>
            <w:vAlign w:val="center"/>
            <w:hideMark/>
          </w:tcPr>
          <w:p w14:paraId="16AC5F9B" w14:textId="77777777" w:rsidR="00095853" w:rsidRPr="006A4162" w:rsidRDefault="00095853" w:rsidP="006A4162">
            <w:pPr>
              <w:spacing w:line="240" w:lineRule="auto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.00</w:t>
            </w:r>
          </w:p>
        </w:tc>
      </w:tr>
    </w:tbl>
    <w:p w14:paraId="2BEF2E78" w14:textId="77777777" w:rsidR="00095853" w:rsidRPr="006A4162" w:rsidRDefault="00095853" w:rsidP="006A4162">
      <w:pPr>
        <w:pStyle w:val="SupplementHeading"/>
        <w:spacing w:after="240" w:line="480" w:lineRule="auto"/>
        <w:rPr>
          <w:rFonts w:asciiTheme="majorBidi" w:hAnsiTheme="majorBidi" w:cstheme="majorBidi"/>
          <w:sz w:val="28"/>
          <w:szCs w:val="28"/>
          <w:lang w:val="en-GB"/>
        </w:rPr>
      </w:pPr>
      <w:r w:rsidRPr="006A4162">
        <w:rPr>
          <w:rFonts w:asciiTheme="majorBidi" w:hAnsiTheme="majorBidi" w:cstheme="majorBidi"/>
          <w:sz w:val="28"/>
          <w:szCs w:val="28"/>
          <w:lang w:val="en-GB"/>
        </w:rPr>
        <w:t>S5. Habituation effects after exclusion of high-acceptance participants</w:t>
      </w:r>
    </w:p>
    <w:p w14:paraId="11D66C7E" w14:textId="77777777" w:rsidR="00095853" w:rsidRPr="006A4162" w:rsidRDefault="00095853" w:rsidP="006A4162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lang w:val="en-GB"/>
        </w:rPr>
      </w:pPr>
      <w:r w:rsidRPr="006A4162">
        <w:rPr>
          <w:rFonts w:asciiTheme="majorBidi" w:hAnsiTheme="majorBidi" w:cstheme="majorBidi"/>
          <w:sz w:val="24"/>
          <w:szCs w:val="24"/>
          <w:lang w:val="en-GB"/>
        </w:rPr>
        <w:t>Behavioural habituation was examined by comparing unfair-offer rejection rates between the first and second task run. No significant difference emerged, t(79) = −0.08, p = .934, d = 0.01, indicating no evidence for behavioural habituation across runs after exclusion of high-acceptance participants.</w:t>
      </w:r>
    </w:p>
    <w:p w14:paraId="1AAC4907" w14:textId="77777777" w:rsidR="00095853" w:rsidRPr="006A4162" w:rsidRDefault="00095853" w:rsidP="006A4162">
      <w:pPr>
        <w:pStyle w:val="SupplementHeading"/>
        <w:spacing w:line="480" w:lineRule="auto"/>
        <w:jc w:val="both"/>
        <w:rPr>
          <w:rFonts w:asciiTheme="majorBidi" w:hAnsiTheme="majorBidi" w:cstheme="majorBidi"/>
          <w:color w:val="auto"/>
        </w:rPr>
      </w:pPr>
      <w:r w:rsidRPr="006A4162">
        <w:rPr>
          <w:rFonts w:asciiTheme="majorBidi" w:hAnsiTheme="majorBidi" w:cstheme="majorBidi"/>
          <w:color w:val="auto"/>
        </w:rPr>
        <w:t>S6. Threat-of-Shock effects after exclusion of high-acceptance participants</w:t>
      </w:r>
    </w:p>
    <w:p w14:paraId="7265159E" w14:textId="77777777" w:rsidR="00C17DD3" w:rsidRPr="006A4162" w:rsidRDefault="00C17DD3" w:rsidP="006A4162">
      <w:pPr>
        <w:spacing w:beforeAutospacing="1" w:afterAutospacing="1" w:line="480" w:lineRule="auto"/>
        <w:jc w:val="both"/>
        <w:rPr>
          <w:rFonts w:asciiTheme="majorBidi" w:eastAsia="Times New Roman" w:hAnsiTheme="majorBidi" w:cstheme="majorBidi"/>
          <w:sz w:val="24"/>
          <w:szCs w:val="24"/>
          <w:lang w:val="en-GB" w:eastAsia="en-GB"/>
        </w:rPr>
      </w:pPr>
      <w:r w:rsidRPr="006A4162">
        <w:rPr>
          <w:rFonts w:asciiTheme="majorBidi" w:eastAsia="Times New Roman" w:hAnsiTheme="majorBidi" w:cstheme="majorBidi"/>
          <w:sz w:val="24"/>
          <w:szCs w:val="24"/>
          <w:lang w:val="en-GB" w:eastAsia="en-GB"/>
        </w:rPr>
        <w:t xml:space="preserve">A 2 (Condition: Safe vs. Threat) × 2 (Group: BPD vs. HC) mixed ANOVA was conducted to assess the effect of threat on rejection rates after excluding high-acceptance responders. A main effect of Condition remained significant, </w:t>
      </w:r>
      <w:r w:rsidRPr="006A4162">
        <w:rPr>
          <w:rFonts w:asciiTheme="majorBidi" w:eastAsia="Times New Roman" w:hAnsiTheme="majorBidi" w:cstheme="majorBidi"/>
          <w:i/>
          <w:iCs/>
          <w:sz w:val="24"/>
          <w:szCs w:val="24"/>
          <w:lang w:val="en-GB" w:eastAsia="en-GB"/>
        </w:rPr>
        <w:t>F</w:t>
      </w:r>
      <w:r w:rsidRPr="006A4162">
        <w:rPr>
          <w:rFonts w:asciiTheme="majorBidi" w:eastAsia="Times New Roman" w:hAnsiTheme="majorBidi" w:cstheme="majorBidi"/>
          <w:sz w:val="24"/>
          <w:szCs w:val="24"/>
          <w:lang w:val="en-GB" w:eastAsia="en-GB"/>
        </w:rPr>
        <w:t xml:space="preserve">(1, 78) = 6.10, </w:t>
      </w:r>
      <w:r w:rsidRPr="006A4162">
        <w:rPr>
          <w:rFonts w:asciiTheme="majorBidi" w:eastAsia="Times New Roman" w:hAnsiTheme="majorBidi" w:cstheme="majorBidi"/>
          <w:i/>
          <w:iCs/>
          <w:sz w:val="24"/>
          <w:szCs w:val="24"/>
          <w:lang w:val="en-GB" w:eastAsia="en-GB"/>
        </w:rPr>
        <w:t>p</w:t>
      </w:r>
      <w:r w:rsidRPr="006A4162">
        <w:rPr>
          <w:rFonts w:asciiTheme="majorBidi" w:eastAsia="Times New Roman" w:hAnsiTheme="majorBidi" w:cstheme="majorBidi"/>
          <w:sz w:val="24"/>
          <w:szCs w:val="24"/>
          <w:lang w:val="en-GB" w:eastAsia="en-GB"/>
        </w:rPr>
        <w:t xml:space="preserve"> = .016, η²g = .003, indicating lower rejection rates under threat conditions. This effect was also confirmed by a non-parametric Wilcoxon signed-rank test, </w:t>
      </w:r>
      <w:r w:rsidRPr="006A4162">
        <w:rPr>
          <w:rFonts w:asciiTheme="majorBidi" w:eastAsia="Times New Roman" w:hAnsiTheme="majorBidi" w:cstheme="majorBidi"/>
          <w:i/>
          <w:iCs/>
          <w:sz w:val="24"/>
          <w:szCs w:val="24"/>
          <w:lang w:val="en-GB" w:eastAsia="en-GB"/>
        </w:rPr>
        <w:t>V</w:t>
      </w:r>
      <w:r w:rsidRPr="006A4162">
        <w:rPr>
          <w:rFonts w:asciiTheme="majorBidi" w:eastAsia="Times New Roman" w:hAnsiTheme="majorBidi" w:cstheme="majorBidi"/>
          <w:sz w:val="24"/>
          <w:szCs w:val="24"/>
          <w:lang w:val="en-GB" w:eastAsia="en-GB"/>
        </w:rPr>
        <w:t xml:space="preserve"> = 296.5, </w:t>
      </w:r>
      <w:r w:rsidRPr="006A4162">
        <w:rPr>
          <w:rFonts w:asciiTheme="majorBidi" w:eastAsia="Times New Roman" w:hAnsiTheme="majorBidi" w:cstheme="majorBidi"/>
          <w:i/>
          <w:iCs/>
          <w:sz w:val="24"/>
          <w:szCs w:val="24"/>
          <w:lang w:val="en-GB" w:eastAsia="en-GB"/>
        </w:rPr>
        <w:t>p</w:t>
      </w:r>
      <w:r w:rsidRPr="006A4162">
        <w:rPr>
          <w:rFonts w:asciiTheme="majorBidi" w:eastAsia="Times New Roman" w:hAnsiTheme="majorBidi" w:cstheme="majorBidi"/>
          <w:sz w:val="24"/>
          <w:szCs w:val="24"/>
          <w:lang w:val="en-GB" w:eastAsia="en-GB"/>
        </w:rPr>
        <w:t xml:space="preserve"> = .028. Neither the main effect of Group nor the Group × Condition interaction was significant.</w:t>
      </w:r>
    </w:p>
    <w:p w14:paraId="0F41D64C" w14:textId="77777777" w:rsidR="00095853" w:rsidRPr="006A4162" w:rsidRDefault="00095853" w:rsidP="006A4162">
      <w:pPr>
        <w:pStyle w:val="SupplementCaption"/>
        <w:spacing w:after="0" w:afterAutospacing="0" w:line="480" w:lineRule="auto"/>
        <w:jc w:val="center"/>
        <w:rPr>
          <w:rFonts w:asciiTheme="majorBidi" w:hAnsiTheme="majorBidi" w:cstheme="majorBidi"/>
          <w:b/>
          <w:bCs/>
          <w:lang w:val="en-GB"/>
        </w:rPr>
      </w:pPr>
      <w:r w:rsidRPr="006A4162">
        <w:rPr>
          <w:rStyle w:val="Strong"/>
          <w:rFonts w:asciiTheme="majorBidi" w:hAnsiTheme="majorBidi" w:cstheme="majorBidi"/>
          <w:lang w:val="en-GB"/>
        </w:rPr>
        <w:t>Table S5. Threat-of-Shock effects after exclusion</w:t>
      </w:r>
    </w:p>
    <w:tbl>
      <w:tblPr>
        <w:tblStyle w:val="PlainTable2"/>
        <w:tblW w:w="8856" w:type="dxa"/>
        <w:jc w:val="center"/>
        <w:tblLayout w:type="fixed"/>
        <w:tblLook w:val="04A0" w:firstRow="1" w:lastRow="0" w:firstColumn="1" w:lastColumn="0" w:noHBand="0" w:noVBand="1"/>
      </w:tblPr>
      <w:tblGrid>
        <w:gridCol w:w="2685"/>
        <w:gridCol w:w="656"/>
        <w:gridCol w:w="601"/>
        <w:gridCol w:w="601"/>
        <w:gridCol w:w="601"/>
      </w:tblGrid>
      <w:tr w:rsidR="00095853" w:rsidRPr="006A4162" w14:paraId="30C07692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6BC6E544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</w:rPr>
              <w:lastRenderedPageBreak/>
              <w:t>Effect</w:t>
            </w:r>
          </w:p>
        </w:tc>
        <w:tc>
          <w:tcPr>
            <w:tcW w:w="2088" w:type="dxa"/>
            <w:vAlign w:val="center"/>
            <w:hideMark/>
          </w:tcPr>
          <w:p w14:paraId="485662BB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</w:rPr>
              <w:t>df</w:t>
            </w:r>
          </w:p>
        </w:tc>
        <w:tc>
          <w:tcPr>
            <w:tcW w:w="1296" w:type="dxa"/>
            <w:vAlign w:val="center"/>
            <w:hideMark/>
          </w:tcPr>
          <w:p w14:paraId="351671AE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</w:rPr>
              <w:t>F</w:t>
            </w:r>
          </w:p>
        </w:tc>
        <w:tc>
          <w:tcPr>
            <w:tcW w:w="1296" w:type="dxa"/>
            <w:vAlign w:val="center"/>
            <w:hideMark/>
          </w:tcPr>
          <w:p w14:paraId="39140092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</w:rPr>
              <w:t>p</w:t>
            </w:r>
          </w:p>
        </w:tc>
        <w:tc>
          <w:tcPr>
            <w:tcW w:w="1296" w:type="dxa"/>
            <w:vAlign w:val="center"/>
            <w:hideMark/>
          </w:tcPr>
          <w:p w14:paraId="4F66AB24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</w:rPr>
              <w:t>η²g</w:t>
            </w:r>
          </w:p>
        </w:tc>
      </w:tr>
      <w:tr w:rsidR="00095853" w:rsidRPr="006A4162" w14:paraId="77AD1702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6291877E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Condition (Threat vs. Safe)</w:t>
            </w:r>
          </w:p>
        </w:tc>
        <w:tc>
          <w:tcPr>
            <w:tcW w:w="2088" w:type="dxa"/>
            <w:vAlign w:val="center"/>
            <w:hideMark/>
          </w:tcPr>
          <w:p w14:paraId="0407DF6B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1, 78</w:t>
            </w:r>
          </w:p>
        </w:tc>
        <w:tc>
          <w:tcPr>
            <w:tcW w:w="1296" w:type="dxa"/>
            <w:vAlign w:val="center"/>
            <w:hideMark/>
          </w:tcPr>
          <w:p w14:paraId="3D12BBE7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6.10</w:t>
            </w:r>
          </w:p>
        </w:tc>
        <w:tc>
          <w:tcPr>
            <w:tcW w:w="1296" w:type="dxa"/>
            <w:vAlign w:val="center"/>
            <w:hideMark/>
          </w:tcPr>
          <w:p w14:paraId="12BF50F5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.016</w:t>
            </w:r>
          </w:p>
        </w:tc>
        <w:tc>
          <w:tcPr>
            <w:tcW w:w="1296" w:type="dxa"/>
            <w:vAlign w:val="center"/>
            <w:hideMark/>
          </w:tcPr>
          <w:p w14:paraId="509177C8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.003</w:t>
            </w:r>
          </w:p>
        </w:tc>
      </w:tr>
      <w:tr w:rsidR="00095853" w:rsidRPr="006A4162" w14:paraId="4397B4A2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4658A262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Group</w:t>
            </w:r>
          </w:p>
        </w:tc>
        <w:tc>
          <w:tcPr>
            <w:tcW w:w="2088" w:type="dxa"/>
            <w:vAlign w:val="center"/>
            <w:hideMark/>
          </w:tcPr>
          <w:p w14:paraId="515A70C7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1, 78</w:t>
            </w:r>
          </w:p>
        </w:tc>
        <w:tc>
          <w:tcPr>
            <w:tcW w:w="1296" w:type="dxa"/>
            <w:vAlign w:val="center"/>
            <w:hideMark/>
          </w:tcPr>
          <w:p w14:paraId="15A560B5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0.70</w:t>
            </w:r>
          </w:p>
        </w:tc>
        <w:tc>
          <w:tcPr>
            <w:tcW w:w="1296" w:type="dxa"/>
            <w:vAlign w:val="center"/>
            <w:hideMark/>
          </w:tcPr>
          <w:p w14:paraId="047BAE23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.404</w:t>
            </w:r>
          </w:p>
        </w:tc>
        <w:tc>
          <w:tcPr>
            <w:tcW w:w="1296" w:type="dxa"/>
            <w:vAlign w:val="center"/>
            <w:hideMark/>
          </w:tcPr>
          <w:p w14:paraId="17D438E7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.009</w:t>
            </w:r>
          </w:p>
        </w:tc>
      </w:tr>
      <w:tr w:rsidR="00095853" w:rsidRPr="006A4162" w14:paraId="1AE91A27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  <w:hideMark/>
          </w:tcPr>
          <w:p w14:paraId="2DF985F7" w14:textId="77777777" w:rsidR="00095853" w:rsidRPr="006A4162" w:rsidRDefault="00095853" w:rsidP="006A4162">
            <w:pPr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Group × Condition</w:t>
            </w:r>
          </w:p>
        </w:tc>
        <w:tc>
          <w:tcPr>
            <w:tcW w:w="2088" w:type="dxa"/>
            <w:vAlign w:val="center"/>
            <w:hideMark/>
          </w:tcPr>
          <w:p w14:paraId="589529C6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1, 78</w:t>
            </w:r>
          </w:p>
        </w:tc>
        <w:tc>
          <w:tcPr>
            <w:tcW w:w="1296" w:type="dxa"/>
            <w:vAlign w:val="center"/>
            <w:hideMark/>
          </w:tcPr>
          <w:p w14:paraId="6D7070FC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2.68</w:t>
            </w:r>
          </w:p>
        </w:tc>
        <w:tc>
          <w:tcPr>
            <w:tcW w:w="1296" w:type="dxa"/>
            <w:vAlign w:val="center"/>
            <w:hideMark/>
          </w:tcPr>
          <w:p w14:paraId="0DAB6E82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.106</w:t>
            </w:r>
          </w:p>
        </w:tc>
        <w:tc>
          <w:tcPr>
            <w:tcW w:w="1296" w:type="dxa"/>
            <w:vAlign w:val="center"/>
            <w:hideMark/>
          </w:tcPr>
          <w:p w14:paraId="04BB278E" w14:textId="77777777" w:rsidR="00095853" w:rsidRPr="006A4162" w:rsidRDefault="00095853" w:rsidP="006A4162">
            <w:pPr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</w:rPr>
              <w:t>.001</w:t>
            </w:r>
          </w:p>
        </w:tc>
      </w:tr>
    </w:tbl>
    <w:p w14:paraId="50317AD2" w14:textId="77777777" w:rsidR="00095853" w:rsidRPr="006A4162" w:rsidRDefault="00095853" w:rsidP="006A4162">
      <w:pPr>
        <w:pStyle w:val="SupplementHeading"/>
        <w:spacing w:line="480" w:lineRule="auto"/>
        <w:jc w:val="both"/>
        <w:rPr>
          <w:rFonts w:asciiTheme="majorBidi" w:hAnsiTheme="majorBidi" w:cstheme="majorBidi"/>
          <w:color w:val="auto"/>
        </w:rPr>
      </w:pPr>
      <w:r w:rsidRPr="006A4162">
        <w:rPr>
          <w:rFonts w:asciiTheme="majorBidi" w:hAnsiTheme="majorBidi" w:cstheme="majorBidi"/>
          <w:color w:val="auto"/>
        </w:rPr>
        <w:t>S7. Emotional ratings after exclusion of high-acceptance participants</w:t>
      </w:r>
    </w:p>
    <w:p w14:paraId="1541A9D3" w14:textId="77777777" w:rsidR="00095853" w:rsidRPr="006A4162" w:rsidRDefault="00095853" w:rsidP="006A4162">
      <w:pPr>
        <w:pStyle w:val="NormalWeb"/>
        <w:spacing w:line="480" w:lineRule="auto"/>
        <w:jc w:val="both"/>
        <w:rPr>
          <w:rFonts w:asciiTheme="majorBidi" w:hAnsiTheme="majorBidi" w:cstheme="majorBidi"/>
          <w:lang w:val="en-GB"/>
        </w:rPr>
      </w:pPr>
      <w:r w:rsidRPr="006A4162">
        <w:rPr>
          <w:rFonts w:asciiTheme="majorBidi" w:hAnsiTheme="majorBidi" w:cstheme="majorBidi"/>
          <w:lang w:val="en-GB"/>
        </w:rPr>
        <w:t xml:space="preserve">Emotional responses following the task were analysed using Pre–Post emotional ratings and were consistent with the main results. A significant main effect of group was observed, </w:t>
      </w:r>
      <w:r w:rsidRPr="006A4162">
        <w:rPr>
          <w:rStyle w:val="Emphasis"/>
          <w:rFonts w:asciiTheme="majorBidi" w:hAnsiTheme="majorBidi" w:cstheme="majorBidi"/>
          <w:lang w:val="en-GB"/>
        </w:rPr>
        <w:t>F</w:t>
      </w:r>
      <w:r w:rsidRPr="006A4162">
        <w:rPr>
          <w:rFonts w:asciiTheme="majorBidi" w:hAnsiTheme="majorBidi" w:cstheme="majorBidi"/>
          <w:lang w:val="en-GB"/>
        </w:rPr>
        <w:t xml:space="preserve">(1, 78) = 106.38,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&lt; .001,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.176, indicating higher overall emotional intensity in the BPD group compared with healthy controls. There was also a significant Group × Time interaction, </w:t>
      </w:r>
      <w:r w:rsidRPr="006A4162">
        <w:rPr>
          <w:rStyle w:val="Emphasis"/>
          <w:rFonts w:asciiTheme="majorBidi" w:hAnsiTheme="majorBidi" w:cstheme="majorBidi"/>
          <w:lang w:val="en-GB"/>
        </w:rPr>
        <w:t>F</w:t>
      </w:r>
      <w:r w:rsidRPr="006A4162">
        <w:rPr>
          <w:rFonts w:asciiTheme="majorBidi" w:hAnsiTheme="majorBidi" w:cstheme="majorBidi"/>
          <w:lang w:val="en-GB"/>
        </w:rPr>
        <w:t xml:space="preserve">(1, 78) = 4.06,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.047,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.003, and a strong Group × Emotion interaction, </w:t>
      </w:r>
      <w:r w:rsidRPr="006A4162">
        <w:rPr>
          <w:rStyle w:val="Emphasis"/>
          <w:rFonts w:asciiTheme="majorBidi" w:hAnsiTheme="majorBidi" w:cstheme="majorBidi"/>
          <w:lang w:val="en-GB"/>
        </w:rPr>
        <w:t>F</w:t>
      </w:r>
      <w:r w:rsidRPr="006A4162">
        <w:rPr>
          <w:rFonts w:asciiTheme="majorBidi" w:hAnsiTheme="majorBidi" w:cstheme="majorBidi"/>
          <w:lang w:val="en-GB"/>
        </w:rPr>
        <w:t xml:space="preserve">(2.44, 190.00) = 77.19,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&lt; .001,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.361. The Time × Emotion interaction was also significant, </w:t>
      </w:r>
      <w:r w:rsidRPr="006A4162">
        <w:rPr>
          <w:rStyle w:val="Emphasis"/>
          <w:rFonts w:asciiTheme="majorBidi" w:hAnsiTheme="majorBidi" w:cstheme="majorBidi"/>
          <w:lang w:val="en-GB"/>
        </w:rPr>
        <w:t>F</w:t>
      </w:r>
      <w:r w:rsidRPr="006A4162">
        <w:rPr>
          <w:rFonts w:asciiTheme="majorBidi" w:hAnsiTheme="majorBidi" w:cstheme="majorBidi"/>
          <w:lang w:val="en-GB"/>
        </w:rPr>
        <w:t xml:space="preserve">(2.38, 185.65) = 20.59,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&lt; .001,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.052, whereas the Group × Time × Emotion interaction was not significant, </w:t>
      </w:r>
      <w:r w:rsidRPr="006A4162">
        <w:rPr>
          <w:rStyle w:val="Emphasis"/>
          <w:rFonts w:asciiTheme="majorBidi" w:hAnsiTheme="majorBidi" w:cstheme="majorBidi"/>
          <w:lang w:val="en-GB"/>
        </w:rPr>
        <w:t>F</w:t>
      </w:r>
      <w:r w:rsidRPr="006A4162">
        <w:rPr>
          <w:rFonts w:asciiTheme="majorBidi" w:hAnsiTheme="majorBidi" w:cstheme="majorBidi"/>
          <w:lang w:val="en-GB"/>
        </w:rPr>
        <w:t xml:space="preserve">(2.38, 185.65) = 1.24,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.295, </w:t>
      </w:r>
      <w:r w:rsidRPr="006A4162">
        <w:rPr>
          <w:rFonts w:asciiTheme="majorBidi" w:hAnsiTheme="majorBidi" w:cstheme="majorBidi"/>
        </w:rPr>
        <w:t>η</w:t>
      </w:r>
      <w:r w:rsidRPr="006A4162">
        <w:rPr>
          <w:rFonts w:asciiTheme="majorBidi" w:hAnsiTheme="majorBidi" w:cstheme="majorBidi"/>
          <w:lang w:val="en-GB"/>
        </w:rPr>
        <w:t xml:space="preserve">²g = .003. Anger increased significantly from pre- to post-task,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(79) = -4.50,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&lt; .001, indicating successful anger induction. Happiness showed a modest decrease,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(79) = 2.24,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.028, fear decreased significantly,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(79) = 4.53,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&lt; .001, and sadness did not change significantly, </w:t>
      </w:r>
      <w:r w:rsidRPr="006A4162">
        <w:rPr>
          <w:rStyle w:val="Emphasis"/>
          <w:rFonts w:asciiTheme="majorBidi" w:hAnsiTheme="majorBidi" w:cstheme="majorBidi"/>
          <w:lang w:val="en-GB"/>
        </w:rPr>
        <w:t>t</w:t>
      </w:r>
      <w:r w:rsidRPr="006A4162">
        <w:rPr>
          <w:rFonts w:asciiTheme="majorBidi" w:hAnsiTheme="majorBidi" w:cstheme="majorBidi"/>
          <w:lang w:val="en-GB"/>
        </w:rPr>
        <w:t xml:space="preserve">(79) = -1.32, </w:t>
      </w:r>
      <w:r w:rsidRPr="006A4162">
        <w:rPr>
          <w:rStyle w:val="Emphasis"/>
          <w:rFonts w:asciiTheme="majorBidi" w:hAnsiTheme="majorBidi" w:cstheme="majorBidi"/>
          <w:lang w:val="en-GB"/>
        </w:rPr>
        <w:t>p</w:t>
      </w:r>
      <w:r w:rsidRPr="006A4162">
        <w:rPr>
          <w:rFonts w:asciiTheme="majorBidi" w:hAnsiTheme="majorBidi" w:cstheme="majorBidi"/>
          <w:lang w:val="en-GB"/>
        </w:rPr>
        <w:t xml:space="preserve"> = .192.</w:t>
      </w:r>
    </w:p>
    <w:p w14:paraId="53113779" w14:textId="77777777" w:rsidR="00095853" w:rsidRPr="006A4162" w:rsidRDefault="00095853" w:rsidP="006A4162">
      <w:pPr>
        <w:pStyle w:val="SupplementCaption"/>
        <w:spacing w:after="0" w:afterAutospacing="0" w:line="480" w:lineRule="auto"/>
        <w:jc w:val="center"/>
        <w:rPr>
          <w:rFonts w:asciiTheme="majorBidi" w:hAnsiTheme="majorBidi" w:cstheme="majorBidi"/>
          <w:b/>
          <w:bCs/>
          <w:lang w:val="en-GB"/>
        </w:rPr>
      </w:pPr>
      <w:r w:rsidRPr="006A4162">
        <w:rPr>
          <w:rStyle w:val="Strong"/>
          <w:rFonts w:asciiTheme="majorBidi" w:hAnsiTheme="majorBidi" w:cstheme="majorBidi"/>
          <w:lang w:val="en-GB"/>
        </w:rPr>
        <w:t>Table S6. Emotional ratings after exclusion</w:t>
      </w:r>
    </w:p>
    <w:tbl>
      <w:tblPr>
        <w:tblStyle w:val="PlainTable2"/>
        <w:tblW w:w="7200" w:type="dxa"/>
        <w:jc w:val="center"/>
        <w:tblLayout w:type="fixed"/>
        <w:tblLook w:val="04A0" w:firstRow="1" w:lastRow="0" w:firstColumn="1" w:lastColumn="0" w:noHBand="0" w:noVBand="1"/>
      </w:tblPr>
      <w:tblGrid>
        <w:gridCol w:w="1609"/>
        <w:gridCol w:w="2312"/>
        <w:gridCol w:w="2473"/>
        <w:gridCol w:w="1484"/>
        <w:gridCol w:w="1194"/>
      </w:tblGrid>
      <w:tr w:rsidR="00095853" w:rsidRPr="006A4162" w14:paraId="78DC0DCF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568A07A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Group</w:t>
            </w:r>
          </w:p>
        </w:tc>
        <w:tc>
          <w:tcPr>
            <w:tcW w:w="1584" w:type="dxa"/>
            <w:vAlign w:val="center"/>
            <w:hideMark/>
          </w:tcPr>
          <w:p w14:paraId="085484B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Emotion</w:t>
            </w:r>
          </w:p>
        </w:tc>
        <w:tc>
          <w:tcPr>
            <w:tcW w:w="1872" w:type="dxa"/>
            <w:vAlign w:val="center"/>
            <w:hideMark/>
          </w:tcPr>
          <w:p w14:paraId="2D73007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Time Point</w:t>
            </w:r>
          </w:p>
        </w:tc>
        <w:tc>
          <w:tcPr>
            <w:tcW w:w="1296" w:type="dxa"/>
            <w:vAlign w:val="center"/>
            <w:hideMark/>
          </w:tcPr>
          <w:p w14:paraId="2FE4EB3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Mean</w:t>
            </w:r>
          </w:p>
        </w:tc>
        <w:tc>
          <w:tcPr>
            <w:tcW w:w="1296" w:type="dxa"/>
            <w:vAlign w:val="center"/>
            <w:hideMark/>
          </w:tcPr>
          <w:p w14:paraId="7C20294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i/>
                <w:iCs/>
                <w:sz w:val="18"/>
                <w:lang w:val="en-GB"/>
              </w:rPr>
              <w:t>SD</w:t>
            </w:r>
          </w:p>
        </w:tc>
      </w:tr>
      <w:tr w:rsidR="00095853" w:rsidRPr="006A4162" w14:paraId="6EEBB57E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2D0AC4F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11343BC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1872" w:type="dxa"/>
            <w:vAlign w:val="center"/>
            <w:hideMark/>
          </w:tcPr>
          <w:p w14:paraId="1BE65CF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6F8A675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0.67</w:t>
            </w:r>
          </w:p>
        </w:tc>
        <w:tc>
          <w:tcPr>
            <w:tcW w:w="1296" w:type="dxa"/>
            <w:vAlign w:val="center"/>
            <w:hideMark/>
          </w:tcPr>
          <w:p w14:paraId="2BAB8A7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1.33</w:t>
            </w:r>
          </w:p>
        </w:tc>
      </w:tr>
      <w:tr w:rsidR="00095853" w:rsidRPr="006A4162" w14:paraId="308088E7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639EA0C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578BC66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1872" w:type="dxa"/>
            <w:vAlign w:val="center"/>
            <w:hideMark/>
          </w:tcPr>
          <w:p w14:paraId="2846D61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408F786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1.65</w:t>
            </w:r>
          </w:p>
        </w:tc>
        <w:tc>
          <w:tcPr>
            <w:tcW w:w="1296" w:type="dxa"/>
            <w:vAlign w:val="center"/>
            <w:hideMark/>
          </w:tcPr>
          <w:p w14:paraId="5B0A2D8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2.24</w:t>
            </w:r>
          </w:p>
        </w:tc>
      </w:tr>
      <w:tr w:rsidR="00095853" w:rsidRPr="006A4162" w14:paraId="78728B4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4E10D3F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76A19B7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1872" w:type="dxa"/>
            <w:vAlign w:val="center"/>
            <w:hideMark/>
          </w:tcPr>
          <w:p w14:paraId="30D5855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0A69FA8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7.20</w:t>
            </w:r>
          </w:p>
        </w:tc>
        <w:tc>
          <w:tcPr>
            <w:tcW w:w="1296" w:type="dxa"/>
            <w:vAlign w:val="center"/>
            <w:hideMark/>
          </w:tcPr>
          <w:p w14:paraId="1EBDF52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1.83</w:t>
            </w:r>
          </w:p>
        </w:tc>
      </w:tr>
      <w:tr w:rsidR="00095853" w:rsidRPr="006A4162" w14:paraId="678C5194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5D56A9F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lastRenderedPageBreak/>
              <w:t>HC</w:t>
            </w:r>
          </w:p>
        </w:tc>
        <w:tc>
          <w:tcPr>
            <w:tcW w:w="1584" w:type="dxa"/>
            <w:vAlign w:val="center"/>
            <w:hideMark/>
          </w:tcPr>
          <w:p w14:paraId="60C2596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1872" w:type="dxa"/>
            <w:vAlign w:val="center"/>
            <w:hideMark/>
          </w:tcPr>
          <w:p w14:paraId="1AEC3F2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74405FC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6.68</w:t>
            </w:r>
          </w:p>
        </w:tc>
        <w:tc>
          <w:tcPr>
            <w:tcW w:w="1296" w:type="dxa"/>
            <w:vAlign w:val="center"/>
            <w:hideMark/>
          </w:tcPr>
          <w:p w14:paraId="64A6A17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2.24</w:t>
            </w:r>
          </w:p>
        </w:tc>
      </w:tr>
      <w:tr w:rsidR="00095853" w:rsidRPr="006A4162" w14:paraId="4168339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0D22795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7E9547D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1872" w:type="dxa"/>
            <w:vAlign w:val="center"/>
            <w:hideMark/>
          </w:tcPr>
          <w:p w14:paraId="3FF198A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327B576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1.94</w:t>
            </w:r>
          </w:p>
        </w:tc>
        <w:tc>
          <w:tcPr>
            <w:tcW w:w="1296" w:type="dxa"/>
            <w:vAlign w:val="center"/>
            <w:hideMark/>
          </w:tcPr>
          <w:p w14:paraId="40D4DE7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2.27</w:t>
            </w:r>
          </w:p>
        </w:tc>
      </w:tr>
      <w:tr w:rsidR="00095853" w:rsidRPr="006A4162" w14:paraId="7D2041BD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5590A51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291B214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1872" w:type="dxa"/>
            <w:vAlign w:val="center"/>
            <w:hideMark/>
          </w:tcPr>
          <w:p w14:paraId="10D86F2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5A2D9E4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0.78</w:t>
            </w:r>
          </w:p>
        </w:tc>
        <w:tc>
          <w:tcPr>
            <w:tcW w:w="1296" w:type="dxa"/>
            <w:vAlign w:val="center"/>
            <w:hideMark/>
          </w:tcPr>
          <w:p w14:paraId="231F26C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1.28</w:t>
            </w:r>
          </w:p>
        </w:tc>
      </w:tr>
      <w:tr w:rsidR="00095853" w:rsidRPr="006A4162" w14:paraId="5FFFBFA6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5986E38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26D2787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1872" w:type="dxa"/>
            <w:vAlign w:val="center"/>
            <w:hideMark/>
          </w:tcPr>
          <w:p w14:paraId="73638A2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4CB8B53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0.62</w:t>
            </w:r>
          </w:p>
        </w:tc>
        <w:tc>
          <w:tcPr>
            <w:tcW w:w="1296" w:type="dxa"/>
            <w:vAlign w:val="center"/>
            <w:hideMark/>
          </w:tcPr>
          <w:p w14:paraId="650DDDB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1.56</w:t>
            </w:r>
          </w:p>
        </w:tc>
      </w:tr>
      <w:tr w:rsidR="00095853" w:rsidRPr="006A4162" w14:paraId="1FB56B49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71681B0B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HC</w:t>
            </w:r>
          </w:p>
        </w:tc>
        <w:tc>
          <w:tcPr>
            <w:tcW w:w="1584" w:type="dxa"/>
            <w:vAlign w:val="center"/>
            <w:hideMark/>
          </w:tcPr>
          <w:p w14:paraId="41E269B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1872" w:type="dxa"/>
            <w:vAlign w:val="center"/>
            <w:hideMark/>
          </w:tcPr>
          <w:p w14:paraId="25FF2B2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4926AF6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0.74</w:t>
            </w:r>
          </w:p>
        </w:tc>
        <w:tc>
          <w:tcPr>
            <w:tcW w:w="1296" w:type="dxa"/>
            <w:vAlign w:val="center"/>
            <w:hideMark/>
          </w:tcPr>
          <w:p w14:paraId="6C23425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1.49</w:t>
            </w:r>
          </w:p>
        </w:tc>
      </w:tr>
      <w:tr w:rsidR="00095853" w:rsidRPr="006A4162" w14:paraId="3D1443C5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0DE19B4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230E9869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1872" w:type="dxa"/>
            <w:vAlign w:val="center"/>
            <w:hideMark/>
          </w:tcPr>
          <w:p w14:paraId="01F9AEAB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62AE844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3.52</w:t>
            </w:r>
          </w:p>
        </w:tc>
        <w:tc>
          <w:tcPr>
            <w:tcW w:w="1296" w:type="dxa"/>
            <w:vAlign w:val="center"/>
            <w:hideMark/>
          </w:tcPr>
          <w:p w14:paraId="5C156D7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2.80</w:t>
            </w:r>
          </w:p>
        </w:tc>
      </w:tr>
      <w:tr w:rsidR="00095853" w:rsidRPr="006A4162" w14:paraId="7738196B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4D78AD7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29A474D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1872" w:type="dxa"/>
            <w:vAlign w:val="center"/>
            <w:hideMark/>
          </w:tcPr>
          <w:p w14:paraId="2523538B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5748C38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5.85</w:t>
            </w:r>
          </w:p>
        </w:tc>
        <w:tc>
          <w:tcPr>
            <w:tcW w:w="1296" w:type="dxa"/>
            <w:vAlign w:val="center"/>
            <w:hideMark/>
          </w:tcPr>
          <w:p w14:paraId="1D80F4B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2.66</w:t>
            </w:r>
          </w:p>
        </w:tc>
      </w:tr>
      <w:tr w:rsidR="00095853" w:rsidRPr="006A4162" w14:paraId="1F305E26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3E34060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6CD7DA3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1872" w:type="dxa"/>
            <w:vAlign w:val="center"/>
            <w:hideMark/>
          </w:tcPr>
          <w:p w14:paraId="2FDC29A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2C35ECD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3.54</w:t>
            </w:r>
          </w:p>
        </w:tc>
        <w:tc>
          <w:tcPr>
            <w:tcW w:w="1296" w:type="dxa"/>
            <w:vAlign w:val="center"/>
            <w:hideMark/>
          </w:tcPr>
          <w:p w14:paraId="2BCAD3E9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1.96</w:t>
            </w:r>
          </w:p>
        </w:tc>
      </w:tr>
      <w:tr w:rsidR="00095853" w:rsidRPr="006A4162" w14:paraId="25532429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1D989CB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02C1DCB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1872" w:type="dxa"/>
            <w:vAlign w:val="center"/>
            <w:hideMark/>
          </w:tcPr>
          <w:p w14:paraId="623C70E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43C5334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3.14</w:t>
            </w:r>
          </w:p>
        </w:tc>
        <w:tc>
          <w:tcPr>
            <w:tcW w:w="1296" w:type="dxa"/>
            <w:vAlign w:val="center"/>
            <w:hideMark/>
          </w:tcPr>
          <w:p w14:paraId="7F4C187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1.47</w:t>
            </w:r>
          </w:p>
        </w:tc>
      </w:tr>
      <w:tr w:rsidR="00095853" w:rsidRPr="006A4162" w14:paraId="1A903E29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019F02D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4C3D236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1872" w:type="dxa"/>
            <w:vAlign w:val="center"/>
            <w:hideMark/>
          </w:tcPr>
          <w:p w14:paraId="60835DA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2AAD19C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5.45</w:t>
            </w:r>
          </w:p>
        </w:tc>
        <w:tc>
          <w:tcPr>
            <w:tcW w:w="1296" w:type="dxa"/>
            <w:vAlign w:val="center"/>
            <w:hideMark/>
          </w:tcPr>
          <w:p w14:paraId="4DC1B02B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2.84</w:t>
            </w:r>
          </w:p>
        </w:tc>
      </w:tr>
      <w:tr w:rsidR="00095853" w:rsidRPr="006A4162" w14:paraId="2F71BC55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2AAD6AE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59EA3E9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1872" w:type="dxa"/>
            <w:vAlign w:val="center"/>
            <w:hideMark/>
          </w:tcPr>
          <w:p w14:paraId="0A6FDC3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005F9D5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4.49</w:t>
            </w:r>
          </w:p>
        </w:tc>
        <w:tc>
          <w:tcPr>
            <w:tcW w:w="1296" w:type="dxa"/>
            <w:vAlign w:val="center"/>
            <w:hideMark/>
          </w:tcPr>
          <w:p w14:paraId="6F2311E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2.43</w:t>
            </w:r>
          </w:p>
        </w:tc>
      </w:tr>
      <w:tr w:rsidR="00095853" w:rsidRPr="006A4162" w14:paraId="5454D102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3952D7C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3A2CD16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1872" w:type="dxa"/>
            <w:vAlign w:val="center"/>
            <w:hideMark/>
          </w:tcPr>
          <w:p w14:paraId="646A034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Pre-aiUG</w:t>
            </w:r>
          </w:p>
        </w:tc>
        <w:tc>
          <w:tcPr>
            <w:tcW w:w="1296" w:type="dxa"/>
            <w:vAlign w:val="center"/>
            <w:hideMark/>
          </w:tcPr>
          <w:p w14:paraId="520DAB9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4.90</w:t>
            </w:r>
          </w:p>
        </w:tc>
        <w:tc>
          <w:tcPr>
            <w:tcW w:w="1296" w:type="dxa"/>
            <w:vAlign w:val="center"/>
            <w:hideMark/>
          </w:tcPr>
          <w:p w14:paraId="717C9B0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3.14</w:t>
            </w:r>
          </w:p>
        </w:tc>
      </w:tr>
      <w:tr w:rsidR="00095853" w:rsidRPr="006A4162" w14:paraId="3EB0DFA0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2" w:type="dxa"/>
            <w:vAlign w:val="center"/>
            <w:hideMark/>
          </w:tcPr>
          <w:p w14:paraId="54E315A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BPD</w:t>
            </w:r>
          </w:p>
        </w:tc>
        <w:tc>
          <w:tcPr>
            <w:tcW w:w="1584" w:type="dxa"/>
            <w:vAlign w:val="center"/>
            <w:hideMark/>
          </w:tcPr>
          <w:p w14:paraId="26C2EFB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1872" w:type="dxa"/>
            <w:vAlign w:val="center"/>
            <w:hideMark/>
          </w:tcPr>
          <w:p w14:paraId="1F738BA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Post-aiUG</w:t>
            </w:r>
          </w:p>
        </w:tc>
        <w:tc>
          <w:tcPr>
            <w:tcW w:w="1296" w:type="dxa"/>
            <w:vAlign w:val="center"/>
            <w:hideMark/>
          </w:tcPr>
          <w:p w14:paraId="2EC1AB1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5.37</w:t>
            </w:r>
          </w:p>
        </w:tc>
        <w:tc>
          <w:tcPr>
            <w:tcW w:w="1296" w:type="dxa"/>
            <w:vAlign w:val="center"/>
            <w:hideMark/>
          </w:tcPr>
          <w:p w14:paraId="56CE2D6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2.59</w:t>
            </w:r>
          </w:p>
        </w:tc>
      </w:tr>
    </w:tbl>
    <w:p w14:paraId="227FC5BC" w14:textId="77777777" w:rsidR="00095853" w:rsidRPr="006A4162" w:rsidRDefault="00095853" w:rsidP="006A4162">
      <w:pPr>
        <w:pStyle w:val="SupplementHeading"/>
        <w:spacing w:line="480" w:lineRule="auto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S8. Offer-related emotion ratings after exclusion of high-acceptance participants</w:t>
      </w:r>
    </w:p>
    <w:p w14:paraId="1AD17126" w14:textId="77777777" w:rsidR="00095853" w:rsidRPr="006A4162" w:rsidRDefault="00095853" w:rsidP="006A4162">
      <w:pPr>
        <w:pStyle w:val="NormalWeb"/>
        <w:spacing w:line="480" w:lineRule="auto"/>
        <w:jc w:val="both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Offer-related emotional ratings were analysed after excluding high-acceptance participants. The overall pattern remained consistent with the full-sample analysis. A mixed-design ANOVA with Offer Type, Emotion, and Group revealed significant main effects of Group, F(1, 78) = 20.67, p &lt; .001, η²g = .057, Offer Type, F(1.62, 126.48) = 13.37, p &lt; .001, η²g = .020, and Emotion, F(2.05, 159.51) = 51.82, p &lt; .001, η²g = .199. The Group × Offer Type × Emotion interaction also remained significant, F(2.92, 227.80) = 3.76, p = .013, η²g = .012, indicating that group differences in emotional responses varied by offer type and emotion.</w:t>
      </w:r>
    </w:p>
    <w:p w14:paraId="2DA257CA" w14:textId="77777777" w:rsidR="00095853" w:rsidRPr="006A4162" w:rsidRDefault="00095853" w:rsidP="006A4162">
      <w:pPr>
        <w:pStyle w:val="SupplementCaption"/>
        <w:pageBreakBefore/>
        <w:spacing w:line="480" w:lineRule="auto"/>
        <w:jc w:val="center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Table S7. Offer-related emotion ratings after exclusion</w:t>
      </w:r>
    </w:p>
    <w:tbl>
      <w:tblPr>
        <w:tblStyle w:val="PlainTable2"/>
        <w:tblW w:w="7632" w:type="dxa"/>
        <w:jc w:val="center"/>
        <w:tblLayout w:type="fixed"/>
        <w:tblLook w:val="04A0" w:firstRow="1" w:lastRow="0" w:firstColumn="1" w:lastColumn="0" w:noHBand="0" w:noVBand="1"/>
      </w:tblPr>
      <w:tblGrid>
        <w:gridCol w:w="1183"/>
        <w:gridCol w:w="1230"/>
        <w:gridCol w:w="1355"/>
        <w:gridCol w:w="1488"/>
      </w:tblGrid>
      <w:tr w:rsidR="00095853" w:rsidRPr="006A4162" w14:paraId="4C7E76DF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480EB0A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lastRenderedPageBreak/>
              <w:t>Offer type</w:t>
            </w:r>
          </w:p>
        </w:tc>
        <w:tc>
          <w:tcPr>
            <w:tcW w:w="1584" w:type="dxa"/>
            <w:vAlign w:val="center"/>
            <w:hideMark/>
          </w:tcPr>
          <w:p w14:paraId="769AFEE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Emotion</w:t>
            </w:r>
          </w:p>
        </w:tc>
        <w:tc>
          <w:tcPr>
            <w:tcW w:w="2376" w:type="dxa"/>
            <w:vAlign w:val="center"/>
            <w:hideMark/>
          </w:tcPr>
          <w:p w14:paraId="3332E6A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HC M ± SD</w:t>
            </w:r>
          </w:p>
        </w:tc>
        <w:tc>
          <w:tcPr>
            <w:tcW w:w="2376" w:type="dxa"/>
            <w:vAlign w:val="center"/>
            <w:hideMark/>
          </w:tcPr>
          <w:p w14:paraId="42C64CD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BPD M ± SD</w:t>
            </w:r>
          </w:p>
        </w:tc>
      </w:tr>
      <w:tr w:rsidR="00095853" w:rsidRPr="006A4162" w14:paraId="05429DD0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2AA32DA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50–50</w:t>
            </w:r>
          </w:p>
        </w:tc>
        <w:tc>
          <w:tcPr>
            <w:tcW w:w="1584" w:type="dxa"/>
            <w:vAlign w:val="center"/>
            <w:hideMark/>
          </w:tcPr>
          <w:p w14:paraId="511AC43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2376" w:type="dxa"/>
            <w:vAlign w:val="center"/>
            <w:hideMark/>
          </w:tcPr>
          <w:p w14:paraId="0AE76C4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0.38 ± 0.82</w:t>
            </w:r>
          </w:p>
        </w:tc>
        <w:tc>
          <w:tcPr>
            <w:tcW w:w="2376" w:type="dxa"/>
            <w:vAlign w:val="center"/>
            <w:hideMark/>
          </w:tcPr>
          <w:p w14:paraId="6B32570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0.82 ± 2.16</w:t>
            </w:r>
          </w:p>
        </w:tc>
      </w:tr>
      <w:tr w:rsidR="00095853" w:rsidRPr="006A4162" w14:paraId="3B9C84D2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67ACF36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50–50</w:t>
            </w:r>
          </w:p>
        </w:tc>
        <w:tc>
          <w:tcPr>
            <w:tcW w:w="1584" w:type="dxa"/>
            <w:vAlign w:val="center"/>
            <w:hideMark/>
          </w:tcPr>
          <w:p w14:paraId="710385A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2376" w:type="dxa"/>
            <w:vAlign w:val="center"/>
            <w:hideMark/>
          </w:tcPr>
          <w:p w14:paraId="2F2AFE1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8.42 ± 1.91</w:t>
            </w:r>
          </w:p>
        </w:tc>
        <w:tc>
          <w:tcPr>
            <w:tcW w:w="2376" w:type="dxa"/>
            <w:vAlign w:val="center"/>
            <w:hideMark/>
          </w:tcPr>
          <w:p w14:paraId="1F6332B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8.27 ± 1.80</w:t>
            </w:r>
          </w:p>
        </w:tc>
      </w:tr>
      <w:tr w:rsidR="00095853" w:rsidRPr="006A4162" w14:paraId="53628DE8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7EA041E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50–50</w:t>
            </w:r>
          </w:p>
        </w:tc>
        <w:tc>
          <w:tcPr>
            <w:tcW w:w="1584" w:type="dxa"/>
            <w:vAlign w:val="center"/>
            <w:hideMark/>
          </w:tcPr>
          <w:p w14:paraId="650E38E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2376" w:type="dxa"/>
            <w:vAlign w:val="center"/>
            <w:hideMark/>
          </w:tcPr>
          <w:p w14:paraId="6DA9D00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0.02 ± 0.13</w:t>
            </w:r>
          </w:p>
        </w:tc>
        <w:tc>
          <w:tcPr>
            <w:tcW w:w="2376" w:type="dxa"/>
            <w:vAlign w:val="center"/>
            <w:hideMark/>
          </w:tcPr>
          <w:p w14:paraId="269F96A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0.46 ± 1.10</w:t>
            </w:r>
          </w:p>
        </w:tc>
      </w:tr>
      <w:tr w:rsidR="00095853" w:rsidRPr="006A4162" w14:paraId="70064FD3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06EADAF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50–50</w:t>
            </w:r>
          </w:p>
        </w:tc>
        <w:tc>
          <w:tcPr>
            <w:tcW w:w="1584" w:type="dxa"/>
            <w:vAlign w:val="center"/>
            <w:hideMark/>
          </w:tcPr>
          <w:p w14:paraId="7ADE2B5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2376" w:type="dxa"/>
            <w:vAlign w:val="center"/>
            <w:hideMark/>
          </w:tcPr>
          <w:p w14:paraId="38316FA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0.16 ± 0.47</w:t>
            </w:r>
          </w:p>
        </w:tc>
        <w:tc>
          <w:tcPr>
            <w:tcW w:w="2376" w:type="dxa"/>
            <w:vAlign w:val="center"/>
            <w:hideMark/>
          </w:tcPr>
          <w:p w14:paraId="5B94A18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0.55 ± 1.42</w:t>
            </w:r>
          </w:p>
        </w:tc>
      </w:tr>
      <w:tr w:rsidR="00095853" w:rsidRPr="006A4162" w14:paraId="232ED343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3D3134E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70–30</w:t>
            </w:r>
          </w:p>
        </w:tc>
        <w:tc>
          <w:tcPr>
            <w:tcW w:w="1584" w:type="dxa"/>
            <w:vAlign w:val="center"/>
            <w:hideMark/>
          </w:tcPr>
          <w:p w14:paraId="23C8823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2376" w:type="dxa"/>
            <w:vAlign w:val="center"/>
            <w:hideMark/>
          </w:tcPr>
          <w:p w14:paraId="5E38B6E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3.49 ± 2.90</w:t>
            </w:r>
          </w:p>
        </w:tc>
        <w:tc>
          <w:tcPr>
            <w:tcW w:w="2376" w:type="dxa"/>
            <w:vAlign w:val="center"/>
            <w:hideMark/>
          </w:tcPr>
          <w:p w14:paraId="40CD688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5.13 ± 2.57</w:t>
            </w:r>
          </w:p>
        </w:tc>
      </w:tr>
      <w:tr w:rsidR="00095853" w:rsidRPr="006A4162" w14:paraId="0A6BCAC6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566B863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70–30</w:t>
            </w:r>
          </w:p>
        </w:tc>
        <w:tc>
          <w:tcPr>
            <w:tcW w:w="1584" w:type="dxa"/>
            <w:vAlign w:val="center"/>
            <w:hideMark/>
          </w:tcPr>
          <w:p w14:paraId="76097DE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2376" w:type="dxa"/>
            <w:vAlign w:val="center"/>
            <w:hideMark/>
          </w:tcPr>
          <w:p w14:paraId="65307D3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3.08 ± 2.68</w:t>
            </w:r>
          </w:p>
        </w:tc>
        <w:tc>
          <w:tcPr>
            <w:tcW w:w="2376" w:type="dxa"/>
            <w:vAlign w:val="center"/>
            <w:hideMark/>
          </w:tcPr>
          <w:p w14:paraId="1040363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2.94 ± 2.21</w:t>
            </w:r>
          </w:p>
        </w:tc>
      </w:tr>
      <w:tr w:rsidR="00095853" w:rsidRPr="006A4162" w14:paraId="1328A2E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644EC0A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70–30</w:t>
            </w:r>
          </w:p>
        </w:tc>
        <w:tc>
          <w:tcPr>
            <w:tcW w:w="1584" w:type="dxa"/>
            <w:vAlign w:val="center"/>
            <w:hideMark/>
          </w:tcPr>
          <w:p w14:paraId="3C41C5B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2376" w:type="dxa"/>
            <w:vAlign w:val="center"/>
            <w:hideMark/>
          </w:tcPr>
          <w:p w14:paraId="424C0CA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0.63 ± 1.57</w:t>
            </w:r>
          </w:p>
        </w:tc>
        <w:tc>
          <w:tcPr>
            <w:tcW w:w="2376" w:type="dxa"/>
            <w:vAlign w:val="center"/>
            <w:hideMark/>
          </w:tcPr>
          <w:p w14:paraId="7A8D209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1.82 ± 2.24</w:t>
            </w:r>
          </w:p>
        </w:tc>
      </w:tr>
      <w:tr w:rsidR="00095853" w:rsidRPr="006A4162" w14:paraId="10EB6A8A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18FEC54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70–30</w:t>
            </w:r>
          </w:p>
        </w:tc>
        <w:tc>
          <w:tcPr>
            <w:tcW w:w="1584" w:type="dxa"/>
            <w:vAlign w:val="center"/>
            <w:hideMark/>
          </w:tcPr>
          <w:p w14:paraId="00E3C9BB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2376" w:type="dxa"/>
            <w:vAlign w:val="center"/>
            <w:hideMark/>
          </w:tcPr>
          <w:p w14:paraId="3DBECB99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1.71 ± 2.41</w:t>
            </w:r>
          </w:p>
        </w:tc>
        <w:tc>
          <w:tcPr>
            <w:tcW w:w="2376" w:type="dxa"/>
            <w:vAlign w:val="center"/>
            <w:hideMark/>
          </w:tcPr>
          <w:p w14:paraId="5B957D0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4.77 ± 3.14</w:t>
            </w:r>
          </w:p>
        </w:tc>
      </w:tr>
      <w:tr w:rsidR="00095853" w:rsidRPr="006A4162" w14:paraId="2CBD1252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3262EB8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90–10</w:t>
            </w:r>
          </w:p>
        </w:tc>
        <w:tc>
          <w:tcPr>
            <w:tcW w:w="1584" w:type="dxa"/>
            <w:vAlign w:val="center"/>
            <w:hideMark/>
          </w:tcPr>
          <w:p w14:paraId="17F35BA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Anger</w:t>
            </w:r>
          </w:p>
        </w:tc>
        <w:tc>
          <w:tcPr>
            <w:tcW w:w="2376" w:type="dxa"/>
            <w:vAlign w:val="center"/>
            <w:hideMark/>
          </w:tcPr>
          <w:p w14:paraId="6E0F46C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4.88 ± 3.96</w:t>
            </w:r>
          </w:p>
        </w:tc>
        <w:tc>
          <w:tcPr>
            <w:tcW w:w="2376" w:type="dxa"/>
            <w:vAlign w:val="center"/>
            <w:hideMark/>
          </w:tcPr>
          <w:p w14:paraId="5B1AC32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7.58 ± 3.05</w:t>
            </w:r>
          </w:p>
        </w:tc>
      </w:tr>
      <w:tr w:rsidR="00095853" w:rsidRPr="006A4162" w14:paraId="1055B1F3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6C74B04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90–10</w:t>
            </w:r>
          </w:p>
        </w:tc>
        <w:tc>
          <w:tcPr>
            <w:tcW w:w="1584" w:type="dxa"/>
            <w:vAlign w:val="center"/>
            <w:hideMark/>
          </w:tcPr>
          <w:p w14:paraId="539A66A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Happiness</w:t>
            </w:r>
          </w:p>
        </w:tc>
        <w:tc>
          <w:tcPr>
            <w:tcW w:w="2376" w:type="dxa"/>
            <w:vAlign w:val="center"/>
            <w:hideMark/>
          </w:tcPr>
          <w:p w14:paraId="6560378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1.05 ± 2.27</w:t>
            </w:r>
          </w:p>
        </w:tc>
        <w:tc>
          <w:tcPr>
            <w:tcW w:w="2376" w:type="dxa"/>
            <w:vAlign w:val="center"/>
            <w:hideMark/>
          </w:tcPr>
          <w:p w14:paraId="373F3EB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0.51 ± 1.32</w:t>
            </w:r>
          </w:p>
        </w:tc>
      </w:tr>
      <w:tr w:rsidR="00095853" w:rsidRPr="006A4162" w14:paraId="23F655D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429864F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90–10</w:t>
            </w:r>
          </w:p>
        </w:tc>
        <w:tc>
          <w:tcPr>
            <w:tcW w:w="1584" w:type="dxa"/>
            <w:vAlign w:val="center"/>
            <w:hideMark/>
          </w:tcPr>
          <w:p w14:paraId="6B66E9B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Fear</w:t>
            </w:r>
          </w:p>
        </w:tc>
        <w:tc>
          <w:tcPr>
            <w:tcW w:w="2376" w:type="dxa"/>
            <w:vAlign w:val="center"/>
            <w:hideMark/>
          </w:tcPr>
          <w:p w14:paraId="662201D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0.58 ± 1.70</w:t>
            </w:r>
          </w:p>
        </w:tc>
        <w:tc>
          <w:tcPr>
            <w:tcW w:w="2376" w:type="dxa"/>
            <w:vAlign w:val="center"/>
            <w:hideMark/>
          </w:tcPr>
          <w:p w14:paraId="41ACF9C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2.43 ± 2.72</w:t>
            </w:r>
          </w:p>
        </w:tc>
      </w:tr>
      <w:tr w:rsidR="00095853" w:rsidRPr="006A4162" w14:paraId="08DB8C50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  <w:vAlign w:val="center"/>
            <w:hideMark/>
          </w:tcPr>
          <w:p w14:paraId="3C4865E3" w14:textId="4E4AFEE3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90–10</w:t>
            </w:r>
          </w:p>
        </w:tc>
        <w:tc>
          <w:tcPr>
            <w:tcW w:w="1584" w:type="dxa"/>
            <w:vAlign w:val="center"/>
            <w:hideMark/>
          </w:tcPr>
          <w:p w14:paraId="4079793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Sadness</w:t>
            </w:r>
          </w:p>
        </w:tc>
        <w:tc>
          <w:tcPr>
            <w:tcW w:w="2376" w:type="dxa"/>
            <w:vAlign w:val="center"/>
            <w:hideMark/>
          </w:tcPr>
          <w:p w14:paraId="0F2B7B2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2.65 ± 3.38</w:t>
            </w:r>
          </w:p>
        </w:tc>
        <w:tc>
          <w:tcPr>
            <w:tcW w:w="2376" w:type="dxa"/>
            <w:vAlign w:val="center"/>
            <w:hideMark/>
          </w:tcPr>
          <w:p w14:paraId="1220A16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5.91 ± 3.36</w:t>
            </w:r>
          </w:p>
        </w:tc>
      </w:tr>
    </w:tbl>
    <w:p w14:paraId="02BDF94D" w14:textId="77777777" w:rsidR="00095853" w:rsidRPr="006A4162" w:rsidRDefault="00095853" w:rsidP="006A4162">
      <w:pPr>
        <w:pStyle w:val="SupplementHeading"/>
        <w:spacing w:line="480" w:lineRule="auto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S9. SAM ratings after exclusion of high-acceptance participants</w:t>
      </w:r>
    </w:p>
    <w:p w14:paraId="3C78E61F" w14:textId="389C3655" w:rsidR="00095853" w:rsidRPr="006A4162" w:rsidRDefault="00CD7F17" w:rsidP="006A4162">
      <w:pPr>
        <w:pStyle w:val="NormalWeb"/>
        <w:spacing w:line="480" w:lineRule="auto"/>
        <w:jc w:val="both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SAM ratings were examined as a manipulation check after excluding high-acceptance participants. Separate analyses were conducted for valence, arousal, and threat ratings. The pattern remained consistent with the full-sample analysis: Threat trials were rated as less pleasant, more arousing, and more threatening than Safe trials. Thus, the subjective manipulation-check results remained stable after exclusion.</w:t>
      </w:r>
    </w:p>
    <w:p w14:paraId="05211486" w14:textId="77777777" w:rsidR="00095853" w:rsidRPr="006A4162" w:rsidRDefault="00095853" w:rsidP="006A4162">
      <w:pPr>
        <w:pStyle w:val="SupplementCaption"/>
        <w:spacing w:line="480" w:lineRule="auto"/>
        <w:jc w:val="center"/>
        <w:rPr>
          <w:rStyle w:val="Hyperlink"/>
          <w:rFonts w:asciiTheme="majorBidi" w:hAnsiTheme="majorBidi" w:cstheme="majorBidi"/>
          <w:color w:val="auto"/>
          <w:u w:val="none"/>
          <w:lang w:val="en-GB"/>
        </w:rPr>
      </w:pPr>
      <w:r w:rsidRPr="006A4162">
        <w:rPr>
          <w:rStyle w:val="Hyperlink"/>
          <w:rFonts w:asciiTheme="majorBidi" w:hAnsiTheme="majorBidi" w:cstheme="majorBidi"/>
          <w:color w:val="auto"/>
          <w:u w:val="none"/>
          <w:lang w:val="en-GB"/>
        </w:rPr>
        <w:t>Table S8. SAM ratings after exclusion of high-acceptance participants</w:t>
      </w:r>
    </w:p>
    <w:tbl>
      <w:tblPr>
        <w:tblStyle w:val="PlainTable2"/>
        <w:tblW w:w="7632" w:type="dxa"/>
        <w:jc w:val="center"/>
        <w:tblLayout w:type="fixed"/>
        <w:tblLook w:val="04A0" w:firstRow="1" w:lastRow="0" w:firstColumn="1" w:lastColumn="0" w:noHBand="0" w:noVBand="1"/>
      </w:tblPr>
      <w:tblGrid>
        <w:gridCol w:w="1177"/>
        <w:gridCol w:w="1503"/>
        <w:gridCol w:w="1355"/>
        <w:gridCol w:w="1488"/>
      </w:tblGrid>
      <w:tr w:rsidR="00095853" w:rsidRPr="006A4162" w14:paraId="63CC0DD0" w14:textId="77777777" w:rsidTr="001B0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611D0350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lastRenderedPageBreak/>
              <w:t>Condition</w:t>
            </w:r>
          </w:p>
        </w:tc>
        <w:tc>
          <w:tcPr>
            <w:tcW w:w="1728" w:type="dxa"/>
            <w:vAlign w:val="center"/>
            <w:hideMark/>
          </w:tcPr>
          <w:p w14:paraId="3114FB7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Dimension</w:t>
            </w:r>
          </w:p>
        </w:tc>
        <w:tc>
          <w:tcPr>
            <w:tcW w:w="2232" w:type="dxa"/>
            <w:vAlign w:val="center"/>
            <w:hideMark/>
          </w:tcPr>
          <w:p w14:paraId="0CFFD12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HC M ± SD</w:t>
            </w:r>
          </w:p>
        </w:tc>
        <w:tc>
          <w:tcPr>
            <w:tcW w:w="2232" w:type="dxa"/>
            <w:vAlign w:val="center"/>
            <w:hideMark/>
          </w:tcPr>
          <w:p w14:paraId="4D08C07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/>
                <w:bCs w:val="0"/>
                <w:i/>
                <w:iCs/>
                <w:sz w:val="18"/>
                <w:lang w:val="en-GB"/>
              </w:rPr>
              <w:t>BPD M ± SD</w:t>
            </w:r>
          </w:p>
        </w:tc>
      </w:tr>
      <w:tr w:rsidR="00095853" w:rsidRPr="006A4162" w14:paraId="5CECC41B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263ABF1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Safe</w:t>
            </w:r>
          </w:p>
        </w:tc>
        <w:tc>
          <w:tcPr>
            <w:tcW w:w="1728" w:type="dxa"/>
            <w:vAlign w:val="center"/>
            <w:hideMark/>
          </w:tcPr>
          <w:p w14:paraId="36C125E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Valence</w:t>
            </w:r>
          </w:p>
        </w:tc>
        <w:tc>
          <w:tcPr>
            <w:tcW w:w="2232" w:type="dxa"/>
            <w:vAlign w:val="center"/>
            <w:hideMark/>
          </w:tcPr>
          <w:p w14:paraId="2AD8CFC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7.78 ± 1.44</w:t>
            </w:r>
          </w:p>
        </w:tc>
        <w:tc>
          <w:tcPr>
            <w:tcW w:w="2232" w:type="dxa"/>
            <w:vAlign w:val="center"/>
            <w:hideMark/>
          </w:tcPr>
          <w:p w14:paraId="5AA73D6F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6.42 ± 1.64</w:t>
            </w:r>
          </w:p>
        </w:tc>
      </w:tr>
      <w:tr w:rsidR="00095853" w:rsidRPr="006A4162" w14:paraId="6AB41D9E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022C388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Threat</w:t>
            </w:r>
          </w:p>
        </w:tc>
        <w:tc>
          <w:tcPr>
            <w:tcW w:w="1728" w:type="dxa"/>
            <w:vAlign w:val="center"/>
            <w:hideMark/>
          </w:tcPr>
          <w:p w14:paraId="758111B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Valence</w:t>
            </w:r>
          </w:p>
        </w:tc>
        <w:tc>
          <w:tcPr>
            <w:tcW w:w="2232" w:type="dxa"/>
            <w:vAlign w:val="center"/>
            <w:hideMark/>
          </w:tcPr>
          <w:p w14:paraId="7390A92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4.57 ± 1.56</w:t>
            </w:r>
          </w:p>
        </w:tc>
        <w:tc>
          <w:tcPr>
            <w:tcW w:w="2232" w:type="dxa"/>
            <w:vAlign w:val="center"/>
            <w:hideMark/>
          </w:tcPr>
          <w:p w14:paraId="0FB6966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3.92 ± 1.35</w:t>
            </w:r>
          </w:p>
        </w:tc>
      </w:tr>
      <w:tr w:rsidR="00095853" w:rsidRPr="006A4162" w14:paraId="518930EC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1AE12572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Safe</w:t>
            </w:r>
          </w:p>
        </w:tc>
        <w:tc>
          <w:tcPr>
            <w:tcW w:w="1728" w:type="dxa"/>
            <w:vAlign w:val="center"/>
            <w:hideMark/>
          </w:tcPr>
          <w:p w14:paraId="4A66413C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Arousal</w:t>
            </w:r>
          </w:p>
        </w:tc>
        <w:tc>
          <w:tcPr>
            <w:tcW w:w="2232" w:type="dxa"/>
            <w:vAlign w:val="center"/>
            <w:hideMark/>
          </w:tcPr>
          <w:p w14:paraId="4FE164D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2.11 ± 1.54</w:t>
            </w:r>
          </w:p>
        </w:tc>
        <w:tc>
          <w:tcPr>
            <w:tcW w:w="2232" w:type="dxa"/>
            <w:vAlign w:val="center"/>
            <w:hideMark/>
          </w:tcPr>
          <w:p w14:paraId="14E5DE2D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3.21 ± 1.69</w:t>
            </w:r>
          </w:p>
        </w:tc>
      </w:tr>
      <w:tr w:rsidR="00095853" w:rsidRPr="006A4162" w14:paraId="09018501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1726C001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Threat</w:t>
            </w:r>
          </w:p>
        </w:tc>
        <w:tc>
          <w:tcPr>
            <w:tcW w:w="1728" w:type="dxa"/>
            <w:vAlign w:val="center"/>
            <w:hideMark/>
          </w:tcPr>
          <w:p w14:paraId="44A099EA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Arousal</w:t>
            </w:r>
          </w:p>
        </w:tc>
        <w:tc>
          <w:tcPr>
            <w:tcW w:w="2232" w:type="dxa"/>
            <w:vAlign w:val="center"/>
            <w:hideMark/>
          </w:tcPr>
          <w:p w14:paraId="603D7EA5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4.84 ± 1.95</w:t>
            </w:r>
          </w:p>
        </w:tc>
        <w:tc>
          <w:tcPr>
            <w:tcW w:w="2232" w:type="dxa"/>
            <w:vAlign w:val="center"/>
            <w:hideMark/>
          </w:tcPr>
          <w:p w14:paraId="32307B9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5.54 ± 2.21</w:t>
            </w:r>
          </w:p>
        </w:tc>
      </w:tr>
      <w:tr w:rsidR="00095853" w:rsidRPr="006A4162" w14:paraId="35F4D270" w14:textId="77777777" w:rsidTr="001B0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1A583F99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Safe</w:t>
            </w:r>
          </w:p>
        </w:tc>
        <w:tc>
          <w:tcPr>
            <w:tcW w:w="1728" w:type="dxa"/>
            <w:vAlign w:val="center"/>
            <w:hideMark/>
          </w:tcPr>
          <w:p w14:paraId="468C87F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Threat rating</w:t>
            </w:r>
          </w:p>
        </w:tc>
        <w:tc>
          <w:tcPr>
            <w:tcW w:w="2232" w:type="dxa"/>
            <w:vAlign w:val="center"/>
            <w:hideMark/>
          </w:tcPr>
          <w:p w14:paraId="18487E66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0.41 ± 1.01</w:t>
            </w:r>
          </w:p>
        </w:tc>
        <w:tc>
          <w:tcPr>
            <w:tcW w:w="2232" w:type="dxa"/>
            <w:vAlign w:val="center"/>
            <w:hideMark/>
          </w:tcPr>
          <w:p w14:paraId="3025D1F8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1.33 ± 1.43</w:t>
            </w:r>
          </w:p>
        </w:tc>
      </w:tr>
      <w:tr w:rsidR="00095853" w:rsidRPr="006A4162" w14:paraId="08EC2759" w14:textId="77777777" w:rsidTr="001B03C4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  <w:hideMark/>
          </w:tcPr>
          <w:p w14:paraId="0C39E723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rPr>
                <w:rFonts w:asciiTheme="majorBidi" w:hAnsiTheme="majorBidi" w:cstheme="majorBidi"/>
                <w:b w:val="0"/>
                <w:bCs w:val="0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b w:val="0"/>
                <w:bCs w:val="0"/>
                <w:i/>
                <w:iCs/>
                <w:sz w:val="18"/>
                <w:lang w:val="en-GB"/>
              </w:rPr>
              <w:t>Threat</w:t>
            </w:r>
          </w:p>
        </w:tc>
        <w:tc>
          <w:tcPr>
            <w:tcW w:w="1728" w:type="dxa"/>
            <w:vAlign w:val="center"/>
            <w:hideMark/>
          </w:tcPr>
          <w:p w14:paraId="2464D207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Threat rating</w:t>
            </w:r>
          </w:p>
        </w:tc>
        <w:tc>
          <w:tcPr>
            <w:tcW w:w="2232" w:type="dxa"/>
            <w:vAlign w:val="center"/>
            <w:hideMark/>
          </w:tcPr>
          <w:p w14:paraId="4ADA25BE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4.22 ± 2.19</w:t>
            </w:r>
          </w:p>
        </w:tc>
        <w:tc>
          <w:tcPr>
            <w:tcW w:w="2232" w:type="dxa"/>
            <w:vAlign w:val="center"/>
            <w:hideMark/>
          </w:tcPr>
          <w:p w14:paraId="2DE6C3A4" w14:textId="77777777" w:rsidR="00095853" w:rsidRPr="006A4162" w:rsidRDefault="00095853" w:rsidP="006A4162">
            <w:pPr>
              <w:pStyle w:val="NormalWeb"/>
              <w:spacing w:line="240" w:lineRule="auto" w:before="0"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i/>
                <w:iCs/>
                <w:lang w:val="en-GB"/>
              </w:rPr>
            </w:pPr>
            <w:r w:rsidRPr="006A4162">
              <w:rPr>
                <w:rFonts w:asciiTheme="majorBidi" w:hAnsiTheme="majorBidi" w:cstheme="majorBidi" w:ascii="Times New Roman" w:hAnsi="Times New Roman"/>
                <w:i/>
                <w:iCs/>
                <w:sz w:val="18"/>
                <w:lang w:val="en-GB"/>
              </w:rPr>
              <w:t>4.88 ± 3.27</w:t>
            </w:r>
          </w:p>
        </w:tc>
      </w:tr>
    </w:tbl>
    <w:p>
      <w:pPr>
        <w:pStyle w:val="SupplementHeading"/>
      </w:pPr>
      <w:r>
        <w:t>Supplementary references</w:t>
      </w:r>
    </w:p>
    <w:p>
      <w:pPr>
        <w:pStyle w:val="SupplementReference"/>
      </w:pPr>
      <w:r>
        <w:t>1. Polgár P, Fogd D, Unoka Z, Sirály E, Csukly G. Altered Social Decision Making in Borderline Personality Disorder: An Ultimatum Game Study. Journal of Personality Disorders. 2014;28(6):841-852.</w:t>
      </w:r>
    </w:p>
    <w:p>
      <w:pPr>
        <w:pStyle w:val="SupplementReference"/>
      </w:pPr>
      <w:r>
        <w:t>2. De Panfilis C, Schito G, Generali I, Gozzi LA, Ossola P, Marchesi C, et al. Emotions at the border: Increased punishment behavior during fair interpersonal exchanges in borderline personality disorder. Journal of Abnormal Psychology. 2019;128(2):162-172.</w:t>
      </w:r>
    </w:p>
    <w:sectPr w:rsidR="005C000B" w:rsidRPr="006A4162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7CB"/>
    <w:rsid w:val="00095853"/>
    <w:rsid w:val="0060538B"/>
    <w:rsid w:val="006A4162"/>
    <w:rsid w:val="00882C37"/>
    <w:rsid w:val="009C07CB"/>
    <w:rsid w:val="009D2068"/>
    <w:rsid w:val="00C17DD3"/>
    <w:rsid w:val="00CD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B4499"/>
  <w15:chartTrackingRefBased/>
  <w15:docId w15:val="{A1505668-71EE-4970-AFF5-FB144004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95853"/>
    <w:pPr>
      <w:spacing w:after="0" w:line="276" w:lineRule="auto"/>
    </w:pPr>
    <w:rPr>
      <w:rFonts w:ascii="Arial" w:eastAsia="Arial" w:hAnsi="Arial" w:cs="Arial"/>
      <w:lang w:val="en" w:eastAsia="de-DE"/>
    </w:rPr>
  </w:style>
  <w:style w:type="paragraph" w:styleId="Heading3">
    <w:name w:val="heading 3"/>
    <w:basedOn w:val="Normal"/>
    <w:next w:val="Normal"/>
    <w:link w:val="Heading3Char"/>
    <w:rsid w:val="0009585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95853"/>
    <w:rPr>
      <w:rFonts w:ascii="Arial" w:eastAsia="Arial" w:hAnsi="Arial" w:cs="Arial"/>
      <w:color w:val="434343"/>
      <w:sz w:val="28"/>
      <w:szCs w:val="28"/>
      <w:lang w:val="en" w:eastAsia="de-DE"/>
    </w:rPr>
  </w:style>
  <w:style w:type="character" w:styleId="CommentReference">
    <w:name w:val="annotation reference"/>
    <w:basedOn w:val="DefaultParagraphFont"/>
    <w:uiPriority w:val="99"/>
    <w:semiHidden/>
    <w:unhideWhenUsed/>
    <w:rsid w:val="000958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8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853"/>
    <w:rPr>
      <w:rFonts w:ascii="Arial" w:eastAsia="Arial" w:hAnsi="Arial" w:cs="Arial"/>
      <w:sz w:val="20"/>
      <w:szCs w:val="20"/>
      <w:lang w:val="en" w:eastAsia="de-DE"/>
    </w:rPr>
  </w:style>
  <w:style w:type="paragraph" w:styleId="NormalWeb">
    <w:name w:val="Normal (Web)"/>
    <w:basedOn w:val="Normal"/>
    <w:uiPriority w:val="99"/>
    <w:unhideWhenUsed/>
    <w:rsid w:val="00095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/>
    </w:rPr>
  </w:style>
  <w:style w:type="character" w:styleId="Strong">
    <w:name w:val="Strong"/>
    <w:basedOn w:val="DefaultParagraphFont"/>
    <w:uiPriority w:val="22"/>
    <w:qFormat/>
    <w:rsid w:val="00095853"/>
    <w:rPr>
      <w:b/>
      <w:bCs/>
    </w:rPr>
  </w:style>
  <w:style w:type="character" w:styleId="Emphasis">
    <w:name w:val="Emphasis"/>
    <w:basedOn w:val="DefaultParagraphFont"/>
    <w:uiPriority w:val="20"/>
    <w:qFormat/>
    <w:rsid w:val="00095853"/>
    <w:rPr>
      <w:i/>
      <w:iCs/>
    </w:rPr>
  </w:style>
  <w:style w:type="character" w:styleId="Hyperlink">
    <w:name w:val="Hyperlink"/>
    <w:basedOn w:val="DefaultParagraphFont"/>
    <w:uiPriority w:val="99"/>
    <w:unhideWhenUsed/>
    <w:rsid w:val="00095853"/>
    <w:rPr>
      <w:color w:val="0563C1" w:themeColor="hyperlink"/>
      <w:u w:val="single"/>
    </w:rPr>
  </w:style>
  <w:style w:type="table" w:styleId="PlainTable2">
    <w:name w:val="Plain Table 2"/>
    <w:basedOn w:val="TableNormal"/>
    <w:uiPriority w:val="42"/>
    <w:rsid w:val="0009585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958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853"/>
    <w:rPr>
      <w:rFonts w:ascii="Segoe UI" w:eastAsia="Arial" w:hAnsi="Segoe UI" w:cs="Segoe UI"/>
      <w:sz w:val="18"/>
      <w:szCs w:val="18"/>
      <w:lang w:val="en" w:eastAsia="de-DE"/>
    </w:rPr>
  </w:style>
  <w:style w:type="paragraph" w:customStyle="1" w:styleId="SupplementTitle">
    <w:name w:val="Supplement Title"/>
    <w:pPr>
      <w:spacing w:after="120"/>
      <w:jc w:val="center"/>
    </w:pPr>
    <w:rPr>
      <w:rFonts w:ascii="Times New Roman" w:hAnsi="Times New Roman"/>
      <w:b/>
      <w:sz w:val="32"/>
    </w:rPr>
  </w:style>
  <w:style w:type="paragraph" w:customStyle="1" w:styleId="SupplementSubtitle">
    <w:name w:val="Supplement Subtitle"/>
    <w:pPr>
      <w:spacing w:after="120"/>
      <w:jc w:val="center"/>
    </w:pPr>
    <w:rPr>
      <w:rFonts w:ascii="Times New Roman" w:hAnsi="Times New Roman"/>
      <w:b/>
      <w:sz w:val="26"/>
    </w:rPr>
  </w:style>
  <w:style w:type="paragraph" w:customStyle="1" w:styleId="SupplementAuthors">
    <w:name w:val="Supplement Authors"/>
    <w:pPr>
      <w:spacing w:after="60"/>
      <w:jc w:val="center"/>
    </w:pPr>
    <w:rPr>
      <w:rFonts w:ascii="Times New Roman" w:hAnsi="Times New Roman"/>
      <w:sz w:val="20"/>
    </w:rPr>
  </w:style>
  <w:style w:type="paragraph" w:customStyle="1" w:styleId="SupplementAffiliation">
    <w:name w:val="Supplement Affiliation"/>
    <w:pPr>
      <w:spacing w:after="20"/>
      <w:jc w:val="left"/>
    </w:pPr>
    <w:rPr>
      <w:rFonts w:ascii="Times New Roman" w:hAnsi="Times New Roman"/>
      <w:sz w:val="18"/>
    </w:rPr>
  </w:style>
  <w:style w:type="paragraph" w:customStyle="1" w:styleId="SupplementHeading">
    <w:name w:val="Supplement Heading"/>
    <w:pPr>
      <w:keepNext/>
      <w:spacing w:before="240" w:after="120"/>
    </w:pPr>
    <w:rPr>
      <w:rFonts w:ascii="Times New Roman" w:hAnsi="Times New Roman"/>
      <w:b/>
      <w:sz w:val="26"/>
    </w:rPr>
  </w:style>
  <w:style w:type="paragraph" w:customStyle="1" w:styleId="SupplementCaption">
    <w:name w:val="Supplement Caption"/>
    <w:pPr>
      <w:keepNext/>
      <w:spacing w:before="160" w:after="60"/>
      <w:jc w:val="center"/>
    </w:pPr>
    <w:rPr>
      <w:rFonts w:ascii="Times New Roman" w:hAnsi="Times New Roman"/>
      <w:b/>
      <w:sz w:val="20"/>
    </w:rPr>
  </w:style>
  <w:style w:type="paragraph" w:customStyle="1" w:styleId="SupplementReference">
    <w:name w:val="Supplement Reference"/>
    <w:pPr>
      <w:spacing w:after="80"/>
      <w:ind w:left="360" w:hanging="360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24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ZI Mannheim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Masouleh,MiladAmini</dc:creator>
  <cp:keywords/>
  <dc:description/>
  <cp:lastModifiedBy>Masouleh,MiladAmini</cp:lastModifiedBy>
  <cp:revision>5</cp:revision>
  <dcterms:created xsi:type="dcterms:W3CDTF">2026-05-27T11:10:00Z</dcterms:created>
  <dcterms:modified xsi:type="dcterms:W3CDTF">2026-08-05T10:45:00Z</dcterms:modified>
</cp:coreProperties>
</file>