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05AF0" w14:textId="77777777" w:rsidR="00BF41C0" w:rsidRPr="001376CA" w:rsidRDefault="003A7B47" w:rsidP="00A6636E">
      <w:pPr>
        <w:jc w:val="center"/>
        <w:rPr>
          <w:rFonts w:cs="Times New Roman"/>
          <w:sz w:val="28"/>
          <w:szCs w:val="28"/>
        </w:rPr>
      </w:pPr>
      <w:r w:rsidRPr="001376CA">
        <w:rPr>
          <w:rFonts w:cs="Times New Roman"/>
          <w:b/>
          <w:sz w:val="28"/>
          <w:szCs w:val="28"/>
        </w:rPr>
        <w:t>Supplementary Video Legends</w:t>
      </w:r>
    </w:p>
    <w:p w14:paraId="3E36EC12" w14:textId="77777777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t xml:space="preserve">Supplementary Video 1. 4DGAT reconstruction of H9c2 mitochondrial dynamics. </w:t>
      </w:r>
      <w:r w:rsidRPr="00A6636E">
        <w:rPr>
          <w:rFonts w:cs="Times New Roman"/>
          <w:sz w:val="21"/>
          <w:szCs w:val="21"/>
        </w:rPr>
        <w:t>Two independent H9c2 imaging scenes are shown side by side, first at the full field of view and then as magnified region-of-interest (ROI) replays. In Cell 1, a mitochondrial segment undergoes directed translocation from t = 85 to 125 s; a color-coded trajectory marks its spatiotemporal path (Fig. 3g). In Cell 2, mitochondrial tubules remodel from t = 28 to 87 s through elongation, bending, and shape transitions (Fig. 3h). Full-field and ROI scale bars are displayed in the video.</w:t>
      </w:r>
    </w:p>
    <w:p w14:paraId="5C0B460E" w14:textId="2184E172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t xml:space="preserve">Supplementary Video 2. Deformation-based 4DGAT suppresses frame-to-frame fluctuations compared with static per-frame reconstruction. </w:t>
      </w:r>
      <w:r w:rsidRPr="00A6636E">
        <w:rPr>
          <w:rFonts w:cs="Times New Roman"/>
          <w:sz w:val="21"/>
          <w:szCs w:val="21"/>
        </w:rPr>
        <w:t>Side-by-side x-y maximum-intensity projections</w:t>
      </w:r>
      <w:r w:rsidR="00095DE2">
        <w:rPr>
          <w:rFonts w:cs="Times New Roman"/>
          <w:sz w:val="21"/>
          <w:szCs w:val="21"/>
        </w:rPr>
        <w:t xml:space="preserve"> (MIPs)</w:t>
      </w:r>
      <w:r w:rsidRPr="00A6636E">
        <w:rPr>
          <w:rFonts w:cs="Times New Roman"/>
          <w:sz w:val="21"/>
          <w:szCs w:val="21"/>
        </w:rPr>
        <w:t xml:space="preserve"> compare the temporally deformable 4DGAT reconstruction (left) with a static per-frame reconstruction (right) throughout the H9c2 sequence. Red circles and the magnified inset mark regions where independent per-frame fitting produces intermittent intensity loss, broken tubules, or frame-to-frame flicker. The shared canonical scene and learned deformation field preserve more coherent mitochondrial structures over time. This video supports the temporal-consistency analysis in Results, Section 2.3.</w:t>
      </w:r>
    </w:p>
    <w:p w14:paraId="378B66EC" w14:textId="77777777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t xml:space="preserve">Supplementary Video 3. 4DGAT improves zebrafish heart reconstruction compared with SHB. </w:t>
      </w:r>
      <w:r w:rsidRPr="00A6636E">
        <w:rPr>
          <w:rFonts w:cs="Times New Roman"/>
          <w:sz w:val="21"/>
          <w:szCs w:val="21"/>
        </w:rPr>
        <w:t>Representative time-resolved 3D reconstructions of cardiomyocyte nuclei compare scaled heavy-ball (SHB) deconvolution with 4DGAT. Relative to SHB, 4DGAT reduces axial elongation and resolves atrioventricular organization more clearly in 3D. The later portion overlays tracked nuclear trajectories and the shared-topology chamber meshes used for subsequent functional analysis. This video corresponds to Fig. 4c,d and the chamber-meshing procedure described in Methods. Scale bar, 50 μm.</w:t>
      </w:r>
    </w:p>
    <w:p w14:paraId="79F82B6C" w14:textId="77777777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t xml:space="preserve">Supplementary Video 4. Dynamic chamber reconstruction and functional analysis of control and injured zebrafish hearts. </w:t>
      </w:r>
      <w:r w:rsidRPr="00A6636E">
        <w:rPr>
          <w:rFonts w:cs="Times New Roman"/>
          <w:sz w:val="21"/>
          <w:szCs w:val="21"/>
        </w:rPr>
        <w:t>Control and mechanically injured zebrafish hearts are displayed as x-y and x-z maximum-intensity projections reconstructed by 4DGAT, followed by shared-topology chamber meshes with face-wise areal-ratio maps. The areal ratios are referenced to each heart's ventricular end-systolic mesh. Synchronized atrial and ventricular volume traces and atrioventricular phase loops show broad, repeatable anti-phase dynamics in the control heart and reduced, irregular chamber-volume exchange after injury. This video visualizes the chamber reconstruction, regional deformation, volume tracing, and phase-loop analyses associated with Fig. 4d-m.</w:t>
      </w:r>
    </w:p>
    <w:p w14:paraId="40A6B736" w14:textId="77777777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t xml:space="preserve">Supplementary Video 5. Continuous temporal interpolation of beating zebrafish cardiac dynamics by 4DGAT. </w:t>
      </w:r>
      <w:r w:rsidRPr="00A6636E">
        <w:rPr>
          <w:rFonts w:cs="Times New Roman"/>
          <w:sz w:val="21"/>
          <w:szCs w:val="21"/>
        </w:rPr>
        <w:t>Side-by-side renderings compare the nearest original frame from a 100-frame sequence (left) with the 4DGAT reconstruction evaluated at 1,000 uniformly sampled time points (right), providing 10× temporal density. Querying the learned continuous deformation field yields a temporally dense representation of the beating heart while preserving coherent contraction-relaxation motion. This video complements the kymograph comparison in Supplementary Fig. S12.</w:t>
      </w:r>
    </w:p>
    <w:p w14:paraId="56CF5886" w14:textId="77777777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lastRenderedPageBreak/>
        <w:t xml:space="preserve">Supplementary Video 6. 4DGAT reconstructs and tracks dense multicolor BMDM populations. </w:t>
      </w:r>
      <w:r w:rsidRPr="00A6636E">
        <w:rPr>
          <w:rFonts w:cs="Times New Roman"/>
          <w:sz w:val="21"/>
          <w:szCs w:val="21"/>
        </w:rPr>
        <w:t>The video sequentially displays 3D reconstructions of dense bone marrow-derived macrophages (BMDMs): the DAPI-labeled nuclear channel, nucleus-position tracks across the 27.6-s acquisition, and the merged three-color volume (DAPI, blue; F4/80, green; ferritin, red). Persistent association of F4/80 and ferritin signals with the tracked nuclei links each trajectory to its molecular-marker profile. This video supports Fig. 5b-d. Scale bar, 100 μm.</w:t>
      </w:r>
    </w:p>
    <w:p w14:paraId="6B83F893" w14:textId="77777777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t xml:space="preserve">Supplementary Video 7. 4DGAT resolves a four-class CD11b/Ferritin macrophage mixture in 3D over time. </w:t>
      </w:r>
      <w:r w:rsidRPr="00A6636E">
        <w:rPr>
          <w:rFonts w:cs="Times New Roman"/>
          <w:sz w:val="21"/>
          <w:szCs w:val="21"/>
        </w:rPr>
        <w:t>x-y and x-z maximum-intensity projections show the 4DGAT time-lapse reconstruction of an equal-ratio (1:1:1:1) mixture of four RAW264.7 macrophage populations: CD11b</w:t>
      </w:r>
      <w:r w:rsidRPr="00A6636E">
        <w:rPr>
          <w:rFonts w:eastAsia="MS Gothic" w:cs="Times New Roman"/>
          <w:sz w:val="21"/>
          <w:szCs w:val="21"/>
        </w:rPr>
        <w:t>⁻</w:t>
      </w:r>
      <w:r w:rsidRPr="00A6636E">
        <w:rPr>
          <w:rFonts w:cs="Times New Roman"/>
          <w:sz w:val="21"/>
          <w:szCs w:val="21"/>
        </w:rPr>
        <w:t>Ferritin</w:t>
      </w:r>
      <w:r w:rsidRPr="00A6636E">
        <w:rPr>
          <w:rFonts w:eastAsia="MS Gothic" w:cs="Times New Roman"/>
          <w:sz w:val="21"/>
          <w:szCs w:val="21"/>
        </w:rPr>
        <w:t>⁻</w:t>
      </w:r>
      <w:r w:rsidRPr="00A6636E">
        <w:rPr>
          <w:rFonts w:cs="Times New Roman"/>
          <w:sz w:val="21"/>
          <w:szCs w:val="21"/>
        </w:rPr>
        <w:t>, CD11b</w:t>
      </w:r>
      <w:r w:rsidRPr="00A6636E">
        <w:rPr>
          <w:rFonts w:eastAsia="MS Gothic" w:cs="Times New Roman"/>
          <w:sz w:val="21"/>
          <w:szCs w:val="21"/>
        </w:rPr>
        <w:t>⁻</w:t>
      </w:r>
      <w:r w:rsidRPr="00A6636E">
        <w:rPr>
          <w:rFonts w:cs="Times New Roman"/>
          <w:sz w:val="21"/>
          <w:szCs w:val="21"/>
        </w:rPr>
        <w:t>Ferritin</w:t>
      </w:r>
      <w:r w:rsidRPr="00A6636E">
        <w:rPr>
          <w:rFonts w:eastAsia="MS Gothic" w:cs="Times New Roman"/>
          <w:sz w:val="21"/>
          <w:szCs w:val="21"/>
        </w:rPr>
        <w:t>⁺</w:t>
      </w:r>
      <w:r w:rsidRPr="00A6636E">
        <w:rPr>
          <w:rFonts w:cs="Times New Roman"/>
          <w:sz w:val="21"/>
          <w:szCs w:val="21"/>
        </w:rPr>
        <w:t>, CD11b</w:t>
      </w:r>
      <w:r w:rsidRPr="00A6636E">
        <w:rPr>
          <w:rFonts w:eastAsia="MS Gothic" w:cs="Times New Roman"/>
          <w:sz w:val="21"/>
          <w:szCs w:val="21"/>
        </w:rPr>
        <w:t>⁺</w:t>
      </w:r>
      <w:r w:rsidRPr="00A6636E">
        <w:rPr>
          <w:rFonts w:cs="Times New Roman"/>
          <w:sz w:val="21"/>
          <w:szCs w:val="21"/>
        </w:rPr>
        <w:t>Ferritin</w:t>
      </w:r>
      <w:r w:rsidRPr="00A6636E">
        <w:rPr>
          <w:rFonts w:eastAsia="MS Gothic" w:cs="Times New Roman"/>
          <w:sz w:val="21"/>
          <w:szCs w:val="21"/>
        </w:rPr>
        <w:t>⁻</w:t>
      </w:r>
      <w:r w:rsidRPr="00A6636E">
        <w:rPr>
          <w:rFonts w:cs="Times New Roman"/>
          <w:sz w:val="21"/>
          <w:szCs w:val="21"/>
        </w:rPr>
        <w:t>, and CD11b</w:t>
      </w:r>
      <w:r w:rsidRPr="00A6636E">
        <w:rPr>
          <w:rFonts w:eastAsia="MS Gothic" w:cs="Times New Roman"/>
          <w:sz w:val="21"/>
          <w:szCs w:val="21"/>
        </w:rPr>
        <w:t>⁺</w:t>
      </w:r>
      <w:r w:rsidRPr="00A6636E">
        <w:rPr>
          <w:rFonts w:cs="Times New Roman"/>
          <w:sz w:val="21"/>
          <w:szCs w:val="21"/>
        </w:rPr>
        <w:t>Ferritin</w:t>
      </w:r>
      <w:r w:rsidRPr="00A6636E">
        <w:rPr>
          <w:rFonts w:eastAsia="MS Gothic" w:cs="Times New Roman"/>
          <w:sz w:val="21"/>
          <w:szCs w:val="21"/>
        </w:rPr>
        <w:t>⁺</w:t>
      </w:r>
      <w:r w:rsidRPr="00A6636E">
        <w:rPr>
          <w:rFonts w:cs="Times New Roman"/>
          <w:sz w:val="21"/>
          <w:szCs w:val="21"/>
        </w:rPr>
        <w:t>. The sequence visualizes the four marker-defined phenotypes in 3D over time and provides the reconstruction used for the population analysis in Fig. 5e-g and Supplementary Fig. S14. Scale bars, 50 μm.</w:t>
      </w:r>
    </w:p>
    <w:p w14:paraId="40E40ED2" w14:textId="77777777" w:rsidR="00BF41C0" w:rsidRPr="00A6636E" w:rsidRDefault="003A7B47" w:rsidP="00A6636E">
      <w:pPr>
        <w:pStyle w:val="ae"/>
        <w:numPr>
          <w:ilvl w:val="0"/>
          <w:numId w:val="10"/>
        </w:numPr>
        <w:adjustRightInd w:val="0"/>
        <w:snapToGrid w:val="0"/>
        <w:spacing w:beforeLines="50" w:before="120" w:afterLines="50" w:after="120" w:line="360" w:lineRule="auto"/>
        <w:contextualSpacing w:val="0"/>
        <w:jc w:val="both"/>
        <w:rPr>
          <w:rFonts w:cs="Times New Roman"/>
          <w:sz w:val="21"/>
          <w:szCs w:val="21"/>
        </w:rPr>
      </w:pPr>
      <w:r w:rsidRPr="00A6636E">
        <w:rPr>
          <w:rFonts w:cs="Times New Roman"/>
          <w:b/>
          <w:sz w:val="21"/>
          <w:szCs w:val="21"/>
        </w:rPr>
        <w:t xml:space="preserve">Supplementary Video 8. 4DGAT captures distinct magnetic-mobility states in a predefined 1:5 macrophage mixture. </w:t>
      </w:r>
      <w:r w:rsidRPr="00A6636E">
        <w:rPr>
          <w:rFonts w:cs="Times New Roman"/>
          <w:sz w:val="21"/>
          <w:szCs w:val="21"/>
        </w:rPr>
        <w:t>x-y and x-z maximum-intensity projections show 4DGAT reconstructions of a predefined 1:5 magnetic/non-magnetic macrophage mixture during the time-lapse acquisition. The sequence provides the reconstructed volumes used for trajectory-based magnetic-mobility analysis. Subsequent analysis separated 17 fast and 88 slow trajectories (1:5.2) at a mean-speed threshold of 8.27 μm/s; the fast group exhibited directed, magnetically driven motion, whereas the slow group remained more diffusive. This video supports Fig. 5h-j. Scale bars, 50 μm.</w:t>
      </w:r>
    </w:p>
    <w:sectPr w:rsidR="00BF41C0" w:rsidRPr="00A6636E" w:rsidSect="00034616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95A8F" w14:textId="77777777" w:rsidR="00544169" w:rsidRDefault="00544169">
      <w:pPr>
        <w:spacing w:line="240" w:lineRule="auto"/>
      </w:pPr>
      <w:r>
        <w:separator/>
      </w:r>
    </w:p>
  </w:endnote>
  <w:endnote w:type="continuationSeparator" w:id="0">
    <w:p w14:paraId="77218F0B" w14:textId="77777777" w:rsidR="00544169" w:rsidRDefault="005441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9A72" w14:textId="77777777" w:rsidR="00BF41C0" w:rsidRDefault="003A7B47">
    <w:pPr>
      <w:pStyle w:val="a7"/>
      <w:jc w:val="center"/>
    </w:pPr>
    <w:r>
      <w:rPr>
        <w:rFonts w:cs="Times New Roman"/>
        <w:sz w:val="20"/>
      </w:rPr>
      <w:fldChar w:fldCharType="begin"/>
    </w:r>
    <w:r>
      <w:rPr>
        <w:rFonts w:cs="Times New Roman"/>
        <w:sz w:val="20"/>
      </w:rPr>
      <w:instrText xml:space="preserve"> PAGE </w:instrText>
    </w:r>
    <w:r>
      <w:rPr>
        <w:rFonts w:cs="Times New Roman"/>
        <w:sz w:val="20"/>
      </w:rPr>
      <w:fldChar w:fldCharType="separate"/>
    </w:r>
    <w:r>
      <w:rPr>
        <w:rFonts w:cs="Times New Roman"/>
        <w:sz w:val="20"/>
      </w:rPr>
      <w:t>1</w:t>
    </w:r>
    <w:r>
      <w:rPr>
        <w:rFonts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2B725" w14:textId="77777777" w:rsidR="00544169" w:rsidRDefault="00544169">
      <w:pPr>
        <w:spacing w:line="240" w:lineRule="auto"/>
      </w:pPr>
      <w:r>
        <w:separator/>
      </w:r>
    </w:p>
  </w:footnote>
  <w:footnote w:type="continuationSeparator" w:id="0">
    <w:p w14:paraId="4ACB6799" w14:textId="77777777" w:rsidR="00544169" w:rsidRDefault="0054416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24261A"/>
    <w:multiLevelType w:val="hybridMultilevel"/>
    <w:tmpl w:val="F0383E86"/>
    <w:lvl w:ilvl="0" w:tplc="1BA4DB0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DE2"/>
    <w:rsid w:val="001376CA"/>
    <w:rsid w:val="0015074B"/>
    <w:rsid w:val="0029639D"/>
    <w:rsid w:val="00326F90"/>
    <w:rsid w:val="003A7B47"/>
    <w:rsid w:val="00544169"/>
    <w:rsid w:val="00604BD0"/>
    <w:rsid w:val="007C3F44"/>
    <w:rsid w:val="009F2077"/>
    <w:rsid w:val="00A34374"/>
    <w:rsid w:val="00A6636E"/>
    <w:rsid w:val="00AA1D8D"/>
    <w:rsid w:val="00B47730"/>
    <w:rsid w:val="00BF41C0"/>
    <w:rsid w:val="00CB0664"/>
    <w:rsid w:val="00FC693F"/>
    <w:rsid w:val="00FF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BC1D09"/>
  <w14:defaultImageDpi w14:val="300"/>
  <w15:docId w15:val="{6C21BECF-1B9A-42E7-96B0-2C6EE8E7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VideoLegend">
    <w:name w:val="Video Legend"/>
    <w:basedOn w:val="a1"/>
    <w:pPr>
      <w:spacing w:before="160" w:after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Video Legends</dc:title>
  <dc:subject>Four-dimensional Gaussian adaptive tomography for aberration-corrected, time-lapse 3D imaging using Fourier light-field microscopy</dc:subject>
  <dc:creator>Zhouyu Jin et al.</dc:creator>
  <cp:keywords>4DGAT; supplementary videos; Fourier light-field microscopy</cp:keywords>
  <dc:description>Prepared for submission to Light: Science &amp; Applications.</dc:description>
  <cp:lastModifiedBy>游 周</cp:lastModifiedBy>
  <cp:revision>9</cp:revision>
  <dcterms:created xsi:type="dcterms:W3CDTF">2013-12-23T23:15:00Z</dcterms:created>
  <dcterms:modified xsi:type="dcterms:W3CDTF">2026-08-18T14:52:00Z</dcterms:modified>
  <cp:category/>
</cp:coreProperties>
</file>