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1DD34" w14:textId="77777777" w:rsidR="00827EBB" w:rsidRDefault="00827EBB" w:rsidP="00827EBB">
      <w:pPr>
        <w:pStyle w:val="Heading2"/>
      </w:pPr>
      <w:r>
        <w:t>Appendix — Figure / Table plan</w:t>
      </w:r>
    </w:p>
    <w:tbl>
      <w:tblPr>
        <w:tblStyle w:val="LightGrid-Accent1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827EBB" w14:paraId="3E6B3394" w14:textId="77777777" w:rsidTr="008F37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077FB9BC" w14:textId="77777777" w:rsidR="00827EBB" w:rsidRDefault="00827EBB" w:rsidP="008F37F4">
            <w:r>
              <w:t>Item</w:t>
            </w:r>
          </w:p>
        </w:tc>
        <w:tc>
          <w:tcPr>
            <w:tcW w:w="4320" w:type="dxa"/>
          </w:tcPr>
          <w:p w14:paraId="4A050A5B" w14:textId="77777777" w:rsidR="00827EBB" w:rsidRDefault="00827EBB" w:rsidP="008F37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Content</w:t>
            </w:r>
          </w:p>
        </w:tc>
      </w:tr>
      <w:tr w:rsidR="00827EBB" w14:paraId="0C40FE0F" w14:textId="77777777" w:rsidTr="008F37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1A68B89" w14:textId="77777777" w:rsidR="00827EBB" w:rsidRDefault="00827EBB" w:rsidP="008F37F4">
            <w:r>
              <w:t>---</w:t>
            </w:r>
          </w:p>
        </w:tc>
        <w:tc>
          <w:tcPr>
            <w:tcW w:w="4320" w:type="dxa"/>
          </w:tcPr>
          <w:p w14:paraId="5D43C748" w14:textId="77777777" w:rsidR="00827EBB" w:rsidRDefault="00827EBB" w:rsidP="008F37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---</w:t>
            </w:r>
          </w:p>
        </w:tc>
      </w:tr>
      <w:tr w:rsidR="00827EBB" w14:paraId="55411756" w14:textId="77777777" w:rsidTr="008F37F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45F4451" w14:textId="77777777" w:rsidR="00827EBB" w:rsidRDefault="00827EBB" w:rsidP="008F37F4">
            <w:r>
              <w:t>Figure 1</w:t>
            </w:r>
          </w:p>
        </w:tc>
        <w:tc>
          <w:tcPr>
            <w:tcW w:w="4320" w:type="dxa"/>
          </w:tcPr>
          <w:p w14:paraId="45CC9A1D" w14:textId="77777777" w:rsidR="00827EBB" w:rsidRDefault="00827EBB" w:rsidP="008F37F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Cohort flow + 4 trajectory phenotype mean curves (95% CI)</w:t>
            </w:r>
          </w:p>
        </w:tc>
      </w:tr>
      <w:tr w:rsidR="00827EBB" w14:paraId="221F6E32" w14:textId="77777777" w:rsidTr="008F37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D291F0D" w14:textId="77777777" w:rsidR="00827EBB" w:rsidRDefault="00827EBB" w:rsidP="008F37F4">
            <w:r>
              <w:t>Figure 2</w:t>
            </w:r>
          </w:p>
        </w:tc>
        <w:tc>
          <w:tcPr>
            <w:tcW w:w="4320" w:type="dxa"/>
          </w:tcPr>
          <w:p w14:paraId="6D990345" w14:textId="77777777" w:rsidR="00827EBB" w:rsidRDefault="00827EBB" w:rsidP="008F37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TMLE/AIPTW forest (MIMIC + eICU, phenotype-aligned) with E-value footnote</w:t>
            </w:r>
          </w:p>
        </w:tc>
      </w:tr>
      <w:tr w:rsidR="00827EBB" w14:paraId="070FCE88" w14:textId="77777777" w:rsidTr="008F37F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AD33F05" w14:textId="77777777" w:rsidR="00827EBB" w:rsidRDefault="00827EBB" w:rsidP="008F37F4">
            <w:r>
              <w:t>Figure 3</w:t>
            </w:r>
          </w:p>
        </w:tc>
        <w:tc>
          <w:tcPr>
            <w:tcW w:w="4320" w:type="dxa"/>
          </w:tcPr>
          <w:p w14:paraId="052567E7" w14:textId="77777777" w:rsidR="00827EBB" w:rsidRDefault="00827EBB" w:rsidP="008F37F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Calibration curve + ROC/DCA for XGBoost</w:t>
            </w:r>
          </w:p>
        </w:tc>
      </w:tr>
      <w:tr w:rsidR="00827EBB" w14:paraId="660DA2A4" w14:textId="77777777" w:rsidTr="008F37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0472E112" w14:textId="77777777" w:rsidR="00827EBB" w:rsidRDefault="00827EBB" w:rsidP="008F37F4">
            <w:r>
              <w:t>Figure 4</w:t>
            </w:r>
          </w:p>
        </w:tc>
        <w:tc>
          <w:tcPr>
            <w:tcW w:w="4320" w:type="dxa"/>
          </w:tcPr>
          <w:p w14:paraId="463122B7" w14:textId="77777777" w:rsidR="00827EBB" w:rsidRDefault="00827EBB" w:rsidP="008F37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Dual-NCE-negative chain: MIMIC (discovery) + eICU (validation) real vs confounder-correlated NCE</w:t>
            </w:r>
          </w:p>
        </w:tc>
      </w:tr>
      <w:tr w:rsidR="00827EBB" w14:paraId="5B85237C" w14:textId="77777777" w:rsidTr="008F37F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4255774" w14:textId="77777777" w:rsidR="00827EBB" w:rsidRDefault="00827EBB" w:rsidP="008F37F4">
            <w:r>
              <w:t>Table 1</w:t>
            </w:r>
          </w:p>
        </w:tc>
        <w:tc>
          <w:tcPr>
            <w:tcW w:w="4320" w:type="dxa"/>
          </w:tcPr>
          <w:p w14:paraId="1798C9DF" w14:textId="77777777" w:rsidR="00827EBB" w:rsidRDefault="00827EBB" w:rsidP="008F37F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Baseline by phenotype (diabetes stratification in eTable 11)</w:t>
            </w:r>
          </w:p>
        </w:tc>
      </w:tr>
      <w:tr w:rsidR="00827EBB" w14:paraId="3F87950B" w14:textId="77777777" w:rsidTr="008F37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1DAF4416" w14:textId="77777777" w:rsidR="00827EBB" w:rsidRDefault="00827EBB" w:rsidP="008F37F4">
            <w:r>
              <w:t>Table 2</w:t>
            </w:r>
          </w:p>
        </w:tc>
        <w:tc>
          <w:tcPr>
            <w:tcW w:w="4320" w:type="dxa"/>
          </w:tcPr>
          <w:p w14:paraId="67D3B304" w14:textId="77777777" w:rsidR="00827EBB" w:rsidRDefault="00827EBB" w:rsidP="008F37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TMLE/AIPTW + E-value (AKI progression)</w:t>
            </w:r>
          </w:p>
        </w:tc>
      </w:tr>
      <w:tr w:rsidR="00827EBB" w14:paraId="549A0F74" w14:textId="77777777" w:rsidTr="008F37F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F6D92BF" w14:textId="77777777" w:rsidR="00827EBB" w:rsidRDefault="00827EBB" w:rsidP="008F37F4">
            <w:r>
              <w:t>Table 3</w:t>
            </w:r>
          </w:p>
        </w:tc>
        <w:tc>
          <w:tcPr>
            <w:tcW w:w="4320" w:type="dxa"/>
          </w:tcPr>
          <w:p w14:paraId="39A39BBA" w14:textId="77777777" w:rsidR="00827EBB" w:rsidRDefault="00827EBB" w:rsidP="008F37F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ML performance (AUROC/C-index/Brier; 15- vs 45-feature)</w:t>
            </w:r>
          </w:p>
        </w:tc>
      </w:tr>
      <w:tr w:rsidR="00827EBB" w14:paraId="6451E0B6" w14:textId="77777777" w:rsidTr="008F37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54FA9A9" w14:textId="77777777" w:rsidR="00827EBB" w:rsidRDefault="00827EBB" w:rsidP="008F37F4">
            <w:r>
              <w:t>Table 4</w:t>
            </w:r>
          </w:p>
        </w:tc>
        <w:tc>
          <w:tcPr>
            <w:tcW w:w="4320" w:type="dxa"/>
          </w:tcPr>
          <w:p w14:paraId="4C2C8E0A" w14:textId="77777777" w:rsidR="00827EBB" w:rsidRDefault="00827EBB" w:rsidP="008F37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Multi-mediator (GO-RI test) and negative-control falsification (empirical + confounder-correlated structural NCE, MIMIC + eICU replication)</w:t>
            </w:r>
          </w:p>
        </w:tc>
      </w:tr>
      <w:tr w:rsidR="00827EBB" w14:paraId="51DEB905" w14:textId="77777777" w:rsidTr="008F37F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426801B" w14:textId="77777777" w:rsidR="00827EBB" w:rsidRDefault="00827EBB" w:rsidP="008F37F4">
            <w:r>
              <w:t>eTable 1</w:t>
            </w:r>
          </w:p>
        </w:tc>
        <w:tc>
          <w:tcPr>
            <w:tcW w:w="4320" w:type="dxa"/>
          </w:tcPr>
          <w:p w14:paraId="440D6B6B" w14:textId="77777777" w:rsidR="00827EBB" w:rsidRDefault="00827EBB" w:rsidP="008F37F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eICU-CRD TMLE/AIPTW estimates of the phenotype→AKI-progression effect with E-values (phenotype-aligned)</w:t>
            </w:r>
          </w:p>
        </w:tc>
      </w:tr>
      <w:tr w:rsidR="00827EBB" w14:paraId="294ADCA3" w14:textId="77777777" w:rsidTr="008F37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686CC3CA" w14:textId="77777777" w:rsidR="00827EBB" w:rsidRDefault="00827EBB" w:rsidP="008F37F4">
            <w:r>
              <w:t>eTable 9</w:t>
            </w:r>
          </w:p>
        </w:tc>
        <w:tc>
          <w:tcPr>
            <w:tcW w:w="4320" w:type="dxa"/>
          </w:tcPr>
          <w:p w14:paraId="2FA00775" w14:textId="77777777" w:rsidR="00827EBB" w:rsidRDefault="00827EBB" w:rsidP="008F37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eICU-CRD Fine-Gray subdistribution hazards for AKI progression (death as competing risk), by phenotype</w:t>
            </w:r>
          </w:p>
        </w:tc>
      </w:tr>
      <w:tr w:rsidR="00827EBB" w14:paraId="0E1EC11B" w14:textId="77777777" w:rsidTr="008F37F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7FF177B" w14:textId="77777777" w:rsidR="00827EBB" w:rsidRDefault="00827EBB" w:rsidP="008F37F4">
            <w:r>
              <w:t>eTable 10</w:t>
            </w:r>
          </w:p>
        </w:tc>
        <w:tc>
          <w:tcPr>
            <w:tcW w:w="4320" w:type="dxa"/>
          </w:tcPr>
          <w:p w14:paraId="5034A159" w14:textId="77777777" w:rsidR="00827EBB" w:rsidRDefault="00827EBB" w:rsidP="008F37F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eICU-CRD Fine-Gray subdistribution hazards for RRT (death as competing risk), by phenotype</w:t>
            </w:r>
          </w:p>
        </w:tc>
      </w:tr>
      <w:tr w:rsidR="00827EBB" w14:paraId="4CA05365" w14:textId="77777777" w:rsidTr="008F37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CE2E041" w14:textId="77777777" w:rsidR="00827EBB" w:rsidRDefault="00827EBB" w:rsidP="008F37F4">
            <w:r>
              <w:t>eTable 11</w:t>
            </w:r>
          </w:p>
        </w:tc>
        <w:tc>
          <w:tcPr>
            <w:tcW w:w="4320" w:type="dxa"/>
          </w:tcPr>
          <w:p w14:paraId="36C20757" w14:textId="77777777" w:rsidR="00827EBB" w:rsidRDefault="00827EBB" w:rsidP="008F37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Diabetes-stratified phenotype–outcome associations (AKI progression OR and 28-day </w:t>
            </w:r>
            <w:r>
              <w:lastRenderedPageBreak/>
              <w:t>mortality HR) by phenotype and diabetes status</w:t>
            </w:r>
          </w:p>
        </w:tc>
      </w:tr>
      <w:tr w:rsidR="00827EBB" w14:paraId="64F15AA0" w14:textId="77777777" w:rsidTr="008F37F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DAC2BC6" w14:textId="77777777" w:rsidR="00827EBB" w:rsidRDefault="00827EBB" w:rsidP="008F37F4">
            <w:r>
              <w:lastRenderedPageBreak/>
              <w:t>eFigure 1</w:t>
            </w:r>
          </w:p>
        </w:tc>
        <w:tc>
          <w:tcPr>
            <w:tcW w:w="4320" w:type="dxa"/>
          </w:tcPr>
          <w:p w14:paraId="11181BDB" w14:textId="77777777" w:rsidR="00827EBB" w:rsidRDefault="00827EBB" w:rsidP="008F37F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GBTM-like sensitivity analysis for cluster stability</w:t>
            </w:r>
          </w:p>
        </w:tc>
      </w:tr>
      <w:tr w:rsidR="00827EBB" w14:paraId="2A31799F" w14:textId="77777777" w:rsidTr="008F37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1A2EA390" w14:textId="77777777" w:rsidR="00827EBB" w:rsidRDefault="00827EBB" w:rsidP="008F37F4">
            <w:r>
              <w:t>eFigure 5</w:t>
            </w:r>
          </w:p>
        </w:tc>
        <w:tc>
          <w:tcPr>
            <w:tcW w:w="4320" w:type="dxa"/>
          </w:tcPr>
          <w:p w14:paraId="0A459352" w14:textId="77777777" w:rsidR="00827EBB" w:rsidRDefault="00827EBB" w:rsidP="008F37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STROBE cohort flow diagram (MIMIC-IV and eICU-CRD eligibility, trajectory assignment, causal complete-case)</w:t>
            </w:r>
          </w:p>
        </w:tc>
      </w:tr>
    </w:tbl>
    <w:p w14:paraId="47139184" w14:textId="77777777" w:rsidR="00827EBB" w:rsidRDefault="00827EBB" w:rsidP="00827EBB">
      <w:pPr>
        <w:pStyle w:val="Heading2"/>
      </w:pPr>
      <w:r>
        <w:t>Supplementary figures and tables</w:t>
      </w:r>
    </w:p>
    <w:p w14:paraId="54C25D1A" w14:textId="77777777" w:rsidR="00827EBB" w:rsidRDefault="00827EBB" w:rsidP="00827EBB">
      <w:r>
        <w:rPr>
          <w:b/>
        </w:rPr>
        <w:t>eFigure 1.</w:t>
      </w:r>
      <w:r>
        <w:t xml:space="preserve"> Robustness of glucose trajectory phenotyping: group-based trajectory modeling (GBTM) comparison and bootstrap adjusted Rand index (ARI), showing K=4 is selected in 100% of bootstrap resamples.</w:t>
      </w:r>
    </w:p>
    <w:p w14:paraId="3F7A9AB8" w14:textId="77777777" w:rsidR="00827EBB" w:rsidRDefault="00827EBB" w:rsidP="00827EBB">
      <w:r>
        <w:rPr>
          <w:b/>
        </w:rPr>
        <w:t>eFigure 2.</w:t>
      </w:r>
      <w:r>
        <w:t xml:space="preserve"> Dynamic-prediction external validation in eICU-CRD: time-dependent AUROC of the landmark/joint-model risk updater using longitudinal glucose measurements.</w:t>
      </w:r>
    </w:p>
    <w:p w14:paraId="5D8E4A60" w14:textId="77777777" w:rsidR="00827EBB" w:rsidRDefault="00827EBB" w:rsidP="00827EBB">
      <w:r>
        <w:rPr>
          <w:b/>
        </w:rPr>
        <w:t>eFigure 3.</w:t>
      </w:r>
      <w:r>
        <w:t xml:space="preserve"> Surrogate-endpoint evaluation framework (FDA/Prentice criteria) assessing whether AKI progression qualifies as a valid surrogate for mortality.</w:t>
      </w:r>
    </w:p>
    <w:p w14:paraId="36C8344B" w14:textId="77777777" w:rsidR="00827EBB" w:rsidRDefault="00827EBB" w:rsidP="00827EBB">
      <w:r>
        <w:rPr>
          <w:b/>
        </w:rPr>
        <w:t>eFigure 4.</w:t>
      </w:r>
      <w:r>
        <w:t xml:space="preserve"> Between-hospital heterogeneity in eICU-CRD: per-hospital hazard ratios for any high-glucose trajectory (P1 high-decreasing or P2 high-sustained) versus the low-stable (P0) phenotype contrast, with I² quantification.</w:t>
      </w:r>
    </w:p>
    <w:p w14:paraId="398AFEE8" w14:textId="77777777" w:rsidR="00827EBB" w:rsidRDefault="00827EBB" w:rsidP="00827EBB">
      <w:r>
        <w:rPr>
          <w:b/>
        </w:rPr>
        <w:t>eFigure 5.</w:t>
      </w:r>
      <w:r>
        <w:t xml:space="preserve"> STROBE cohort flow diagram: MIMIC-IV and eICU-CRD eligibility, glucose-trajectory assignment (≥3 measures/72 h), and causal complete-case inclusion.</w:t>
      </w:r>
    </w:p>
    <w:p w14:paraId="2461E612" w14:textId="77777777" w:rsidR="00827EBB" w:rsidRDefault="00827EBB" w:rsidP="00827EBB">
      <w:r>
        <w:rPr>
          <w:b/>
        </w:rPr>
        <w:t>eTable 1.</w:t>
      </w:r>
      <w:r>
        <w:t xml:space="preserve"> eICU-CRD TMLE/AIPTW estimates of the phenotype→AKI-progression effect with E-values (phenotype-aligned).</w:t>
      </w:r>
    </w:p>
    <w:p w14:paraId="5AC40792" w14:textId="77777777" w:rsidR="00827EBB" w:rsidRDefault="00827EBB" w:rsidP="00827EBB">
      <w:r>
        <w:rPr>
          <w:b/>
        </w:rPr>
        <w:t>eTable 2.</w:t>
      </w:r>
      <w:r>
        <w:t xml:space="preserve"> MIMIC-IV Fine-Gray subdistribution hazards for AKI progression (death as competing risk), by phenotype.</w:t>
      </w:r>
    </w:p>
    <w:p w14:paraId="2D634D5F" w14:textId="77777777" w:rsidR="00827EBB" w:rsidRDefault="00827EBB" w:rsidP="00827EBB">
      <w:r>
        <w:rPr>
          <w:b/>
        </w:rPr>
        <w:t>eTable 3.</w:t>
      </w:r>
      <w:r>
        <w:t xml:space="preserve"> MIMIC-IV Fine-Gray subdistribution hazards for renal replacement therapy (RRT; death as competing risk), by phenotype.</w:t>
      </w:r>
    </w:p>
    <w:p w14:paraId="559C0D7A" w14:textId="77777777" w:rsidR="00827EBB" w:rsidRDefault="00827EBB" w:rsidP="00827EBB">
      <w:r>
        <w:rPr>
          <w:b/>
        </w:rPr>
        <w:t>eTable 4.</w:t>
      </w:r>
      <w:r>
        <w:t xml:space="preserve"> eICU-CRD external validation: time-dependent AUROC and hazard ratios for dynamic prediction.</w:t>
      </w:r>
    </w:p>
    <w:p w14:paraId="5EBDE499" w14:textId="77777777" w:rsidR="00827EBB" w:rsidRDefault="00827EBB" w:rsidP="00827EBB">
      <w:r>
        <w:rPr>
          <w:b/>
        </w:rPr>
        <w:t>eTable 5.</w:t>
      </w:r>
      <w:r>
        <w:t xml:space="preserve"> Surrogate-endpoint evaluation: Prentice criteria C1–C3 and proportion of treatment effect explained (PTE).</w:t>
      </w:r>
    </w:p>
    <w:p w14:paraId="35F7B546" w14:textId="77777777" w:rsidR="00827EBB" w:rsidRDefault="00827EBB" w:rsidP="00827EBB">
      <w:r>
        <w:rPr>
          <w:b/>
        </w:rPr>
        <w:t>eTable 6.</w:t>
      </w:r>
      <w:r>
        <w:t xml:space="preserve"> Clustering stability: GBTM versus K-means adjusted Rand index.</w:t>
      </w:r>
    </w:p>
    <w:p w14:paraId="7AF20349" w14:textId="77777777" w:rsidR="00827EBB" w:rsidRDefault="00827EBB" w:rsidP="00827EBB">
      <w:r>
        <w:rPr>
          <w:b/>
        </w:rPr>
        <w:lastRenderedPageBreak/>
        <w:t>eTable 7.</w:t>
      </w:r>
      <w:r>
        <w:t xml:space="preserve"> Bootstrap stability metrics for phenotype assignment and effect estimates.</w:t>
      </w:r>
    </w:p>
    <w:p w14:paraId="317504F3" w14:textId="77777777" w:rsidR="00827EBB" w:rsidRDefault="00827EBB" w:rsidP="00827EBB">
      <w:r>
        <w:rPr>
          <w:b/>
        </w:rPr>
        <w:t>eTable 8.</w:t>
      </w:r>
      <w:r>
        <w:t xml:space="preserve"> Transportability analysis: g-computation estimate of the discovery-to-target shift.</w:t>
      </w:r>
    </w:p>
    <w:p w14:paraId="714BBAD0" w14:textId="77777777" w:rsidR="00827EBB" w:rsidRDefault="00827EBB" w:rsidP="00827EBB">
      <w:r>
        <w:rPr>
          <w:b/>
        </w:rPr>
        <w:t>eTable 9.</w:t>
      </w:r>
      <w:r>
        <w:t xml:space="preserve"> eICU-CRD Fine-Gray subdistribution hazards for AKI progression (death as competing risk), by phenotype.</w:t>
      </w:r>
    </w:p>
    <w:p w14:paraId="014AA3EB" w14:textId="77777777" w:rsidR="00827EBB" w:rsidRDefault="00827EBB" w:rsidP="00827EBB">
      <w:r>
        <w:rPr>
          <w:b/>
        </w:rPr>
        <w:t>eTable 10.</w:t>
      </w:r>
      <w:r>
        <w:t xml:space="preserve"> eICU-CRD Fine-Gray subdistribution hazards for renal replacement therapy (RRT; death as competing risk), by phenotype.</w:t>
      </w:r>
    </w:p>
    <w:p w14:paraId="277F26A5" w14:textId="77777777" w:rsidR="00827EBB" w:rsidRDefault="00827EBB" w:rsidP="00827EBB">
      <w:r>
        <w:rPr>
          <w:b/>
        </w:rPr>
        <w:t>eTable 11.</w:t>
      </w:r>
      <w:r>
        <w:t xml:space="preserve"> Diabetes-stratified phenotype–outcome associations: AKI progression (OR) and 28-day mortality (HR) by phenotype and diabetes status.</w:t>
      </w:r>
    </w:p>
    <w:p w14:paraId="16904A25" w14:textId="77777777" w:rsidR="00DE6AE2" w:rsidRDefault="00DE6AE2"/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EBB"/>
    <w:rsid w:val="00195413"/>
    <w:rsid w:val="003A03A7"/>
    <w:rsid w:val="003D0186"/>
    <w:rsid w:val="007278E4"/>
    <w:rsid w:val="00827EBB"/>
    <w:rsid w:val="00A3738C"/>
    <w:rsid w:val="00AF5C91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282AE"/>
  <w15:chartTrackingRefBased/>
  <w15:docId w15:val="{6BB82DB9-9B7A-4393-9292-47249B7A1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EBB"/>
    <w:pPr>
      <w:spacing w:after="200" w:line="276" w:lineRule="auto"/>
    </w:pPr>
    <w:rPr>
      <w:rFonts w:ascii="Calibri" w:eastAsiaTheme="minorEastAsia" w:hAnsi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7EB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7EB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7EB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7EB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7EB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7EB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7EB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7EB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7EB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E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27E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7E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7E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7E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7E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7E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7E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7E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E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27E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EB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27E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EBB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27E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EBB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27E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E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E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EBB"/>
    <w:rPr>
      <w:b/>
      <w:bCs/>
      <w:smallCaps/>
      <w:color w:val="0F4761" w:themeColor="accent1" w:themeShade="BF"/>
      <w:spacing w:val="5"/>
    </w:rPr>
  </w:style>
  <w:style w:type="table" w:styleId="LightGrid-Accent1">
    <w:name w:val="Light Grid Accent 1"/>
    <w:basedOn w:val="TableNormal"/>
    <w:uiPriority w:val="62"/>
    <w:rsid w:val="00827EB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524</Words>
  <Characters>2987</Characters>
  <Application>Microsoft Office Word</Application>
  <DocSecurity>0</DocSecurity>
  <Lines>24</Lines>
  <Paragraphs>7</Paragraphs>
  <ScaleCrop>false</ScaleCrop>
  <Company>Springer Nature</Company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2026-09-16T14:21:00Z</dcterms:created>
  <dcterms:modified xsi:type="dcterms:W3CDTF">2026-09-16T14:22:00Z</dcterms:modified>
</cp:coreProperties>
</file>