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087883" w14:textId="77777777" w:rsidR="007C5F76" w:rsidRDefault="00000000">
      <w:pPr>
        <w:spacing w:after="200"/>
      </w:pPr>
      <w:r>
        <w:rPr>
          <w:b/>
          <w:bCs/>
          <w:sz w:val="30"/>
          <w:szCs w:val="30"/>
        </w:rPr>
        <w:t>Frailty as a predictor of outcome in non-invasive respiratory support for acute respiratory failure: a multicentre study</w:t>
      </w:r>
    </w:p>
    <w:p w14:paraId="4830D7B2" w14:textId="77777777" w:rsidR="007C5F76" w:rsidRDefault="00000000">
      <w:pPr>
        <w:pStyle w:val="Titolo1"/>
        <w:spacing w:before="300" w:after="140"/>
      </w:pPr>
      <w:r>
        <w:rPr>
          <w:b/>
          <w:bCs/>
          <w:color w:val="000000"/>
          <w:sz w:val="28"/>
          <w:szCs w:val="28"/>
        </w:rPr>
        <w:t>Additional file 1 — Supplementary material</w:t>
      </w:r>
    </w:p>
    <w:p w14:paraId="14CFA75A" w14:textId="77777777" w:rsidR="007C5F76" w:rsidRDefault="00000000">
      <w:pPr>
        <w:spacing w:after="160" w:line="276" w:lineRule="auto"/>
      </w:pPr>
      <w:r>
        <w:rPr>
          <w:b/>
          <w:bCs/>
        </w:rPr>
        <w:t>Table S1. Observed outcome, frailty and the model's use of age, by quartile of age</w:t>
      </w:r>
    </w:p>
    <w:tbl>
      <w:tblPr>
        <w:tblW w:w="9026" w:type="dxa"/>
        <w:tblBorders>
          <w:top w:val="single" w:sz="6" w:space="0" w:color="000000"/>
          <w:bottom w:val="single" w:sz="6" w:space="0" w:color="000000"/>
          <w:insideH w:val="single" w:sz="2" w:space="0" w:color="BFBFBF"/>
        </w:tblBorders>
        <w:tblCellMar>
          <w:left w:w="10" w:type="dxa"/>
          <w:right w:w="10" w:type="dxa"/>
        </w:tblCellMar>
        <w:tblLook w:val="04A0" w:firstRow="1" w:lastRow="0" w:firstColumn="1" w:lastColumn="0" w:noHBand="0" w:noVBand="1"/>
      </w:tblPr>
      <w:tblGrid>
        <w:gridCol w:w="1500"/>
        <w:gridCol w:w="800"/>
        <w:gridCol w:w="1600"/>
        <w:gridCol w:w="1800"/>
        <w:gridCol w:w="1600"/>
        <w:gridCol w:w="1726"/>
      </w:tblGrid>
      <w:tr w:rsidR="007C5F76" w14:paraId="70B6C35B" w14:textId="77777777">
        <w:trPr>
          <w:tblHeader/>
        </w:trPr>
        <w:tc>
          <w:tcPr>
            <w:tcW w:w="1500" w:type="dxa"/>
            <w:shd w:val="clear" w:color="auto" w:fill="EFEFEF"/>
            <w:tcMar>
              <w:top w:w="60" w:type="dxa"/>
              <w:left w:w="90" w:type="dxa"/>
              <w:bottom w:w="60" w:type="dxa"/>
              <w:right w:w="90" w:type="dxa"/>
            </w:tcMar>
          </w:tcPr>
          <w:p w14:paraId="7D53D972" w14:textId="77777777" w:rsidR="007C5F76" w:rsidRDefault="00000000">
            <w:r>
              <w:rPr>
                <w:b/>
                <w:bCs/>
                <w:sz w:val="18"/>
                <w:szCs w:val="18"/>
              </w:rPr>
              <w:t>Age quartile</w:t>
            </w:r>
          </w:p>
        </w:tc>
        <w:tc>
          <w:tcPr>
            <w:tcW w:w="800" w:type="dxa"/>
            <w:shd w:val="clear" w:color="auto" w:fill="EFEFEF"/>
            <w:tcMar>
              <w:top w:w="60" w:type="dxa"/>
              <w:left w:w="90" w:type="dxa"/>
              <w:bottom w:w="60" w:type="dxa"/>
              <w:right w:w="90" w:type="dxa"/>
            </w:tcMar>
          </w:tcPr>
          <w:p w14:paraId="14C9DBA2" w14:textId="77777777" w:rsidR="007C5F76" w:rsidRDefault="00000000">
            <w:pPr>
              <w:jc w:val="center"/>
            </w:pPr>
            <w:r>
              <w:rPr>
                <w:b/>
                <w:bCs/>
                <w:sz w:val="18"/>
                <w:szCs w:val="18"/>
              </w:rPr>
              <w:t>n</w:t>
            </w:r>
          </w:p>
        </w:tc>
        <w:tc>
          <w:tcPr>
            <w:tcW w:w="1600" w:type="dxa"/>
            <w:shd w:val="clear" w:color="auto" w:fill="EFEFEF"/>
            <w:tcMar>
              <w:top w:w="60" w:type="dxa"/>
              <w:left w:w="90" w:type="dxa"/>
              <w:bottom w:w="60" w:type="dxa"/>
              <w:right w:w="90" w:type="dxa"/>
            </w:tcMar>
          </w:tcPr>
          <w:p w14:paraId="1EFB9B03" w14:textId="77777777" w:rsidR="007C5F76" w:rsidRDefault="00000000">
            <w:pPr>
              <w:jc w:val="center"/>
            </w:pPr>
            <w:r>
              <w:rPr>
                <w:b/>
                <w:bCs/>
                <w:sz w:val="18"/>
                <w:szCs w:val="18"/>
              </w:rPr>
              <w:t>Age, years</w:t>
            </w:r>
          </w:p>
        </w:tc>
        <w:tc>
          <w:tcPr>
            <w:tcW w:w="1800" w:type="dxa"/>
            <w:shd w:val="clear" w:color="auto" w:fill="EFEFEF"/>
            <w:tcMar>
              <w:top w:w="60" w:type="dxa"/>
              <w:left w:w="90" w:type="dxa"/>
              <w:bottom w:w="60" w:type="dxa"/>
              <w:right w:w="90" w:type="dxa"/>
            </w:tcMar>
          </w:tcPr>
          <w:p w14:paraId="35768EAB" w14:textId="77777777" w:rsidR="007C5F76" w:rsidRDefault="00000000">
            <w:pPr>
              <w:jc w:val="center"/>
            </w:pPr>
            <w:r>
              <w:rPr>
                <w:b/>
                <w:bCs/>
                <w:sz w:val="18"/>
                <w:szCs w:val="18"/>
              </w:rPr>
              <w:t>Observed NIRS failure rate</w:t>
            </w:r>
          </w:p>
        </w:tc>
        <w:tc>
          <w:tcPr>
            <w:tcW w:w="1600" w:type="dxa"/>
            <w:shd w:val="clear" w:color="auto" w:fill="EFEFEF"/>
            <w:tcMar>
              <w:top w:w="60" w:type="dxa"/>
              <w:left w:w="90" w:type="dxa"/>
              <w:bottom w:w="60" w:type="dxa"/>
              <w:right w:w="90" w:type="dxa"/>
            </w:tcMar>
          </w:tcPr>
          <w:p w14:paraId="204C0207" w14:textId="77777777" w:rsidR="007C5F76" w:rsidRDefault="00000000">
            <w:pPr>
              <w:jc w:val="center"/>
            </w:pPr>
            <w:r>
              <w:rPr>
                <w:b/>
                <w:bCs/>
                <w:sz w:val="18"/>
                <w:szCs w:val="18"/>
              </w:rPr>
              <w:t>Clinical Frailty Scale</w:t>
            </w:r>
          </w:p>
        </w:tc>
        <w:tc>
          <w:tcPr>
            <w:tcW w:w="1726" w:type="dxa"/>
            <w:shd w:val="clear" w:color="auto" w:fill="EFEFEF"/>
            <w:tcMar>
              <w:top w:w="60" w:type="dxa"/>
              <w:left w:w="90" w:type="dxa"/>
              <w:bottom w:w="60" w:type="dxa"/>
              <w:right w:w="90" w:type="dxa"/>
            </w:tcMar>
          </w:tcPr>
          <w:p w14:paraId="1EF67A19" w14:textId="77777777" w:rsidR="007C5F76" w:rsidRDefault="00000000">
            <w:pPr>
              <w:jc w:val="center"/>
            </w:pPr>
            <w:r>
              <w:rPr>
                <w:b/>
                <w:bCs/>
                <w:sz w:val="18"/>
                <w:szCs w:val="18"/>
              </w:rPr>
              <w:t>Mean SHAP contribution of age†</w:t>
            </w:r>
          </w:p>
        </w:tc>
      </w:tr>
      <w:tr w:rsidR="007C5F76" w14:paraId="7D1B9F5D" w14:textId="77777777">
        <w:tc>
          <w:tcPr>
            <w:tcW w:w="1500" w:type="dxa"/>
            <w:tcMar>
              <w:top w:w="60" w:type="dxa"/>
              <w:left w:w="90" w:type="dxa"/>
              <w:bottom w:w="60" w:type="dxa"/>
              <w:right w:w="90" w:type="dxa"/>
            </w:tcMar>
          </w:tcPr>
          <w:p w14:paraId="2E7175B1" w14:textId="77777777" w:rsidR="007C5F76" w:rsidRDefault="00000000">
            <w:r>
              <w:rPr>
                <w:sz w:val="18"/>
                <w:szCs w:val="18"/>
              </w:rPr>
              <w:t>Q1 (youngest)</w:t>
            </w:r>
          </w:p>
        </w:tc>
        <w:tc>
          <w:tcPr>
            <w:tcW w:w="800" w:type="dxa"/>
            <w:tcMar>
              <w:top w:w="60" w:type="dxa"/>
              <w:left w:w="90" w:type="dxa"/>
              <w:bottom w:w="60" w:type="dxa"/>
              <w:right w:w="90" w:type="dxa"/>
            </w:tcMar>
          </w:tcPr>
          <w:p w14:paraId="51BCD5E6" w14:textId="77777777" w:rsidR="007C5F76" w:rsidRDefault="00000000">
            <w:pPr>
              <w:jc w:val="center"/>
            </w:pPr>
            <w:r>
              <w:rPr>
                <w:sz w:val="18"/>
                <w:szCs w:val="18"/>
              </w:rPr>
              <w:t>89</w:t>
            </w:r>
          </w:p>
        </w:tc>
        <w:tc>
          <w:tcPr>
            <w:tcW w:w="1600" w:type="dxa"/>
            <w:tcMar>
              <w:top w:w="60" w:type="dxa"/>
              <w:left w:w="90" w:type="dxa"/>
              <w:bottom w:w="60" w:type="dxa"/>
              <w:right w:w="90" w:type="dxa"/>
            </w:tcMar>
          </w:tcPr>
          <w:p w14:paraId="5466C726" w14:textId="77777777" w:rsidR="007C5F76" w:rsidRDefault="00000000">
            <w:pPr>
              <w:jc w:val="center"/>
            </w:pPr>
            <w:r>
              <w:rPr>
                <w:sz w:val="18"/>
                <w:szCs w:val="18"/>
              </w:rPr>
              <w:t>50.9 ± 11.0</w:t>
            </w:r>
          </w:p>
        </w:tc>
        <w:tc>
          <w:tcPr>
            <w:tcW w:w="1800" w:type="dxa"/>
            <w:tcMar>
              <w:top w:w="60" w:type="dxa"/>
              <w:left w:w="90" w:type="dxa"/>
              <w:bottom w:w="60" w:type="dxa"/>
              <w:right w:w="90" w:type="dxa"/>
            </w:tcMar>
          </w:tcPr>
          <w:p w14:paraId="05F2DA8B" w14:textId="77777777" w:rsidR="007C5F76" w:rsidRDefault="00000000">
            <w:pPr>
              <w:jc w:val="center"/>
            </w:pPr>
            <w:r>
              <w:rPr>
                <w:sz w:val="18"/>
                <w:szCs w:val="18"/>
              </w:rPr>
              <w:t>40.4%</w:t>
            </w:r>
          </w:p>
        </w:tc>
        <w:tc>
          <w:tcPr>
            <w:tcW w:w="1600" w:type="dxa"/>
            <w:tcMar>
              <w:top w:w="60" w:type="dxa"/>
              <w:left w:w="90" w:type="dxa"/>
              <w:bottom w:w="60" w:type="dxa"/>
              <w:right w:w="90" w:type="dxa"/>
            </w:tcMar>
          </w:tcPr>
          <w:p w14:paraId="50B6C2E3" w14:textId="77777777" w:rsidR="007C5F76" w:rsidRDefault="00000000">
            <w:pPr>
              <w:jc w:val="center"/>
            </w:pPr>
            <w:r>
              <w:rPr>
                <w:sz w:val="18"/>
                <w:szCs w:val="18"/>
              </w:rPr>
              <w:t>2.8 ± 1.8</w:t>
            </w:r>
          </w:p>
        </w:tc>
        <w:tc>
          <w:tcPr>
            <w:tcW w:w="1726" w:type="dxa"/>
            <w:tcMar>
              <w:top w:w="60" w:type="dxa"/>
              <w:left w:w="90" w:type="dxa"/>
              <w:bottom w:w="60" w:type="dxa"/>
              <w:right w:w="90" w:type="dxa"/>
            </w:tcMar>
          </w:tcPr>
          <w:p w14:paraId="0E5F67BE" w14:textId="77777777" w:rsidR="007C5F76" w:rsidRDefault="00000000">
            <w:pPr>
              <w:jc w:val="center"/>
            </w:pPr>
            <w:r>
              <w:rPr>
                <w:sz w:val="18"/>
                <w:szCs w:val="18"/>
              </w:rPr>
              <w:t>+0.106</w:t>
            </w:r>
          </w:p>
        </w:tc>
      </w:tr>
      <w:tr w:rsidR="007C5F76" w14:paraId="72C84ABC" w14:textId="77777777">
        <w:tc>
          <w:tcPr>
            <w:tcW w:w="1500" w:type="dxa"/>
            <w:tcMar>
              <w:top w:w="60" w:type="dxa"/>
              <w:left w:w="90" w:type="dxa"/>
              <w:bottom w:w="60" w:type="dxa"/>
              <w:right w:w="90" w:type="dxa"/>
            </w:tcMar>
          </w:tcPr>
          <w:p w14:paraId="27BDAD98" w14:textId="77777777" w:rsidR="007C5F76" w:rsidRDefault="00000000">
            <w:r>
              <w:rPr>
                <w:sz w:val="18"/>
                <w:szCs w:val="18"/>
              </w:rPr>
              <w:t>Q2</w:t>
            </w:r>
          </w:p>
        </w:tc>
        <w:tc>
          <w:tcPr>
            <w:tcW w:w="800" w:type="dxa"/>
            <w:tcMar>
              <w:top w:w="60" w:type="dxa"/>
              <w:left w:w="90" w:type="dxa"/>
              <w:bottom w:w="60" w:type="dxa"/>
              <w:right w:w="90" w:type="dxa"/>
            </w:tcMar>
          </w:tcPr>
          <w:p w14:paraId="32B96EF8" w14:textId="77777777" w:rsidR="007C5F76" w:rsidRDefault="00000000">
            <w:pPr>
              <w:jc w:val="center"/>
            </w:pPr>
            <w:r>
              <w:rPr>
                <w:sz w:val="18"/>
                <w:szCs w:val="18"/>
              </w:rPr>
              <w:t>89</w:t>
            </w:r>
          </w:p>
        </w:tc>
        <w:tc>
          <w:tcPr>
            <w:tcW w:w="1600" w:type="dxa"/>
            <w:tcMar>
              <w:top w:w="60" w:type="dxa"/>
              <w:left w:w="90" w:type="dxa"/>
              <w:bottom w:w="60" w:type="dxa"/>
              <w:right w:w="90" w:type="dxa"/>
            </w:tcMar>
          </w:tcPr>
          <w:p w14:paraId="0EE2F644" w14:textId="77777777" w:rsidR="007C5F76" w:rsidRDefault="00000000">
            <w:pPr>
              <w:jc w:val="center"/>
            </w:pPr>
            <w:r>
              <w:rPr>
                <w:sz w:val="18"/>
                <w:szCs w:val="18"/>
              </w:rPr>
              <w:t>66.6 ± 2.1</w:t>
            </w:r>
          </w:p>
        </w:tc>
        <w:tc>
          <w:tcPr>
            <w:tcW w:w="1800" w:type="dxa"/>
            <w:tcMar>
              <w:top w:w="60" w:type="dxa"/>
              <w:left w:w="90" w:type="dxa"/>
              <w:bottom w:w="60" w:type="dxa"/>
              <w:right w:w="90" w:type="dxa"/>
            </w:tcMar>
          </w:tcPr>
          <w:p w14:paraId="340E3DD6" w14:textId="77777777" w:rsidR="007C5F76" w:rsidRDefault="00000000">
            <w:pPr>
              <w:jc w:val="center"/>
            </w:pPr>
            <w:r>
              <w:rPr>
                <w:sz w:val="18"/>
                <w:szCs w:val="18"/>
              </w:rPr>
              <w:t>41.6%</w:t>
            </w:r>
          </w:p>
        </w:tc>
        <w:tc>
          <w:tcPr>
            <w:tcW w:w="1600" w:type="dxa"/>
            <w:tcMar>
              <w:top w:w="60" w:type="dxa"/>
              <w:left w:w="90" w:type="dxa"/>
              <w:bottom w:w="60" w:type="dxa"/>
              <w:right w:w="90" w:type="dxa"/>
            </w:tcMar>
          </w:tcPr>
          <w:p w14:paraId="2166F7E3" w14:textId="77777777" w:rsidR="007C5F76" w:rsidRDefault="00000000">
            <w:pPr>
              <w:jc w:val="center"/>
            </w:pPr>
            <w:r>
              <w:rPr>
                <w:sz w:val="18"/>
                <w:szCs w:val="18"/>
              </w:rPr>
              <w:t>3.6 ± 1.8</w:t>
            </w:r>
          </w:p>
        </w:tc>
        <w:tc>
          <w:tcPr>
            <w:tcW w:w="1726" w:type="dxa"/>
            <w:tcMar>
              <w:top w:w="60" w:type="dxa"/>
              <w:left w:w="90" w:type="dxa"/>
              <w:bottom w:w="60" w:type="dxa"/>
              <w:right w:w="90" w:type="dxa"/>
            </w:tcMar>
          </w:tcPr>
          <w:p w14:paraId="06407B56" w14:textId="77777777" w:rsidR="007C5F76" w:rsidRDefault="00000000">
            <w:pPr>
              <w:jc w:val="center"/>
            </w:pPr>
            <w:r>
              <w:rPr>
                <w:sz w:val="18"/>
                <w:szCs w:val="18"/>
              </w:rPr>
              <w:t>+0.019</w:t>
            </w:r>
          </w:p>
        </w:tc>
      </w:tr>
      <w:tr w:rsidR="007C5F76" w14:paraId="41A89C25" w14:textId="77777777">
        <w:tc>
          <w:tcPr>
            <w:tcW w:w="1500" w:type="dxa"/>
            <w:tcMar>
              <w:top w:w="60" w:type="dxa"/>
              <w:left w:w="90" w:type="dxa"/>
              <w:bottom w:w="60" w:type="dxa"/>
              <w:right w:w="90" w:type="dxa"/>
            </w:tcMar>
          </w:tcPr>
          <w:p w14:paraId="08E80CDB" w14:textId="77777777" w:rsidR="007C5F76" w:rsidRDefault="00000000">
            <w:r>
              <w:rPr>
                <w:sz w:val="18"/>
                <w:szCs w:val="18"/>
              </w:rPr>
              <w:t>Q3</w:t>
            </w:r>
          </w:p>
        </w:tc>
        <w:tc>
          <w:tcPr>
            <w:tcW w:w="800" w:type="dxa"/>
            <w:tcMar>
              <w:top w:w="60" w:type="dxa"/>
              <w:left w:w="90" w:type="dxa"/>
              <w:bottom w:w="60" w:type="dxa"/>
              <w:right w:w="90" w:type="dxa"/>
            </w:tcMar>
          </w:tcPr>
          <w:p w14:paraId="4941D917" w14:textId="77777777" w:rsidR="007C5F76" w:rsidRDefault="00000000">
            <w:pPr>
              <w:jc w:val="center"/>
            </w:pPr>
            <w:r>
              <w:rPr>
                <w:sz w:val="18"/>
                <w:szCs w:val="18"/>
              </w:rPr>
              <w:t>100</w:t>
            </w:r>
          </w:p>
        </w:tc>
        <w:tc>
          <w:tcPr>
            <w:tcW w:w="1600" w:type="dxa"/>
            <w:tcMar>
              <w:top w:w="60" w:type="dxa"/>
              <w:left w:w="90" w:type="dxa"/>
              <w:bottom w:w="60" w:type="dxa"/>
              <w:right w:w="90" w:type="dxa"/>
            </w:tcMar>
          </w:tcPr>
          <w:p w14:paraId="7E3235A5" w14:textId="77777777" w:rsidR="007C5F76" w:rsidRDefault="00000000">
            <w:pPr>
              <w:jc w:val="center"/>
            </w:pPr>
            <w:r>
              <w:rPr>
                <w:sz w:val="18"/>
                <w:szCs w:val="18"/>
              </w:rPr>
              <w:t>74.5 ± 2.7</w:t>
            </w:r>
          </w:p>
        </w:tc>
        <w:tc>
          <w:tcPr>
            <w:tcW w:w="1800" w:type="dxa"/>
            <w:tcMar>
              <w:top w:w="60" w:type="dxa"/>
              <w:left w:w="90" w:type="dxa"/>
              <w:bottom w:w="60" w:type="dxa"/>
              <w:right w:w="90" w:type="dxa"/>
            </w:tcMar>
          </w:tcPr>
          <w:p w14:paraId="67410987" w14:textId="77777777" w:rsidR="007C5F76" w:rsidRDefault="00000000">
            <w:pPr>
              <w:jc w:val="center"/>
            </w:pPr>
            <w:r>
              <w:rPr>
                <w:sz w:val="18"/>
                <w:szCs w:val="18"/>
              </w:rPr>
              <w:t>39.0%</w:t>
            </w:r>
          </w:p>
        </w:tc>
        <w:tc>
          <w:tcPr>
            <w:tcW w:w="1600" w:type="dxa"/>
            <w:tcMar>
              <w:top w:w="60" w:type="dxa"/>
              <w:left w:w="90" w:type="dxa"/>
              <w:bottom w:w="60" w:type="dxa"/>
              <w:right w:w="90" w:type="dxa"/>
            </w:tcMar>
          </w:tcPr>
          <w:p w14:paraId="4517735C" w14:textId="77777777" w:rsidR="007C5F76" w:rsidRDefault="00000000">
            <w:pPr>
              <w:jc w:val="center"/>
            </w:pPr>
            <w:r>
              <w:rPr>
                <w:sz w:val="18"/>
                <w:szCs w:val="18"/>
              </w:rPr>
              <w:t>4.0 ± 1.6</w:t>
            </w:r>
          </w:p>
        </w:tc>
        <w:tc>
          <w:tcPr>
            <w:tcW w:w="1726" w:type="dxa"/>
            <w:tcMar>
              <w:top w:w="60" w:type="dxa"/>
              <w:left w:w="90" w:type="dxa"/>
              <w:bottom w:w="60" w:type="dxa"/>
              <w:right w:w="90" w:type="dxa"/>
            </w:tcMar>
          </w:tcPr>
          <w:p w14:paraId="2FB158CE" w14:textId="77777777" w:rsidR="007C5F76" w:rsidRDefault="00000000">
            <w:pPr>
              <w:jc w:val="center"/>
            </w:pPr>
            <w:r>
              <w:rPr>
                <w:sz w:val="18"/>
                <w:szCs w:val="18"/>
              </w:rPr>
              <w:t>-0.057</w:t>
            </w:r>
          </w:p>
        </w:tc>
      </w:tr>
      <w:tr w:rsidR="007C5F76" w14:paraId="06A5D10A" w14:textId="77777777">
        <w:tc>
          <w:tcPr>
            <w:tcW w:w="1500" w:type="dxa"/>
            <w:tcMar>
              <w:top w:w="60" w:type="dxa"/>
              <w:left w:w="90" w:type="dxa"/>
              <w:bottom w:w="60" w:type="dxa"/>
              <w:right w:w="90" w:type="dxa"/>
            </w:tcMar>
          </w:tcPr>
          <w:p w14:paraId="7C7B11F4" w14:textId="77777777" w:rsidR="007C5F76" w:rsidRDefault="00000000">
            <w:r>
              <w:rPr>
                <w:sz w:val="18"/>
                <w:szCs w:val="18"/>
              </w:rPr>
              <w:t>Q4 (oldest)</w:t>
            </w:r>
          </w:p>
        </w:tc>
        <w:tc>
          <w:tcPr>
            <w:tcW w:w="800" w:type="dxa"/>
            <w:tcMar>
              <w:top w:w="60" w:type="dxa"/>
              <w:left w:w="90" w:type="dxa"/>
              <w:bottom w:w="60" w:type="dxa"/>
              <w:right w:w="90" w:type="dxa"/>
            </w:tcMar>
          </w:tcPr>
          <w:p w14:paraId="186CA7AB" w14:textId="77777777" w:rsidR="007C5F76" w:rsidRDefault="00000000">
            <w:pPr>
              <w:jc w:val="center"/>
            </w:pPr>
            <w:r>
              <w:rPr>
                <w:sz w:val="18"/>
                <w:szCs w:val="18"/>
              </w:rPr>
              <w:t>63</w:t>
            </w:r>
          </w:p>
        </w:tc>
        <w:tc>
          <w:tcPr>
            <w:tcW w:w="1600" w:type="dxa"/>
            <w:tcMar>
              <w:top w:w="60" w:type="dxa"/>
              <w:left w:w="90" w:type="dxa"/>
              <w:bottom w:w="60" w:type="dxa"/>
              <w:right w:w="90" w:type="dxa"/>
            </w:tcMar>
          </w:tcPr>
          <w:p w14:paraId="1B68FF80" w14:textId="77777777" w:rsidR="007C5F76" w:rsidRDefault="00000000">
            <w:pPr>
              <w:jc w:val="center"/>
            </w:pPr>
            <w:r>
              <w:rPr>
                <w:sz w:val="18"/>
                <w:szCs w:val="18"/>
              </w:rPr>
              <w:t>81.9 ± 3.1</w:t>
            </w:r>
          </w:p>
        </w:tc>
        <w:tc>
          <w:tcPr>
            <w:tcW w:w="1800" w:type="dxa"/>
            <w:tcMar>
              <w:top w:w="60" w:type="dxa"/>
              <w:left w:w="90" w:type="dxa"/>
              <w:bottom w:w="60" w:type="dxa"/>
              <w:right w:w="90" w:type="dxa"/>
            </w:tcMar>
          </w:tcPr>
          <w:p w14:paraId="261E83B4" w14:textId="77777777" w:rsidR="007C5F76" w:rsidRDefault="00000000">
            <w:pPr>
              <w:jc w:val="center"/>
            </w:pPr>
            <w:r>
              <w:rPr>
                <w:sz w:val="18"/>
                <w:szCs w:val="18"/>
              </w:rPr>
              <w:t>39.7%</w:t>
            </w:r>
          </w:p>
        </w:tc>
        <w:tc>
          <w:tcPr>
            <w:tcW w:w="1600" w:type="dxa"/>
            <w:tcMar>
              <w:top w:w="60" w:type="dxa"/>
              <w:left w:w="90" w:type="dxa"/>
              <w:bottom w:w="60" w:type="dxa"/>
              <w:right w:w="90" w:type="dxa"/>
            </w:tcMar>
          </w:tcPr>
          <w:p w14:paraId="7BAF5EB0" w14:textId="77777777" w:rsidR="007C5F76" w:rsidRDefault="00000000">
            <w:pPr>
              <w:jc w:val="center"/>
            </w:pPr>
            <w:r>
              <w:rPr>
                <w:sz w:val="18"/>
                <w:szCs w:val="18"/>
              </w:rPr>
              <w:t>5.1 ± 1.5</w:t>
            </w:r>
          </w:p>
        </w:tc>
        <w:tc>
          <w:tcPr>
            <w:tcW w:w="1726" w:type="dxa"/>
            <w:tcMar>
              <w:top w:w="60" w:type="dxa"/>
              <w:left w:w="90" w:type="dxa"/>
              <w:bottom w:w="60" w:type="dxa"/>
              <w:right w:w="90" w:type="dxa"/>
            </w:tcMar>
          </w:tcPr>
          <w:p w14:paraId="11D07F06" w14:textId="77777777" w:rsidR="007C5F76" w:rsidRDefault="00000000">
            <w:pPr>
              <w:jc w:val="center"/>
            </w:pPr>
            <w:r>
              <w:rPr>
                <w:sz w:val="18"/>
                <w:szCs w:val="18"/>
              </w:rPr>
              <w:t>-0.126</w:t>
            </w:r>
          </w:p>
        </w:tc>
      </w:tr>
    </w:tbl>
    <w:p w14:paraId="22512787" w14:textId="77777777" w:rsidR="007C5F76" w:rsidRDefault="00000000">
      <w:pPr>
        <w:spacing w:after="40" w:line="276" w:lineRule="auto"/>
      </w:pPr>
      <w:r>
        <w:rPr>
          <w:sz w:val="18"/>
          <w:szCs w:val="18"/>
        </w:rPr>
        <w:t>Values are mean ± standard deviation unless otherwise stated.</w:t>
      </w:r>
    </w:p>
    <w:p w14:paraId="1E66370B" w14:textId="77777777" w:rsidR="007C5F76" w:rsidRDefault="00000000">
      <w:pPr>
        <w:spacing w:after="160" w:line="276" w:lineRule="auto"/>
      </w:pPr>
      <w:r>
        <w:rPr>
          <w:sz w:val="18"/>
          <w:szCs w:val="18"/>
        </w:rPr>
        <w:t>† SHAP contribution of the age feature in the TabPFN model including CFS, computed on held-out data within each cross-validation fold and averaged within the quartile. Positive values indicate that age pushed the prediction towards NIRS failure.</w:t>
      </w:r>
    </w:p>
    <w:p w14:paraId="525A6208" w14:textId="77777777" w:rsidR="007C5F76" w:rsidRDefault="00000000">
      <w:pPr>
        <w:spacing w:after="160" w:line="276" w:lineRule="auto"/>
      </w:pPr>
      <w:r>
        <w:t>The observed failure rate is essentially constant across the age range, while mean CFS rises by more than two points from the youngest to the oldest quartile. Age and CFS were moderately correlated (Pearson r = 0.45). Within a model that already contains frailty, older age is associated with a lower predicted probability of failure; possible explanations are discussed in the main text.</w:t>
      </w:r>
    </w:p>
    <w:p w14:paraId="706FC038" w14:textId="77777777" w:rsidR="007C5F76" w:rsidRDefault="00000000">
      <w:pPr>
        <w:spacing w:after="160" w:line="276" w:lineRule="auto"/>
      </w:pPr>
      <w:r>
        <w:rPr>
          <w:b/>
          <w:bCs/>
        </w:rPr>
        <w:t>Figure S1. Calibration of out-of-fold predicted probabilities</w:t>
      </w:r>
    </w:p>
    <w:p w14:paraId="0A2E1317" w14:textId="77777777" w:rsidR="007C5F76" w:rsidRDefault="00000000">
      <w:pPr>
        <w:spacing w:after="160" w:line="276" w:lineRule="auto"/>
      </w:pPr>
      <w:r>
        <w:t>Predicted probability of NIRS failure against observed failure rate, by quintile of predicted risk, using pooled out-of-fold predictions from repeated stratified 10-fold cross-validation (N=341, 50 partitions). (A) TabPFN with and without CFS. (B) XGBoost with and without CFS. Points are the mean across the 50 partitions and error bars their standard deviation; the dotted line is perfect calibration. Adding CFS lowered the Brier score in both frameworks (TabPFN 0.189 to 0.174, p=0.011; XGBoost 0.204 to 0.185, p=0.026).</w:t>
      </w:r>
    </w:p>
    <w:p w14:paraId="249F1EAB" w14:textId="77777777" w:rsidR="007C5F76" w:rsidRDefault="00000000">
      <w:pPr>
        <w:spacing w:before="160" w:after="120"/>
        <w:jc w:val="center"/>
      </w:pPr>
      <w:r>
        <w:rPr>
          <w:noProof/>
        </w:rPr>
        <w:drawing>
          <wp:inline distT="0" distB="0" distL="0" distR="0" wp14:anchorId="2E60846F" wp14:editId="47C56CF2">
            <wp:extent cx="5334000" cy="2466975"/>
            <wp:effectExtent l="0" t="0" r="0" b="0"/>
            <wp:docPr id="1236467063" name="Picture 1236467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334000" cy="2466975"/>
                    </a:xfrm>
                    <a:prstGeom prst="rect">
                      <a:avLst/>
                    </a:prstGeom>
                  </pic:spPr>
                </pic:pic>
              </a:graphicData>
            </a:graphic>
          </wp:inline>
        </w:drawing>
      </w:r>
    </w:p>
    <w:p w14:paraId="39552A86" w14:textId="77777777" w:rsidR="00F5505E" w:rsidRDefault="00F5505E">
      <w:pPr>
        <w:spacing w:after="160" w:line="276" w:lineRule="auto"/>
        <w:rPr>
          <w:b/>
          <w:bCs/>
        </w:rPr>
      </w:pPr>
    </w:p>
    <w:p w14:paraId="11290890" w14:textId="77777777" w:rsidR="00F5505E" w:rsidRDefault="00F5505E">
      <w:pPr>
        <w:spacing w:after="160" w:line="276" w:lineRule="auto"/>
        <w:rPr>
          <w:b/>
          <w:bCs/>
        </w:rPr>
      </w:pPr>
    </w:p>
    <w:p w14:paraId="4B928FAC" w14:textId="77777777" w:rsidR="00F5505E" w:rsidRDefault="00F5505E">
      <w:pPr>
        <w:spacing w:after="160" w:line="276" w:lineRule="auto"/>
        <w:rPr>
          <w:b/>
          <w:bCs/>
        </w:rPr>
      </w:pPr>
    </w:p>
    <w:p w14:paraId="6EF3E3E8" w14:textId="77777777" w:rsidR="00F5505E" w:rsidRDefault="00F5505E">
      <w:pPr>
        <w:spacing w:after="160" w:line="276" w:lineRule="auto"/>
        <w:rPr>
          <w:b/>
          <w:bCs/>
        </w:rPr>
      </w:pPr>
    </w:p>
    <w:p w14:paraId="07683A46" w14:textId="509E962C" w:rsidR="007C5F76" w:rsidRDefault="00000000">
      <w:pPr>
        <w:spacing w:after="160" w:line="276" w:lineRule="auto"/>
      </w:pPr>
      <w:r>
        <w:rPr>
          <w:b/>
          <w:bCs/>
        </w:rPr>
        <w:t>Figure S2. Performance metrics at a Youden-optimal classification threshold</w:t>
      </w:r>
    </w:p>
    <w:p w14:paraId="44905317" w14:textId="77777777" w:rsidR="007C5F76" w:rsidRDefault="00000000">
      <w:pPr>
        <w:spacing w:after="160" w:line="276" w:lineRule="auto"/>
      </w:pPr>
      <w:r>
        <w:t>All performance metrics for the five model configurations. Bars are means across all 500 cross-validation folds and error bars are standard deviations. Accuracy, balanced accuracy, sensitivity and specificity are computed at a Youden-optimal threshold selected on the pooled out-of-fold predictions of the other nine folds; AUC and Brier score are threshold-independent. Note the CFS-only model's specificity of 0.382 at the sensitivity required to flag a useful proportion of failures: a model using frailty alone cannot be operated at any clinically acceptable pair of values.</w:t>
      </w:r>
    </w:p>
    <w:p w14:paraId="6FD07404" w14:textId="77777777" w:rsidR="007C5F76" w:rsidRDefault="00000000">
      <w:pPr>
        <w:spacing w:before="160" w:after="120"/>
        <w:jc w:val="center"/>
      </w:pPr>
      <w:r>
        <w:rPr>
          <w:noProof/>
        </w:rPr>
        <w:drawing>
          <wp:inline distT="0" distB="0" distL="0" distR="0" wp14:anchorId="7BF1497E" wp14:editId="729D4ED9">
            <wp:extent cx="5334000" cy="2409825"/>
            <wp:effectExtent l="0" t="0" r="0" b="0"/>
            <wp:docPr id="2057981915" name="Picture 205798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334000" cy="2409825"/>
                    </a:xfrm>
                    <a:prstGeom prst="rect">
                      <a:avLst/>
                    </a:prstGeom>
                  </pic:spPr>
                </pic:pic>
              </a:graphicData>
            </a:graphic>
          </wp:inline>
        </w:drawing>
      </w:r>
    </w:p>
    <w:p w14:paraId="2AFFB56A" w14:textId="77777777" w:rsidR="007C5F76" w:rsidRDefault="00000000">
      <w:pPr>
        <w:pStyle w:val="Titolo2"/>
        <w:spacing w:before="220" w:after="110"/>
      </w:pPr>
      <w:r>
        <w:rPr>
          <w:b/>
          <w:bCs/>
          <w:color w:val="000000"/>
          <w:sz w:val="24"/>
          <w:szCs w:val="24"/>
        </w:rPr>
        <w:t>Supplementary methods note: model feature set</w:t>
      </w:r>
    </w:p>
    <w:p w14:paraId="2EDF7601" w14:textId="77777777" w:rsidR="007C5F76" w:rsidRDefault="00000000">
      <w:pPr>
        <w:spacing w:after="160" w:line="276" w:lineRule="auto"/>
      </w:pPr>
      <w:r>
        <w:t>The models used eight features when CFS was included and seven when it was not: Age, Clinical_Frailty_Scale (excluded in the "without CFS" configuration), RR_T0, RR_T1, RR_Delta, FiO2_T0, FiO2_T1 and FiO2_Delta. Arterial blood gas variables (PaO₂, PaCO₂, PaO₂/FiO₂) were recorded for the Modena cohort but not for the North Midlands cohort, and were excluded from all models; they are reported in Table 1 for cohort description only.</w:t>
      </w:r>
    </w:p>
    <w:p w14:paraId="4DBEDDAD" w14:textId="77777777" w:rsidR="007C5F76" w:rsidRDefault="00000000">
      <w:pPr>
        <w:spacing w:after="160" w:line="276" w:lineRule="auto"/>
      </w:pPr>
      <w:r>
        <w:t>Cross-validation used StratifiedKFold(n_splits=10, shuffle=True) repeated over 50 random seeds; within each partition the same fold assignment was applied to every model so that all comparisons are paired. TabPFN was used with 32 estimators and XGBoost with 100 trees, learning rate 0.1 and maximum depth 4; no hyperparameter tuning was performed.</w:t>
      </w:r>
    </w:p>
    <w:p w14:paraId="2E4B2378" w14:textId="77777777" w:rsidR="007C5F76" w:rsidRDefault="00000000">
      <w:pPr>
        <w:spacing w:after="160" w:line="276" w:lineRule="auto"/>
      </w:pPr>
      <w:r>
        <w:t>All code, aggregate result tables and figure-generating scripts are available at https://github.com/LukaszRegulski03/frailty-nirs-outcome.</w:t>
      </w:r>
    </w:p>
    <w:sectPr w:rsidR="007C5F76">
      <w:footerReference w:type="even" r:id="rId9"/>
      <w:footerReference w:type="default" r:id="rId1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E366A8" w14:textId="77777777" w:rsidR="00601389" w:rsidRDefault="00601389" w:rsidP="00C94505">
      <w:r>
        <w:separator/>
      </w:r>
    </w:p>
  </w:endnote>
  <w:endnote w:type="continuationSeparator" w:id="0">
    <w:p w14:paraId="0E040B7E" w14:textId="77777777" w:rsidR="00601389" w:rsidRDefault="00601389" w:rsidP="00C94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1511722991"/>
      <w:docPartObj>
        <w:docPartGallery w:val="Page Numbers (Bottom of Page)"/>
        <w:docPartUnique/>
      </w:docPartObj>
    </w:sdtPr>
    <w:sdtContent>
      <w:p w14:paraId="1D21D944" w14:textId="1C7AC615" w:rsidR="00C94505" w:rsidRDefault="00C94505" w:rsidP="003E653B">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fldChar w:fldCharType="end"/>
        </w:r>
      </w:p>
    </w:sdtContent>
  </w:sdt>
  <w:p w14:paraId="3B17DA63" w14:textId="77777777" w:rsidR="00C94505" w:rsidRDefault="00C94505" w:rsidP="00C94505">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1331516627"/>
      <w:docPartObj>
        <w:docPartGallery w:val="Page Numbers (Bottom of Page)"/>
        <w:docPartUnique/>
      </w:docPartObj>
    </w:sdtPr>
    <w:sdtContent>
      <w:p w14:paraId="2A6B4412" w14:textId="233446E1" w:rsidR="00C94505" w:rsidRDefault="00C94505" w:rsidP="003E653B">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3461E3C1" w14:textId="77777777" w:rsidR="00C94505" w:rsidRDefault="00C94505" w:rsidP="00C94505">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71AB8F" w14:textId="77777777" w:rsidR="00601389" w:rsidRDefault="00601389" w:rsidP="00C94505">
      <w:r>
        <w:separator/>
      </w:r>
    </w:p>
  </w:footnote>
  <w:footnote w:type="continuationSeparator" w:id="0">
    <w:p w14:paraId="03456975" w14:textId="77777777" w:rsidR="00601389" w:rsidRDefault="00601389" w:rsidP="00C945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4F70B10"/>
    <w:multiLevelType w:val="hybridMultilevel"/>
    <w:tmpl w:val="1B8A0364"/>
    <w:lvl w:ilvl="0" w:tplc="5DDC48D2">
      <w:start w:val="1"/>
      <w:numFmt w:val="bullet"/>
      <w:lvlText w:val="●"/>
      <w:lvlJc w:val="left"/>
      <w:pPr>
        <w:ind w:left="720" w:hanging="360"/>
      </w:pPr>
    </w:lvl>
    <w:lvl w:ilvl="1" w:tplc="268EA054">
      <w:start w:val="1"/>
      <w:numFmt w:val="bullet"/>
      <w:lvlText w:val="○"/>
      <w:lvlJc w:val="left"/>
      <w:pPr>
        <w:ind w:left="1440" w:hanging="360"/>
      </w:pPr>
    </w:lvl>
    <w:lvl w:ilvl="2" w:tplc="57B2CC12">
      <w:start w:val="1"/>
      <w:numFmt w:val="bullet"/>
      <w:lvlText w:val="■"/>
      <w:lvlJc w:val="left"/>
      <w:pPr>
        <w:ind w:left="2160" w:hanging="360"/>
      </w:pPr>
    </w:lvl>
    <w:lvl w:ilvl="3" w:tplc="63589CD8">
      <w:start w:val="1"/>
      <w:numFmt w:val="bullet"/>
      <w:lvlText w:val="●"/>
      <w:lvlJc w:val="left"/>
      <w:pPr>
        <w:ind w:left="2880" w:hanging="360"/>
      </w:pPr>
    </w:lvl>
    <w:lvl w:ilvl="4" w:tplc="A3601072">
      <w:start w:val="1"/>
      <w:numFmt w:val="bullet"/>
      <w:lvlText w:val="○"/>
      <w:lvlJc w:val="left"/>
      <w:pPr>
        <w:ind w:left="3600" w:hanging="360"/>
      </w:pPr>
    </w:lvl>
    <w:lvl w:ilvl="5" w:tplc="5EA08B24">
      <w:start w:val="1"/>
      <w:numFmt w:val="bullet"/>
      <w:lvlText w:val="■"/>
      <w:lvlJc w:val="left"/>
      <w:pPr>
        <w:ind w:left="4320" w:hanging="360"/>
      </w:pPr>
    </w:lvl>
    <w:lvl w:ilvl="6" w:tplc="79E6CC54">
      <w:start w:val="1"/>
      <w:numFmt w:val="bullet"/>
      <w:lvlText w:val="●"/>
      <w:lvlJc w:val="left"/>
      <w:pPr>
        <w:ind w:left="5040" w:hanging="360"/>
      </w:pPr>
    </w:lvl>
    <w:lvl w:ilvl="7" w:tplc="67A24B6A">
      <w:start w:val="1"/>
      <w:numFmt w:val="bullet"/>
      <w:lvlText w:val="●"/>
      <w:lvlJc w:val="left"/>
      <w:pPr>
        <w:ind w:left="5760" w:hanging="360"/>
      </w:pPr>
    </w:lvl>
    <w:lvl w:ilvl="8" w:tplc="92903F10">
      <w:start w:val="1"/>
      <w:numFmt w:val="bullet"/>
      <w:lvlText w:val="●"/>
      <w:lvlJc w:val="left"/>
      <w:pPr>
        <w:ind w:left="6480" w:hanging="360"/>
      </w:pPr>
    </w:lvl>
  </w:abstractNum>
  <w:num w:numId="1" w16cid:durableId="196846646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F76"/>
    <w:rsid w:val="000A08D6"/>
    <w:rsid w:val="001E4AC6"/>
    <w:rsid w:val="003905E5"/>
    <w:rsid w:val="003F5C4A"/>
    <w:rsid w:val="004B3539"/>
    <w:rsid w:val="00553C03"/>
    <w:rsid w:val="00601389"/>
    <w:rsid w:val="00655940"/>
    <w:rsid w:val="00694399"/>
    <w:rsid w:val="00781D86"/>
    <w:rsid w:val="007C5F76"/>
    <w:rsid w:val="008202A4"/>
    <w:rsid w:val="00A372A6"/>
    <w:rsid w:val="00B35B93"/>
    <w:rsid w:val="00B401A7"/>
    <w:rsid w:val="00C52EB5"/>
    <w:rsid w:val="00C7038A"/>
    <w:rsid w:val="00C94505"/>
    <w:rsid w:val="00EA2EF3"/>
    <w:rsid w:val="00F5505E"/>
    <w:rsid w:val="00F91951"/>
    <w:rsid w:val="00FD4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AF7F24"/>
  <w15:docId w15:val="{44196655-06DB-1F4D-9DF6-BB0EF51A4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Strong1">
    <w:name w:val="Strong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Pidipagina">
    <w:name w:val="footer"/>
    <w:basedOn w:val="Normale"/>
    <w:link w:val="PidipaginaCarattere"/>
    <w:uiPriority w:val="99"/>
    <w:unhideWhenUsed/>
    <w:rsid w:val="00C94505"/>
    <w:pPr>
      <w:tabs>
        <w:tab w:val="center" w:pos="4819"/>
        <w:tab w:val="right" w:pos="9638"/>
      </w:tabs>
    </w:pPr>
  </w:style>
  <w:style w:type="character" w:customStyle="1" w:styleId="PidipaginaCarattere">
    <w:name w:val="Piè di pagina Carattere"/>
    <w:basedOn w:val="Carpredefinitoparagrafo"/>
    <w:link w:val="Pidipagina"/>
    <w:uiPriority w:val="99"/>
    <w:rsid w:val="00C94505"/>
  </w:style>
  <w:style w:type="character" w:styleId="Numeropagina">
    <w:name w:val="page number"/>
    <w:basedOn w:val="Carpredefinitoparagrafo"/>
    <w:uiPriority w:val="99"/>
    <w:semiHidden/>
    <w:unhideWhenUsed/>
    <w:rsid w:val="00C94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515</Words>
  <Characters>2940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Frailty as a predictor of outcome in non-invasive respiratory support</vt:lpstr>
    </vt:vector>
  </TitlesOfParts>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Frailty as a predictor of outcome in non-invasive respiratory support</dc:title>
  <dc:creator>Lukasz Regulski</dc:creator>
  <cp:lastModifiedBy>ROBERTO TONELLI</cp:lastModifiedBy>
  <cp:revision>4</cp:revision>
  <dcterms:created xsi:type="dcterms:W3CDTF">2026-08-14T08:34:00Z</dcterms:created>
  <dcterms:modified xsi:type="dcterms:W3CDTF">2026-08-15T11:34:00Z</dcterms:modified>
</cp:coreProperties>
</file>