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CBCA4" w14:textId="1C5BB1B8" w:rsidR="00832A77" w:rsidRDefault="00832A77" w:rsidP="00832A77">
      <w:pPr>
        <w:jc w:val="left"/>
      </w:pPr>
      <w:r>
        <w:rPr>
          <w:rFonts w:hint="eastAsia"/>
          <w:noProof/>
        </w:rPr>
        <w:drawing>
          <wp:inline distT="0" distB="0" distL="114300" distR="114300" wp14:anchorId="026AE42B" wp14:editId="59C00216">
            <wp:extent cx="5259070" cy="2127250"/>
            <wp:effectExtent l="0" t="0" r="11430" b="6350"/>
            <wp:docPr id="1" name="图片 1" descr="S1 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1 Fi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DCBB3" w14:textId="77777777" w:rsidR="00832A77" w:rsidRDefault="00832A77" w:rsidP="00832A77">
      <w:pPr>
        <w:spacing w:line="360" w:lineRule="auto"/>
        <w:jc w:val="left"/>
        <w:rPr>
          <w:b/>
          <w:bCs/>
          <w:color w:val="00B0F0"/>
        </w:rPr>
      </w:pPr>
      <w:r>
        <w:rPr>
          <w:b/>
          <w:bCs/>
        </w:rPr>
        <w:t>S1</w:t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>Fig</w:t>
      </w:r>
      <w:r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r>
        <w:rPr>
          <w:szCs w:val="21"/>
        </w:rPr>
        <w:t>Metabolite Source Analysis of non-targeted differential metabolites with significant reduction in the onset of NEC in preterm infants. A: Bar chart representing the quantities of metabolites derived from various sources; B: Venn diagram illustrating the overlap of metabolite quantities between host and microbial sources.</w:t>
      </w:r>
    </w:p>
    <w:p w14:paraId="41FC6FFD" w14:textId="77777777" w:rsidR="00832A77" w:rsidRDefault="00832A77" w:rsidP="00832A77">
      <w:r>
        <w:rPr>
          <w:rFonts w:hint="eastAsia"/>
          <w:noProof/>
        </w:rPr>
        <w:lastRenderedPageBreak/>
        <w:drawing>
          <wp:inline distT="0" distB="0" distL="114300" distR="114300" wp14:anchorId="361CF63D" wp14:editId="101F5063">
            <wp:extent cx="5266690" cy="5998210"/>
            <wp:effectExtent l="0" t="0" r="3810" b="8890"/>
            <wp:docPr id="2" name="图片 2" descr="S2 F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2 Fi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0E36" w14:textId="77777777" w:rsidR="00832A77" w:rsidRDefault="00832A77" w:rsidP="00832A77">
      <w:r>
        <w:rPr>
          <w:rFonts w:hint="eastAsia"/>
          <w:b/>
          <w:bCs/>
        </w:rPr>
        <w:t xml:space="preserve">S2 </w:t>
      </w:r>
      <w:r>
        <w:rPr>
          <w:b/>
          <w:bCs/>
        </w:rPr>
        <w:t>Fig</w:t>
      </w:r>
      <w:r>
        <w:rPr>
          <w:rFonts w:hint="eastAsia"/>
          <w:b/>
          <w:bCs/>
        </w:rPr>
        <w:t>.</w:t>
      </w:r>
      <w:r>
        <w:rPr>
          <w:rFonts w:hint="eastAsia"/>
        </w:rPr>
        <w:t xml:space="preserve"> </w:t>
      </w:r>
      <w:r>
        <w:t xml:space="preserve">Metabolic pathway analysis of non-targeted differential metabolites in feces of NEC preterm infants. </w:t>
      </w:r>
      <w:r>
        <w:rPr>
          <w:rFonts w:hint="eastAsia"/>
        </w:rPr>
        <w:t>(</w:t>
      </w:r>
      <w:r>
        <w:t>A</w:t>
      </w:r>
      <w:r>
        <w:rPr>
          <w:rFonts w:hint="eastAsia"/>
        </w:rPr>
        <w:t>)</w:t>
      </w:r>
      <w:r>
        <w:t xml:space="preserve"> KEGG enrichment bubble plot of differential metabolites for group Control vs NEC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t xml:space="preserve"> KEGG enrichment bubble plot of differential metabolites for group NEC vs NEC-p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(C)</w:t>
      </w:r>
      <w:r>
        <w:t xml:space="preserve"> KEGG </w:t>
      </w:r>
      <w:r>
        <w:rPr>
          <w:rFonts w:hint="eastAsia"/>
        </w:rPr>
        <w:t>d</w:t>
      </w:r>
      <w:r>
        <w:t>ifferential abundance score plot of differential metabolites for group Control vs NEC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(D)</w:t>
      </w:r>
      <w:r>
        <w:t xml:space="preserve"> KEGG </w:t>
      </w:r>
      <w:r>
        <w:rPr>
          <w:rFonts w:hint="eastAsia"/>
        </w:rPr>
        <w:t>d</w:t>
      </w:r>
      <w:r>
        <w:t>ifferential abundance score plot of differential metabolites for group NEC vs NEC-p</w:t>
      </w:r>
      <w:r>
        <w:rPr>
          <w:rFonts w:hint="eastAsia"/>
        </w:rPr>
        <w:t>. (E)</w:t>
      </w:r>
      <w:r>
        <w:t xml:space="preserve"> Metabolic pathway analysis treemap plot of differential metabolites for group Control vs NEC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(F)</w:t>
      </w:r>
      <w:r>
        <w:t xml:space="preserve"> Metabolic pathway analysis treemap plot of differential metabolites for group NEC vs NEC-p. Control: Control group; NEC: </w:t>
      </w:r>
      <w:r>
        <w:rPr>
          <w:rFonts w:hint="eastAsia"/>
        </w:rPr>
        <w:t>NEC group; NEC-p: NEC post-treatment group. Sample size: Control (n = 8); NEC (n = 8); NEC-p</w:t>
      </w:r>
      <w:r>
        <w:rPr>
          <w:rFonts w:hint="eastAsia"/>
        </w:rPr>
        <w:t>（</w:t>
      </w:r>
      <w:r>
        <w:rPr>
          <w:rFonts w:hint="eastAsia"/>
        </w:rPr>
        <w:t>n = 6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*P&lt;0.05; **P&lt;0.01; ***P&lt;0.001.</w:t>
      </w:r>
    </w:p>
    <w:p w14:paraId="155BE83C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A77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832A77"/>
    <w:rsid w:val="00C321FA"/>
    <w:rsid w:val="00C37FC6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3564B"/>
  <w15:chartTrackingRefBased/>
  <w15:docId w15:val="{0B86147B-C2AB-4FDD-B94B-0BDC5887A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A77"/>
    <w:pPr>
      <w:widowControl w:val="0"/>
      <w:spacing w:after="0" w:line="240" w:lineRule="auto"/>
      <w:jc w:val="both"/>
    </w:pPr>
    <w:rPr>
      <w:rFonts w:eastAsiaTheme="minorEastAsia"/>
      <w:kern w:val="0"/>
      <w:sz w:val="21"/>
      <w:szCs w:val="22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2A77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A77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A77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A77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A77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A77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A77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A77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A77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A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A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A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A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A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A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A77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32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A77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32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A77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32A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A77"/>
    <w:pPr>
      <w:widowControl/>
      <w:spacing w:after="160" w:line="278" w:lineRule="auto"/>
      <w:ind w:left="720"/>
      <w:contextualSpacing/>
      <w:jc w:val="left"/>
    </w:pPr>
    <w:rPr>
      <w:rFonts w:eastAsiaTheme="minorHAns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32A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A77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A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A7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qFormat/>
    <w:rsid w:val="00832A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2026-09-14T06:41:00Z</dcterms:created>
  <dcterms:modified xsi:type="dcterms:W3CDTF">2026-09-14T06:42:00Z</dcterms:modified>
</cp:coreProperties>
</file>