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B40FE" w14:textId="77777777" w:rsidR="000D3F98" w:rsidRPr="00864EAF" w:rsidRDefault="000D3F98" w:rsidP="000D3F98">
      <w:pPr>
        <w:pStyle w:val="Heading1"/>
      </w:pPr>
      <w:r w:rsidRPr="00864EAF">
        <w:t>Supplementary Methods</w:t>
      </w:r>
    </w:p>
    <w:p w14:paraId="0C293E0C" w14:textId="77777777" w:rsidR="000D3F98" w:rsidRDefault="000D3F98" w:rsidP="000D3F98">
      <w:pPr>
        <w:jc w:val="both"/>
      </w:pPr>
      <w:r w:rsidRPr="00864EAF">
        <w:t xml:space="preserve">For the qPCR analysis all samples were run in duplicate, and full primer sequences can be found in </w:t>
      </w:r>
      <w:r w:rsidRPr="004A2834">
        <w:t>Table S1.</w:t>
      </w:r>
      <w:r w:rsidRPr="00864EAF">
        <w:t xml:space="preserve"> A </w:t>
      </w:r>
      <w:proofErr w:type="spellStart"/>
      <w:r w:rsidRPr="00864EAF">
        <w:t>gBlock</w:t>
      </w:r>
      <w:proofErr w:type="spellEnd"/>
      <w:r w:rsidRPr="00864EAF">
        <w:t xml:space="preserve"> (Integrated DNA Technologies; Iowa, USA) containing non-related DNA fragments of expected lengths was included as a positive control and generation of the calibration curve to quantitatively assess DNA amounts, and negative controls of </w:t>
      </w:r>
      <w:r>
        <w:t xml:space="preserve">nuclease free water </w:t>
      </w:r>
      <w:r w:rsidRPr="00864EAF">
        <w:t xml:space="preserve">were included in each run to detect potential contamination. Details on the qPCR reactions can be found </w:t>
      </w:r>
      <w:r w:rsidRPr="004A2834">
        <w:t>in Table S2.</w:t>
      </w:r>
      <w:r w:rsidRPr="00864EAF">
        <w:t xml:space="preserve"> All targets tested for in the 2024 sampling campaign were detected using the CFX384 Touch Real-Time PCR system (</w:t>
      </w:r>
      <w:proofErr w:type="spellStart"/>
      <w:r w:rsidRPr="00864EAF">
        <w:t>Biorad</w:t>
      </w:r>
      <w:proofErr w:type="spellEnd"/>
      <w:r w:rsidRPr="00864EAF">
        <w:t xml:space="preserve">) and associated program. In 2025, the collected samples were analyzed using a </w:t>
      </w:r>
      <w:proofErr w:type="spellStart"/>
      <w:r w:rsidRPr="00864EAF">
        <w:t>QuantStudio</w:t>
      </w:r>
      <w:proofErr w:type="spellEnd"/>
      <w:r w:rsidRPr="00864EAF">
        <w:t xml:space="preserve"> 5 Real-Time PCR system and associated software (</w:t>
      </w:r>
      <w:proofErr w:type="spellStart"/>
      <w:r w:rsidRPr="00864EAF">
        <w:t>Thermo</w:t>
      </w:r>
      <w:proofErr w:type="spellEnd"/>
      <w:r w:rsidRPr="00864EAF">
        <w:t xml:space="preserve"> Fisher Scientific).</w:t>
      </w:r>
    </w:p>
    <w:p w14:paraId="253E09E2" w14:textId="77777777" w:rsidR="000D3F98" w:rsidRPr="00DB6B13" w:rsidRDefault="000D3F98" w:rsidP="000D3F98">
      <w:pPr>
        <w:rPr>
          <w:b/>
          <w:bCs/>
        </w:rPr>
      </w:pPr>
      <w:r w:rsidRPr="00DB6B13">
        <w:rPr>
          <w:b/>
          <w:bCs/>
        </w:rPr>
        <w:t>Table S1: Primers</w:t>
      </w:r>
    </w:p>
    <w:tbl>
      <w:tblPr>
        <w:tblStyle w:val="PlainTable2"/>
        <w:tblW w:w="9072" w:type="dxa"/>
        <w:tblLayout w:type="fixed"/>
        <w:tblLook w:val="04A0" w:firstRow="1" w:lastRow="0" w:firstColumn="1" w:lastColumn="0" w:noHBand="0" w:noVBand="1"/>
      </w:tblPr>
      <w:tblGrid>
        <w:gridCol w:w="1560"/>
        <w:gridCol w:w="992"/>
        <w:gridCol w:w="1134"/>
        <w:gridCol w:w="2835"/>
        <w:gridCol w:w="850"/>
        <w:gridCol w:w="1701"/>
      </w:tblGrid>
      <w:tr w:rsidR="000D3F98" w:rsidRPr="00DB6B13" w14:paraId="12222BE3" w14:textId="77777777" w:rsidTr="002B6D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C1E4F5" w:themeFill="accent1" w:themeFillTint="33"/>
          </w:tcPr>
          <w:p w14:paraId="580DED6E" w14:textId="77777777" w:rsidR="000D3F98" w:rsidRPr="00DB6B13" w:rsidRDefault="000D3F98" w:rsidP="008C5B36">
            <w:pPr>
              <w:jc w:val="center"/>
              <w:rPr>
                <w:rFonts w:cstheme="minorHAnsi"/>
              </w:rPr>
            </w:pPr>
            <w:r w:rsidRPr="00DB6B13">
              <w:rPr>
                <w:rFonts w:cstheme="minorHAnsi"/>
              </w:rPr>
              <w:t>Target</w:t>
            </w:r>
          </w:p>
        </w:tc>
        <w:tc>
          <w:tcPr>
            <w:tcW w:w="992" w:type="dxa"/>
            <w:shd w:val="clear" w:color="auto" w:fill="C1E4F5" w:themeFill="accent1" w:themeFillTint="33"/>
          </w:tcPr>
          <w:p w14:paraId="295A75FF" w14:textId="77777777" w:rsidR="000D3F98" w:rsidRPr="00DB6B13" w:rsidRDefault="000D3F98" w:rsidP="008C5B36">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DB6B13">
              <w:rPr>
                <w:rFonts w:cstheme="minorHAnsi"/>
              </w:rPr>
              <w:t>Primer Name</w:t>
            </w:r>
          </w:p>
        </w:tc>
        <w:tc>
          <w:tcPr>
            <w:tcW w:w="1134" w:type="dxa"/>
            <w:shd w:val="clear" w:color="auto" w:fill="C1E4F5" w:themeFill="accent1" w:themeFillTint="33"/>
          </w:tcPr>
          <w:p w14:paraId="0E6D73BC" w14:textId="77777777" w:rsidR="000D3F98" w:rsidRPr="00DB6B13" w:rsidRDefault="000D3F98" w:rsidP="008C5B36">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DB6B13">
              <w:rPr>
                <w:rFonts w:cstheme="minorHAnsi"/>
              </w:rPr>
              <w:t>Direction</w:t>
            </w:r>
          </w:p>
        </w:tc>
        <w:tc>
          <w:tcPr>
            <w:tcW w:w="2835" w:type="dxa"/>
            <w:shd w:val="clear" w:color="auto" w:fill="C1E4F5" w:themeFill="accent1" w:themeFillTint="33"/>
          </w:tcPr>
          <w:p w14:paraId="17FD9A56" w14:textId="77777777" w:rsidR="000D3F98" w:rsidRPr="00DB6B13" w:rsidRDefault="000D3F98" w:rsidP="008C5B36">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DB6B13">
              <w:rPr>
                <w:rFonts w:cstheme="minorHAnsi"/>
              </w:rPr>
              <w:t>Sequence</w:t>
            </w:r>
          </w:p>
        </w:tc>
        <w:tc>
          <w:tcPr>
            <w:tcW w:w="850" w:type="dxa"/>
            <w:shd w:val="clear" w:color="auto" w:fill="C1E4F5" w:themeFill="accent1" w:themeFillTint="33"/>
          </w:tcPr>
          <w:p w14:paraId="7716A111" w14:textId="77777777" w:rsidR="000D3F98" w:rsidRPr="00DB6B13" w:rsidRDefault="000D3F98" w:rsidP="008C5B36">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DB6B13">
              <w:rPr>
                <w:rFonts w:cstheme="minorHAnsi"/>
              </w:rPr>
              <w:t>Year Used</w:t>
            </w:r>
          </w:p>
        </w:tc>
        <w:tc>
          <w:tcPr>
            <w:tcW w:w="1701" w:type="dxa"/>
            <w:shd w:val="clear" w:color="auto" w:fill="C1E4F5" w:themeFill="accent1" w:themeFillTint="33"/>
          </w:tcPr>
          <w:p w14:paraId="3A2E027C" w14:textId="77777777" w:rsidR="000D3F98" w:rsidRPr="00DB6B13" w:rsidRDefault="000D3F98" w:rsidP="008C5B36">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DB6B13">
              <w:rPr>
                <w:rFonts w:cstheme="minorHAnsi"/>
              </w:rPr>
              <w:t>Reference</w:t>
            </w:r>
          </w:p>
        </w:tc>
      </w:tr>
      <w:tr w:rsidR="000D3F98" w:rsidRPr="00DB6B13" w14:paraId="684E9A06" w14:textId="77777777" w:rsidTr="002B6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43FA58F7" w14:textId="77777777" w:rsidR="000D3F98" w:rsidRPr="00DB6B13" w:rsidRDefault="000D3F98" w:rsidP="008C5B36">
            <w:pPr>
              <w:jc w:val="center"/>
              <w:rPr>
                <w:rFonts w:cstheme="minorHAnsi"/>
              </w:rPr>
            </w:pPr>
            <w:r w:rsidRPr="00DB6B13">
              <w:rPr>
                <w:rFonts w:cstheme="minorHAnsi"/>
              </w:rPr>
              <w:t>18S</w:t>
            </w:r>
          </w:p>
        </w:tc>
        <w:tc>
          <w:tcPr>
            <w:tcW w:w="992" w:type="dxa"/>
          </w:tcPr>
          <w:p w14:paraId="7633C9BA"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lang w:eastAsia="nl-NL"/>
              </w:rPr>
              <w:t>18Sv8F</w:t>
            </w:r>
          </w:p>
        </w:tc>
        <w:tc>
          <w:tcPr>
            <w:tcW w:w="1134" w:type="dxa"/>
          </w:tcPr>
          <w:p w14:paraId="3BCEE825"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rPr>
              <w:t>Forward</w:t>
            </w:r>
          </w:p>
        </w:tc>
        <w:tc>
          <w:tcPr>
            <w:tcW w:w="2835" w:type="dxa"/>
          </w:tcPr>
          <w:p w14:paraId="0BACABC9"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lang w:eastAsia="nl-NL"/>
              </w:rPr>
              <w:t>ATAACAGGTCTGTGATGCCCT</w:t>
            </w:r>
          </w:p>
        </w:tc>
        <w:tc>
          <w:tcPr>
            <w:tcW w:w="850" w:type="dxa"/>
            <w:vMerge w:val="restart"/>
          </w:tcPr>
          <w:p w14:paraId="7A46F769" w14:textId="77777777" w:rsidR="000D3F98" w:rsidRPr="00DB6B13" w:rsidRDefault="000D3F98" w:rsidP="008C5B3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lang w:eastAsia="nl-NL"/>
              </w:rPr>
              <w:t>2024</w:t>
            </w:r>
          </w:p>
        </w:tc>
        <w:tc>
          <w:tcPr>
            <w:tcW w:w="1701" w:type="dxa"/>
          </w:tcPr>
          <w:p w14:paraId="0F8E7C98" w14:textId="508DFBF0" w:rsidR="000D3F98" w:rsidRPr="00DB6B13" w:rsidRDefault="000D3F98" w:rsidP="008C5B3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rPr>
              <w:fldChar w:fldCharType="begin"/>
            </w:r>
            <w:r w:rsidR="003F2A5D">
              <w:rPr>
                <w:rFonts w:cstheme="minorHAnsi"/>
              </w:rPr>
              <w:instrText xml:space="preserve"> ADDIN ZOTERO_ITEM CSL_CITATION {"citationID":"FbUoWKNp","properties":{"formattedCitation":"\\super 1\\nosupersub{}","plainCitation":"1","noteIndex":0},"citationItems":[{"id":6150,"uris":["http://zotero.org/users/11517495/items/PE7KVEPF"],"itemData":{"id":6150,"type":"article-journal","abstract":"The use of high-throughput sequencing technologies with the 16S rRNA gene for characterization of bacterial and archaeal communities has become routine. However, the adoption of sequencing methods for eukaryotes has been slow, despite their signiﬁcance to natural and engineered systems. There are large variations among the target genes used for amplicon sequencing, and for the 18S rRNA gene, there is no consensus on which hypervariable region provides the most suitable representation of diversity. Additionally, it is unclear how much PCR/sequencing bias affects the depiction of community structure using current primers. The present study ampliﬁed the V4 and V8-V9 regions from seven microalgal mock communities as well as eukaryotic communities from freshwater, coastal, and wastewater samples to examine the effect of PCR/sequencing bias on community structure and membership. We found that degeneracies on the 3= end of the current V4-speciﬁc primers impact read length and mean relative abundance. Furthermore, the PCR/sequencing error is markedly higher for GC-rich members than for communities with balanced GC content. Importantly, the V4 region failed to reliably capture 2 of the 12 mock community members, and the V8-V9 hypervariable region more accurately represents mean relative abundance and alpha and beta diversity. Overall, the V4 and V8-V9 regions show similar community representations over freshwater, coastal, and wastewater environments, but speciﬁc samples show markedly different communities. These results indicate that multiple primer sets may be advantageous for gaining a more complete understanding of community structure and highlight the importance of including mock communities composed of species of interest.","container-title":"Applied and Environmental Microbiology","DOI":"10.1128/AEM.01630-16","ISSN":"0099-2240, 1098-5336","issue":"19","journalAbbreviation":"Appl Environ Microbiol","language":"en","page":"5878-5891","source":"DOI.org (Crossref)","title":"Design and Evaluation of Illumina MiSeq-Compatible, 18S rRNA Gene-Specific Primers for Improved Characterization of Mixed Phototrophic Communities","volume":"82","author":[{"family":"Bradley","given":"Ian M."},{"family":"Pinto","given":"Ameet J."},{"family":"Guest","given":"Jeremy S."}],"editor":[{"family":"Voordouw","given":"G."}],"issued":{"date-parts":[["2016",10]]}}}],"schema":"https://github.com/citation-style-language/schema/raw/master/csl-citation.json"} </w:instrText>
            </w:r>
            <w:r w:rsidRPr="00DB6B13">
              <w:rPr>
                <w:rFonts w:cstheme="minorHAnsi"/>
              </w:rPr>
              <w:fldChar w:fldCharType="separate"/>
            </w:r>
            <w:r w:rsidR="003F2A5D" w:rsidRPr="003F2A5D">
              <w:rPr>
                <w:rFonts w:ascii="Aptos" w:hAnsi="Aptos" w:cs="Times New Roman"/>
                <w:kern w:val="0"/>
                <w:vertAlign w:val="superscript"/>
              </w:rPr>
              <w:t>1</w:t>
            </w:r>
            <w:r w:rsidRPr="00DB6B13">
              <w:rPr>
                <w:rFonts w:cstheme="minorHAnsi"/>
              </w:rPr>
              <w:fldChar w:fldCharType="end"/>
            </w:r>
          </w:p>
        </w:tc>
      </w:tr>
      <w:tr w:rsidR="000D3F98" w:rsidRPr="00DB6B13" w14:paraId="24BE6E2C" w14:textId="77777777" w:rsidTr="002B6D64">
        <w:tc>
          <w:tcPr>
            <w:cnfStyle w:val="001000000000" w:firstRow="0" w:lastRow="0" w:firstColumn="1" w:lastColumn="0" w:oddVBand="0" w:evenVBand="0" w:oddHBand="0" w:evenHBand="0" w:firstRowFirstColumn="0" w:firstRowLastColumn="0" w:lastRowFirstColumn="0" w:lastRowLastColumn="0"/>
            <w:tcW w:w="1560" w:type="dxa"/>
            <w:vMerge/>
          </w:tcPr>
          <w:p w14:paraId="2A77CAF9" w14:textId="77777777" w:rsidR="000D3F98" w:rsidRPr="00DB6B13" w:rsidRDefault="000D3F98" w:rsidP="008C5B36">
            <w:pPr>
              <w:jc w:val="center"/>
              <w:rPr>
                <w:rFonts w:cstheme="minorHAnsi"/>
              </w:rPr>
            </w:pPr>
          </w:p>
        </w:tc>
        <w:tc>
          <w:tcPr>
            <w:tcW w:w="992" w:type="dxa"/>
          </w:tcPr>
          <w:p w14:paraId="50B2706C"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lang w:eastAsia="nl-NL"/>
              </w:rPr>
              <w:t>18Sv9R</w:t>
            </w:r>
          </w:p>
        </w:tc>
        <w:tc>
          <w:tcPr>
            <w:tcW w:w="1134" w:type="dxa"/>
          </w:tcPr>
          <w:p w14:paraId="688FC163"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t>Reverse</w:t>
            </w:r>
          </w:p>
        </w:tc>
        <w:tc>
          <w:tcPr>
            <w:tcW w:w="2835" w:type="dxa"/>
          </w:tcPr>
          <w:p w14:paraId="6DFAF137"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lang w:eastAsia="nl-NL"/>
              </w:rPr>
              <w:t>CCTTCYGCAGGTTCACCTAC</w:t>
            </w:r>
          </w:p>
        </w:tc>
        <w:tc>
          <w:tcPr>
            <w:tcW w:w="850" w:type="dxa"/>
            <w:vMerge/>
          </w:tcPr>
          <w:p w14:paraId="4F04CDA8"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p>
        </w:tc>
        <w:tc>
          <w:tcPr>
            <w:tcW w:w="1701" w:type="dxa"/>
          </w:tcPr>
          <w:p w14:paraId="0652777B" w14:textId="386DC09E" w:rsidR="000D3F98" w:rsidRPr="00DB6B13" w:rsidRDefault="000D3F98" w:rsidP="008C5B3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fldChar w:fldCharType="begin"/>
            </w:r>
            <w:r w:rsidR="003F2A5D">
              <w:rPr>
                <w:rFonts w:cstheme="minorHAnsi"/>
              </w:rPr>
              <w:instrText xml:space="preserve"> ADDIN ZOTERO_ITEM CSL_CITATION {"citationID":"UzY7UvqA","properties":{"formattedCitation":"\\super 2\\nosupersub{}","plainCitation":"2","noteIndex":0},"citationItems":[{"id":6158,"uris":["http://zotero.org/users/11517495/items/E3UMY42M"],"itemData":{"id":6158,"type":"article-journal","abstract":"Background: Massively parallel pyrosequencing of amplicons from the V6 hypervariable regions of small-subunit (SSU) ribosomal RNA (rRNA) genes is commonly used to assess diversity and richness in bacterial and archaeal populations. Recent advances in pyrosequencing technology provide read lengths of up to 240 nucleotides. Amplicon pyrosequencing can now be applied to longer variable regions of the SSU rRNA gene including the V9 region in eukaryotes.\nMethodology/Principal Findings: We present a protocol for the amplicon pyrosequencing of V9 regions for eukaryotic environmental samples for biodiversity inventories and species richness estimation. The International Census of Marine Microbes (ICoMM) and the Microbial Inventory Research Across Diverse Aquatic Long Term Ecological Research Sites (MIRADA-LTERs) projects are already employing this protocol for tag sequencing of eukaryotic samples in a wide diversity of both marine and freshwater environments.\nConclusions/Significance: Massively parallel pyrosequencing of eukaryotic V9 hypervariable regions of SSU rRNA genes provides a means of estimating species richness from deeply-sampled populations and for discovering novel species from the environment.","container-title":"PLoS ONE","DOI":"10.1371/journal.pone.0006372","ISSN":"1932-6203","issue":"7","journalAbbreviation":"PLoS ONE","language":"en","page":"e6372","source":"DOI.org (Crossref)","title":"A Method for Studying Protistan Diversity Using Massively Parallel Sequencing of V9 Hypervariable Regions of Small-Subunit Ribosomal RNA Genes","volume":"4","author":[{"family":"Amaral-Zettler","given":"Linda A."},{"family":"McCliment","given":"Elizabeth A."},{"family":"Ducklow","given":"Hugh W."},{"family":"Huse","given":"Susan M."}],"editor":[{"family":"Langsley","given":"Gordon"}],"issued":{"date-parts":[["2009",7,27]]}}}],"schema":"https://github.com/citation-style-language/schema/raw/master/csl-citation.json"} </w:instrText>
            </w:r>
            <w:r w:rsidRPr="00DB6B13">
              <w:rPr>
                <w:rFonts w:cstheme="minorHAnsi"/>
              </w:rPr>
              <w:fldChar w:fldCharType="separate"/>
            </w:r>
            <w:r w:rsidR="003F2A5D" w:rsidRPr="003F2A5D">
              <w:rPr>
                <w:rFonts w:ascii="Aptos" w:hAnsi="Aptos" w:cs="Times New Roman"/>
                <w:kern w:val="0"/>
                <w:vertAlign w:val="superscript"/>
              </w:rPr>
              <w:t>2</w:t>
            </w:r>
            <w:r w:rsidRPr="00DB6B13">
              <w:rPr>
                <w:rFonts w:cstheme="minorHAnsi"/>
              </w:rPr>
              <w:fldChar w:fldCharType="end"/>
            </w:r>
          </w:p>
        </w:tc>
      </w:tr>
      <w:tr w:rsidR="000D3F98" w:rsidRPr="00DB6B13" w14:paraId="50B3CE50" w14:textId="77777777" w:rsidTr="002B6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38954236" w14:textId="77777777" w:rsidR="000D3F98" w:rsidRPr="00DB6B13" w:rsidRDefault="000D3F98" w:rsidP="008C5B36">
            <w:pPr>
              <w:jc w:val="center"/>
              <w:rPr>
                <w:rFonts w:cstheme="minorHAnsi"/>
              </w:rPr>
            </w:pPr>
            <w:r w:rsidRPr="00DB6B13">
              <w:rPr>
                <w:rFonts w:cstheme="minorHAnsi"/>
              </w:rPr>
              <w:t>16S V3V4</w:t>
            </w:r>
          </w:p>
        </w:tc>
        <w:tc>
          <w:tcPr>
            <w:tcW w:w="992" w:type="dxa"/>
          </w:tcPr>
          <w:p w14:paraId="5119DC3F"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rPr>
              <w:t>16S V3V4</w:t>
            </w:r>
          </w:p>
        </w:tc>
        <w:tc>
          <w:tcPr>
            <w:tcW w:w="1134" w:type="dxa"/>
          </w:tcPr>
          <w:p w14:paraId="6823336D"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rPr>
              <w:t>Forward</w:t>
            </w:r>
          </w:p>
        </w:tc>
        <w:tc>
          <w:tcPr>
            <w:tcW w:w="2835" w:type="dxa"/>
          </w:tcPr>
          <w:p w14:paraId="2978D4EF"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eastAsia="Times New Roman" w:cstheme="minorHAnsi"/>
              </w:rPr>
              <w:t>CCTACGGGAGGCAGCAG</w:t>
            </w:r>
          </w:p>
        </w:tc>
        <w:tc>
          <w:tcPr>
            <w:tcW w:w="850" w:type="dxa"/>
            <w:vMerge w:val="restart"/>
          </w:tcPr>
          <w:p w14:paraId="1B8DA3BA" w14:textId="77777777" w:rsidR="000D3F98" w:rsidRPr="00DB6B13" w:rsidRDefault="000D3F98" w:rsidP="008C5B3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eastAsia="Times New Roman" w:cstheme="minorHAnsi"/>
              </w:rPr>
              <w:t>2024</w:t>
            </w:r>
          </w:p>
        </w:tc>
        <w:tc>
          <w:tcPr>
            <w:tcW w:w="1701" w:type="dxa"/>
          </w:tcPr>
          <w:p w14:paraId="23CED450" w14:textId="7D97D59D" w:rsidR="000D3F98" w:rsidRPr="00DB6B13" w:rsidRDefault="000D3F98" w:rsidP="008C5B3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eastAsia="Times New Roman" w:cstheme="minorHAnsi"/>
              </w:rPr>
              <w:fldChar w:fldCharType="begin"/>
            </w:r>
            <w:r w:rsidR="003F2A5D">
              <w:rPr>
                <w:rFonts w:eastAsia="Times New Roman" w:cstheme="minorHAnsi"/>
              </w:rPr>
              <w:instrText xml:space="preserve"> ADDIN ZOTERO_ITEM CSL_CITATION {"citationID":"bNJXtSWr","properties":{"formattedCitation":"\\super 3\\nosupersub{}","plainCitation":"3","noteIndex":0},"citationItems":[{"id":6160,"uris":["http://zotero.org/users/11517495/items/3T6VQLN2"],"itemData":{"id":6160,"type":"article-journal","abstract":"We describe a new molecular approach to analyzing the genetic diversity of complex microbial populations. This technique is based on the separation of polymerase chain reaction-amplified fragments of genes coding for 16S rRNA, all the same length, by denaturing gradient gel electrophoresis (DGGE). DGGE analysis of different microbial communities demonstrated the presence of up to 10 distinguishable bands in the separation pattern, which were most likely derived from as many different species constituting these populations, and thereby generated a DGGE profile of the populations. We showed that it is possible to identify constituents which represent only 1% of the total population. With an oligonucleotide probe specific for the V3 region of 16S rRNA of sulfate-reducing bacteria, particular DNA fragments from some of the microbial populations could be identified by hybridization analysis. Analysis of the genomic DNA from a bacterial biofilm grown under aerobic conditions suggests that sulfate-reducing bacteria, despite their anaerobicity, were present in this environment. The results we obtained demonstrate that this technique will contribute to our understanding of the genetic diversity of uncharacterized microbial populations.","container-title":"Applied and Environmental Microbiology","DOI":"10.1128/aem.59.3.695-700.1993","ISSN":"0099-2240, 1098-5336","issue":"3","journalAbbreviation":"Appl Environ Microbiol","language":"en","page":"695-700","source":"DOI.org (Crossref)","title":"Profiling of complex microbial populations by denaturing gradient gel electrophoresis analysis of polymerase chain reaction-amplified genes coding for 16S rRNA","volume":"59","author":[{"family":"Muyzer","given":"G"},{"family":"De Waal","given":"E C"},{"family":"Uitterlinden","given":"A G"}],"issued":{"date-parts":[["1993",3]]}}}],"schema":"https://github.com/citation-style-language/schema/raw/master/csl-citation.json"} </w:instrText>
            </w:r>
            <w:r w:rsidRPr="00DB6B13">
              <w:rPr>
                <w:rFonts w:eastAsia="Times New Roman" w:cstheme="minorHAnsi"/>
              </w:rPr>
              <w:fldChar w:fldCharType="separate"/>
            </w:r>
            <w:r w:rsidR="003F2A5D" w:rsidRPr="003F2A5D">
              <w:rPr>
                <w:rFonts w:ascii="Aptos" w:hAnsi="Aptos" w:cs="Times New Roman"/>
                <w:kern w:val="0"/>
                <w:vertAlign w:val="superscript"/>
              </w:rPr>
              <w:t>3</w:t>
            </w:r>
            <w:r w:rsidRPr="00DB6B13">
              <w:rPr>
                <w:rFonts w:eastAsia="Times New Roman" w:cstheme="minorHAnsi"/>
              </w:rPr>
              <w:fldChar w:fldCharType="end"/>
            </w:r>
          </w:p>
        </w:tc>
      </w:tr>
      <w:tr w:rsidR="000D3F98" w:rsidRPr="00DB6B13" w14:paraId="2CEA4871" w14:textId="77777777" w:rsidTr="002B6D64">
        <w:tc>
          <w:tcPr>
            <w:cnfStyle w:val="001000000000" w:firstRow="0" w:lastRow="0" w:firstColumn="1" w:lastColumn="0" w:oddVBand="0" w:evenVBand="0" w:oddHBand="0" w:evenHBand="0" w:firstRowFirstColumn="0" w:firstRowLastColumn="0" w:lastRowFirstColumn="0" w:lastRowLastColumn="0"/>
            <w:tcW w:w="1560" w:type="dxa"/>
            <w:vMerge/>
          </w:tcPr>
          <w:p w14:paraId="1CFEB752" w14:textId="77777777" w:rsidR="000D3F98" w:rsidRPr="00DB6B13" w:rsidRDefault="000D3F98" w:rsidP="008C5B36">
            <w:pPr>
              <w:rPr>
                <w:rFonts w:cstheme="minorHAnsi"/>
              </w:rPr>
            </w:pPr>
          </w:p>
        </w:tc>
        <w:tc>
          <w:tcPr>
            <w:tcW w:w="992" w:type="dxa"/>
          </w:tcPr>
          <w:p w14:paraId="72CB799C"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t>16S V3V4</w:t>
            </w:r>
          </w:p>
        </w:tc>
        <w:tc>
          <w:tcPr>
            <w:tcW w:w="1134" w:type="dxa"/>
          </w:tcPr>
          <w:p w14:paraId="0305580D"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t>Reverse</w:t>
            </w:r>
          </w:p>
        </w:tc>
        <w:tc>
          <w:tcPr>
            <w:tcW w:w="2835" w:type="dxa"/>
          </w:tcPr>
          <w:p w14:paraId="7F0FA04B"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t xml:space="preserve"> </w:t>
            </w:r>
            <w:r w:rsidRPr="00DB6B13">
              <w:rPr>
                <w:rFonts w:eastAsia="Times New Roman" w:cstheme="minorHAnsi"/>
              </w:rPr>
              <w:t>GGACTACHVGGGTWTCTAAT</w:t>
            </w:r>
          </w:p>
        </w:tc>
        <w:tc>
          <w:tcPr>
            <w:tcW w:w="850" w:type="dxa"/>
            <w:vMerge/>
          </w:tcPr>
          <w:p w14:paraId="15855895"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p>
        </w:tc>
        <w:tc>
          <w:tcPr>
            <w:tcW w:w="1701" w:type="dxa"/>
          </w:tcPr>
          <w:p w14:paraId="37A415EF" w14:textId="7E4631ED" w:rsidR="000D3F98" w:rsidRPr="00DB6B13" w:rsidRDefault="000D3F98" w:rsidP="008C5B3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lang w:eastAsia="nl-NL"/>
              </w:rPr>
              <w:fldChar w:fldCharType="begin"/>
            </w:r>
            <w:r w:rsidR="003F2A5D">
              <w:rPr>
                <w:rFonts w:cstheme="minorHAnsi"/>
                <w:lang w:eastAsia="nl-NL"/>
              </w:rPr>
              <w:instrText xml:space="preserve"> ADDIN ZOTERO_ITEM CSL_CITATION {"citationID":"0PG11IYu","properties":{"formattedCitation":"\\super 4\\nosupersub{}","plainCitation":"4","noteIndex":0},"citationItems":[{"id":6162,"uris":["http://zotero.org/users/11517495/items/RBR8VETR"],"itemData":{"id":6162,"type":"article-journal","abstract":"The ongoing revolution in high-throughput sequencing continues to democratize the ability of small groups of investigators to map the microbial component of the biosphere. In particular, the coevolution of new sequencing platforms and new software tools allows data acquisition and analysis on an unprecedented scale. Here we report the next stage in this coevolutionary arms race, using the Illumina GAIIx platform to sequence a diverse array of 25 environmental samples and three known “mock communities” at a depth averaging 3.1 million reads per sample. We demonstrate excellent consistency in taxonomic recovery and recapture diversity patterns that were previously reported on the basis of metaanalysis of many studies from the literature (notably, the saline/nonsaline split in environmental samples and the split between host-associated and free-living communities). We also demonstrate that 2,000 Illumina single-end reads are sufficient to recapture the same relationships among samples that we observe with the full dataset. The results thus open up the possibility of conducting large-scale studies analyzing thousands of samples simultaneously to survey microbial communities at an unprecedented spatial and temporal resolution.","container-title":"Proceedings of the National Academy of Sciences","DOI":"10.1073/pnas.1000080107","ISSN":"0027-8424, 1091-6490","issue":"supplement_1","journalAbbreviation":"Proc. Natl. Acad. Sci. U.S.A.","language":"en","page":"4516-4522","source":"DOI.org (Crossref)","title":"Global patterns of 16S rRNA diversity at a depth of millions of sequences per sample","volume":"108","author":[{"family":"Caporaso","given":"J. Gregory"},{"family":"Lauber","given":"Christian L."},{"family":"Walters","given":"William A."},{"family":"Berg-Lyons","given":"Donna"},{"family":"Lozupone","given":"Catherine A."},{"family":"Turnbaugh","given":"Peter J."},{"family":"Fierer","given":"Noah"},{"family":"Knight","given":"Rob"}],"issued":{"date-parts":[["2011",3,15]]}}}],"schema":"https://github.com/citation-style-language/schema/raw/master/csl-citation.json"} </w:instrText>
            </w:r>
            <w:r w:rsidRPr="00DB6B13">
              <w:rPr>
                <w:rFonts w:cstheme="minorHAnsi"/>
                <w:lang w:eastAsia="nl-NL"/>
              </w:rPr>
              <w:fldChar w:fldCharType="separate"/>
            </w:r>
            <w:r w:rsidR="003F2A5D" w:rsidRPr="003F2A5D">
              <w:rPr>
                <w:rFonts w:ascii="Aptos" w:hAnsi="Aptos" w:cs="Times New Roman"/>
                <w:kern w:val="0"/>
                <w:vertAlign w:val="superscript"/>
              </w:rPr>
              <w:t>4</w:t>
            </w:r>
            <w:r w:rsidRPr="00DB6B13">
              <w:rPr>
                <w:rFonts w:cstheme="minorHAnsi"/>
                <w:lang w:eastAsia="nl-NL"/>
              </w:rPr>
              <w:fldChar w:fldCharType="end"/>
            </w:r>
          </w:p>
        </w:tc>
      </w:tr>
      <w:tr w:rsidR="000D3F98" w:rsidRPr="00DB6B13" w14:paraId="49DFCCCF" w14:textId="77777777" w:rsidTr="002B6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32E9EFFE" w14:textId="77777777" w:rsidR="000D3F98" w:rsidRPr="00DB6B13" w:rsidRDefault="000D3F98" w:rsidP="008C5B36">
            <w:pPr>
              <w:jc w:val="center"/>
              <w:rPr>
                <w:rFonts w:cstheme="minorHAnsi"/>
                <w:b w:val="0"/>
                <w:bCs w:val="0"/>
              </w:rPr>
            </w:pPr>
            <w:r w:rsidRPr="00DB6B13">
              <w:rPr>
                <w:rFonts w:cstheme="minorHAnsi"/>
              </w:rPr>
              <w:t>16S V5V6</w:t>
            </w:r>
          </w:p>
        </w:tc>
        <w:tc>
          <w:tcPr>
            <w:tcW w:w="992" w:type="dxa"/>
          </w:tcPr>
          <w:p w14:paraId="53A8AE0D"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rPr>
              <w:t>16SV5V6-F</w:t>
            </w:r>
          </w:p>
        </w:tc>
        <w:tc>
          <w:tcPr>
            <w:tcW w:w="1134" w:type="dxa"/>
          </w:tcPr>
          <w:p w14:paraId="092A0D35" w14:textId="77777777" w:rsidR="000D3F98" w:rsidRPr="00DB6B13" w:rsidRDefault="000D3F98" w:rsidP="008C5B3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rPr>
              <w:t>Forward</w:t>
            </w:r>
          </w:p>
        </w:tc>
        <w:tc>
          <w:tcPr>
            <w:tcW w:w="2835" w:type="dxa"/>
          </w:tcPr>
          <w:p w14:paraId="2D494D9F"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color w:val="3D3D3D"/>
                <w:lang w:eastAsia="nl-NL"/>
              </w:rPr>
              <w:t>ATTAGATACCCTGGTAGTCC</w:t>
            </w:r>
          </w:p>
        </w:tc>
        <w:tc>
          <w:tcPr>
            <w:tcW w:w="850" w:type="dxa"/>
            <w:vMerge w:val="restart"/>
          </w:tcPr>
          <w:p w14:paraId="70339C68" w14:textId="77777777" w:rsidR="000D3F98" w:rsidRPr="00DB6B13" w:rsidRDefault="000D3F98" w:rsidP="008C5B3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color w:val="3D3D3D"/>
                <w:lang w:eastAsia="nl-NL"/>
              </w:rPr>
              <w:t>2025</w:t>
            </w:r>
          </w:p>
        </w:tc>
        <w:tc>
          <w:tcPr>
            <w:tcW w:w="1701" w:type="dxa"/>
          </w:tcPr>
          <w:p w14:paraId="07044536" w14:textId="2DD48206" w:rsidR="000D3F98" w:rsidRPr="00DB6B13" w:rsidRDefault="000D3F98" w:rsidP="008C5B3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rPr>
              <w:fldChar w:fldCharType="begin"/>
            </w:r>
            <w:r w:rsidR="003F2A5D">
              <w:rPr>
                <w:rFonts w:cstheme="minorHAnsi"/>
              </w:rPr>
              <w:instrText xml:space="preserve"> ADDIN ZOTERO_ITEM CSL_CITATION {"citationID":"7XWQop06","properties":{"formattedCitation":"\\super 5\\nosupersub{}","plainCitation":"5","noteIndex":0},"citationItems":[{"id":5946,"uris":["http://zotero.org/groups/5828246/items/2LQICVKG"],"itemData":{"id":5946,"type":"article-journal","citation-key":"fakunleChildhoodLowerRespiratory2023","container-title":"Environmental Research","DOI":"10.1016/j.envres.2023.116063","ISSN":"0013-9351","page":"116063","publisher":"Elsevier BV","title":"Childhood lower respiratory tract infections linked to residential airborne bacterial and fungal microbiota","volume":"231","author":[{"family":"Fakunle","given":"Adekunle G."},{"family":"Jafta","given":"Nkosana"},{"family":"Bossers","given":"Alex"},{"family":"Wouters","given":"Inge M."},{"family":"Kersen","given":"Warner","dropping-particle":"van"},{"family":"Naidoo","given":"Rajen N."},{"family":"Smit","given":"Lidwien A.M."}],"issued":{"date-parts":[["2023",8]]}}}],"schema":"https://github.com/citation-style-language/schema/raw/master/csl-citation.json"} </w:instrText>
            </w:r>
            <w:r w:rsidRPr="00DB6B13">
              <w:rPr>
                <w:rFonts w:cstheme="minorHAnsi"/>
              </w:rPr>
              <w:fldChar w:fldCharType="separate"/>
            </w:r>
            <w:r w:rsidR="003F2A5D" w:rsidRPr="003F2A5D">
              <w:rPr>
                <w:rFonts w:ascii="Aptos" w:hAnsi="Aptos" w:cs="Times New Roman"/>
                <w:kern w:val="0"/>
                <w:vertAlign w:val="superscript"/>
              </w:rPr>
              <w:t>5</w:t>
            </w:r>
            <w:r w:rsidRPr="00DB6B13">
              <w:rPr>
                <w:rFonts w:cstheme="minorHAnsi"/>
              </w:rPr>
              <w:fldChar w:fldCharType="end"/>
            </w:r>
          </w:p>
        </w:tc>
      </w:tr>
      <w:tr w:rsidR="000D3F98" w:rsidRPr="00DB6B13" w14:paraId="11BAD711" w14:textId="77777777" w:rsidTr="002B6D64">
        <w:tc>
          <w:tcPr>
            <w:cnfStyle w:val="001000000000" w:firstRow="0" w:lastRow="0" w:firstColumn="1" w:lastColumn="0" w:oddVBand="0" w:evenVBand="0" w:oddHBand="0" w:evenHBand="0" w:firstRowFirstColumn="0" w:firstRowLastColumn="0" w:lastRowFirstColumn="0" w:lastRowLastColumn="0"/>
            <w:tcW w:w="1560" w:type="dxa"/>
            <w:vMerge/>
          </w:tcPr>
          <w:p w14:paraId="29C0F0C6" w14:textId="77777777" w:rsidR="000D3F98" w:rsidRPr="00DB6B13" w:rsidRDefault="000D3F98" w:rsidP="008C5B36">
            <w:pPr>
              <w:jc w:val="center"/>
              <w:rPr>
                <w:rFonts w:cstheme="minorHAnsi"/>
              </w:rPr>
            </w:pPr>
          </w:p>
        </w:tc>
        <w:tc>
          <w:tcPr>
            <w:tcW w:w="992" w:type="dxa"/>
          </w:tcPr>
          <w:p w14:paraId="69E1B205"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t>16SV5V6-R</w:t>
            </w:r>
          </w:p>
        </w:tc>
        <w:tc>
          <w:tcPr>
            <w:tcW w:w="1134" w:type="dxa"/>
          </w:tcPr>
          <w:p w14:paraId="12775EB5"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t>Reverse</w:t>
            </w:r>
          </w:p>
        </w:tc>
        <w:tc>
          <w:tcPr>
            <w:tcW w:w="2835" w:type="dxa"/>
          </w:tcPr>
          <w:p w14:paraId="08790705"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color w:val="3D3D3D"/>
                <w:lang w:eastAsia="nl-NL"/>
              </w:rPr>
              <w:t>TCACRRCACGAGCTGACGACA</w:t>
            </w:r>
          </w:p>
        </w:tc>
        <w:tc>
          <w:tcPr>
            <w:tcW w:w="850" w:type="dxa"/>
            <w:vMerge/>
          </w:tcPr>
          <w:p w14:paraId="260F0650" w14:textId="77777777" w:rsidR="000D3F98" w:rsidRPr="00DB6B13" w:rsidRDefault="000D3F98" w:rsidP="008C5B36">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701" w:type="dxa"/>
          </w:tcPr>
          <w:p w14:paraId="2971E715" w14:textId="3A3745DE" w:rsidR="000D3F98" w:rsidRPr="00DB6B13" w:rsidRDefault="000D3F98" w:rsidP="008C5B3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fldChar w:fldCharType="begin"/>
            </w:r>
            <w:r w:rsidR="003F2A5D">
              <w:rPr>
                <w:rFonts w:cstheme="minorHAnsi"/>
              </w:rPr>
              <w:instrText xml:space="preserve"> ADDIN ZOTERO_ITEM CSL_CITATION {"citationID":"sNsxcVAK","properties":{"formattedCitation":"\\super 5\\nosupersub{}","plainCitation":"5","noteIndex":0},"citationItems":[{"id":5946,"uris":["http://zotero.org/groups/5828246/items/2LQICVKG"],"itemData":{"id":5946,"type":"article-journal","citation-key":"fakunleChildhoodLowerRespiratory2023","container-title":"Environmental Research","DOI":"10.1016/j.envres.2023.116063","ISSN":"0013-9351","page":"116063","publisher":"Elsevier BV","title":"Childhood lower respiratory tract infections linked to residential airborne bacterial and fungal microbiota","volume":"231","author":[{"family":"Fakunle","given":"Adekunle G."},{"family":"Jafta","given":"Nkosana"},{"family":"Bossers","given":"Alex"},{"family":"Wouters","given":"Inge M."},{"family":"Kersen","given":"Warner","dropping-particle":"van"},{"family":"Naidoo","given":"Rajen N."},{"family":"Smit","given":"Lidwien A.M."}],"issued":{"date-parts":[["2023",8]]}}}],"schema":"https://github.com/citation-style-language/schema/raw/master/csl-citation.json"} </w:instrText>
            </w:r>
            <w:r w:rsidRPr="00DB6B13">
              <w:rPr>
                <w:rFonts w:cstheme="minorHAnsi"/>
              </w:rPr>
              <w:fldChar w:fldCharType="separate"/>
            </w:r>
            <w:r w:rsidR="003F2A5D" w:rsidRPr="003F2A5D">
              <w:rPr>
                <w:rFonts w:ascii="Aptos" w:hAnsi="Aptos" w:cs="Times New Roman"/>
                <w:kern w:val="0"/>
                <w:vertAlign w:val="superscript"/>
              </w:rPr>
              <w:t>5</w:t>
            </w:r>
            <w:r w:rsidRPr="00DB6B13">
              <w:rPr>
                <w:rFonts w:cstheme="minorHAnsi"/>
              </w:rPr>
              <w:fldChar w:fldCharType="end"/>
            </w:r>
          </w:p>
        </w:tc>
      </w:tr>
      <w:tr w:rsidR="000D3F98" w:rsidRPr="00DB6B13" w14:paraId="0310CE5F" w14:textId="77777777" w:rsidTr="002B6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47D950C3" w14:textId="77777777" w:rsidR="000D3F98" w:rsidRPr="00DB6B13" w:rsidRDefault="000D3F98" w:rsidP="008C5B36">
            <w:pPr>
              <w:jc w:val="center"/>
              <w:rPr>
                <w:rFonts w:cstheme="minorHAnsi"/>
              </w:rPr>
            </w:pPr>
            <w:r w:rsidRPr="00DB6B13">
              <w:rPr>
                <w:rFonts w:cstheme="minorHAnsi"/>
              </w:rPr>
              <w:t>16Smam</w:t>
            </w:r>
          </w:p>
        </w:tc>
        <w:tc>
          <w:tcPr>
            <w:tcW w:w="992" w:type="dxa"/>
          </w:tcPr>
          <w:p w14:paraId="76FC1B68"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lang w:eastAsia="nl-NL"/>
              </w:rPr>
              <w:t>16Sa2</w:t>
            </w:r>
          </w:p>
        </w:tc>
        <w:tc>
          <w:tcPr>
            <w:tcW w:w="1134" w:type="dxa"/>
          </w:tcPr>
          <w:p w14:paraId="40B46B6D"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rPr>
              <w:t>Forward</w:t>
            </w:r>
          </w:p>
        </w:tc>
        <w:tc>
          <w:tcPr>
            <w:tcW w:w="2835" w:type="dxa"/>
          </w:tcPr>
          <w:p w14:paraId="648A1E2B"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color w:val="3D3D3D"/>
                <w:lang w:eastAsia="nl-NL"/>
              </w:rPr>
            </w:pPr>
            <w:r w:rsidRPr="00DB6B13">
              <w:rPr>
                <w:rFonts w:cstheme="minorHAnsi"/>
                <w:lang w:eastAsia="nl-NL"/>
              </w:rPr>
              <w:t>CGCCTGTTTACCAAAAACAT</w:t>
            </w:r>
          </w:p>
        </w:tc>
        <w:tc>
          <w:tcPr>
            <w:tcW w:w="850" w:type="dxa"/>
            <w:vMerge w:val="restart"/>
          </w:tcPr>
          <w:p w14:paraId="21B45534" w14:textId="77777777" w:rsidR="000D3F98" w:rsidRPr="00DB6B13" w:rsidRDefault="000D3F98" w:rsidP="008C5B3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lang w:eastAsia="nl-NL"/>
              </w:rPr>
              <w:t>2025</w:t>
            </w:r>
          </w:p>
        </w:tc>
        <w:tc>
          <w:tcPr>
            <w:tcW w:w="1701" w:type="dxa"/>
          </w:tcPr>
          <w:p w14:paraId="1E356FDA" w14:textId="5DBA046E" w:rsidR="000D3F98" w:rsidRPr="00DB6B13" w:rsidRDefault="000D3F98" w:rsidP="008C5B3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lang w:eastAsia="nl-NL"/>
              </w:rPr>
              <w:fldChar w:fldCharType="begin"/>
            </w:r>
            <w:r w:rsidR="003F2A5D">
              <w:rPr>
                <w:rFonts w:cstheme="minorHAnsi"/>
                <w:lang w:eastAsia="nl-NL"/>
              </w:rPr>
              <w:instrText xml:space="preserve"> ADDIN ZOTERO_ITEM CSL_CITATION {"citationID":"dGuyNiTr","properties":{"formattedCitation":"\\super 6\\nosupersub{}","plainCitation":"6","noteIndex":0},"citationItems":[{"id":6156,"uris":["http://zotero.org/users/11517495/items/YXD9NN8D"],"itemData":{"id":6156,"type":"article-journal","abstract":"Background: DNA barcoding is a key tool for assessing biodiversity in both taxonomic and environmental studies. Essential features of barcodes include their applicability to a wide spectrum of taxa and their ability to identify even closely related species. Several DNA regions have been proposed as barcodes and the region selected strongly influences the output of a study. However, formal comparisons between barcodes remained limited until now. Here we present a standard method for evaluating barcode quality, based on the use of a new bioinformatic tool that performs in silico PCR over large databases. We illustrate this approach by comparing the taxonomic coverage and the resolution of several DNA regions already proposed for the barcoding of vertebrates. To assess the relationship between in silico and in vitro PCR, we also developed specific primers amplifying different species of Felidae, and we tested them using both kinds of PCR\nResults: Tests on specific primers confirmed the correspondence between in silico and in vitro PCR. Nevertheless, results of in silico and in vitro PCRs can be somehow different, also because tuning PCR conditions can increase the performance of primers with limited taxonomic coverage. The in silico evaluation of DNA barcodes showed a strong variation of taxonomic coverage (i.e., universality): barcodes based on highly degenerated primers and those corresponding to the conserved region of the Cyt-b showed the highest coverage. As expected, longer barcodes had a better resolution than shorter ones, which are however more convenient for ecological studies analysing environmental samples.\nConclusions: In silico PCR could be used to improve the performance of a study, by allowing the preliminary comparison of several DNA regions in order to identify the most appropriate barcode depending on the study aims.","container-title":"BMC Genomics","DOI":"10.1186/1471-2164-11-434","ISSN":"1471-2164","issue":"1","journalAbbreviation":"BMC Genomics","language":"en","page":"434","source":"DOI.org (Crossref)","title":"An In silico approach for the evaluation of DNA barcodes","volume":"11","author":[{"family":"Ficetola","given":"Gentile"},{"family":"Coissac","given":"Eric"},{"family":"Zundel","given":"Stéphanie"},{"family":"Riaz","given":"Tiayyba"},{"family":"Shehzad","given":"Wasim"},{"family":"Bessière","given":"Julien"},{"family":"Taberlet","given":"Pierre"},{"family":"Pompanon","given":"François"}],"issued":{"date-parts":[["2010"]]}}}],"schema":"https://github.com/citation-style-language/schema/raw/master/csl-citation.json"} </w:instrText>
            </w:r>
            <w:r w:rsidRPr="00DB6B13">
              <w:rPr>
                <w:rFonts w:cstheme="minorHAnsi"/>
                <w:lang w:eastAsia="nl-NL"/>
              </w:rPr>
              <w:fldChar w:fldCharType="separate"/>
            </w:r>
            <w:r w:rsidR="003F2A5D" w:rsidRPr="003F2A5D">
              <w:rPr>
                <w:rFonts w:ascii="Aptos" w:hAnsi="Aptos" w:cs="Times New Roman"/>
                <w:kern w:val="0"/>
                <w:vertAlign w:val="superscript"/>
              </w:rPr>
              <w:t>6</w:t>
            </w:r>
            <w:r w:rsidRPr="00DB6B13">
              <w:rPr>
                <w:rFonts w:cstheme="minorHAnsi"/>
                <w:lang w:eastAsia="nl-NL"/>
              </w:rPr>
              <w:fldChar w:fldCharType="end"/>
            </w:r>
          </w:p>
        </w:tc>
      </w:tr>
      <w:tr w:rsidR="000D3F98" w:rsidRPr="00DB6B13" w14:paraId="69173091" w14:textId="77777777" w:rsidTr="002B6D64">
        <w:tc>
          <w:tcPr>
            <w:cnfStyle w:val="001000000000" w:firstRow="0" w:lastRow="0" w:firstColumn="1" w:lastColumn="0" w:oddVBand="0" w:evenVBand="0" w:oddHBand="0" w:evenHBand="0" w:firstRowFirstColumn="0" w:firstRowLastColumn="0" w:lastRowFirstColumn="0" w:lastRowLastColumn="0"/>
            <w:tcW w:w="1560" w:type="dxa"/>
            <w:vMerge/>
          </w:tcPr>
          <w:p w14:paraId="36C9D3A0" w14:textId="77777777" w:rsidR="000D3F98" w:rsidRPr="00DB6B13" w:rsidRDefault="000D3F98" w:rsidP="008C5B36">
            <w:pPr>
              <w:jc w:val="center"/>
              <w:rPr>
                <w:rFonts w:cstheme="minorHAnsi"/>
              </w:rPr>
            </w:pPr>
          </w:p>
        </w:tc>
        <w:tc>
          <w:tcPr>
            <w:tcW w:w="992" w:type="dxa"/>
          </w:tcPr>
          <w:p w14:paraId="77C8750B"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t>16Sb</w:t>
            </w:r>
          </w:p>
        </w:tc>
        <w:tc>
          <w:tcPr>
            <w:tcW w:w="1134" w:type="dxa"/>
          </w:tcPr>
          <w:p w14:paraId="603F289F"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t>Reverse</w:t>
            </w:r>
          </w:p>
        </w:tc>
        <w:tc>
          <w:tcPr>
            <w:tcW w:w="2835" w:type="dxa"/>
          </w:tcPr>
          <w:p w14:paraId="72063EE4"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color w:val="3D3D3D"/>
                <w:lang w:eastAsia="nl-NL"/>
              </w:rPr>
            </w:pPr>
            <w:r w:rsidRPr="00DB6B13">
              <w:rPr>
                <w:rFonts w:cstheme="minorHAnsi"/>
                <w:lang w:eastAsia="nl-NL"/>
              </w:rPr>
              <w:t>CCGGTCTGAACTCAGATCACGT</w:t>
            </w:r>
          </w:p>
        </w:tc>
        <w:tc>
          <w:tcPr>
            <w:tcW w:w="850" w:type="dxa"/>
            <w:vMerge/>
          </w:tcPr>
          <w:p w14:paraId="74A79694" w14:textId="77777777" w:rsidR="000D3F98" w:rsidRPr="00DB6B13" w:rsidRDefault="000D3F98" w:rsidP="008C5B36">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701" w:type="dxa"/>
          </w:tcPr>
          <w:p w14:paraId="5C489F61" w14:textId="1E24775C" w:rsidR="000D3F98" w:rsidRPr="00DB6B13" w:rsidRDefault="000D3F98" w:rsidP="008C5B3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lang w:eastAsia="nl-NL"/>
              </w:rPr>
              <w:fldChar w:fldCharType="begin"/>
            </w:r>
            <w:r w:rsidR="003F2A5D">
              <w:rPr>
                <w:rFonts w:cstheme="minorHAnsi"/>
                <w:lang w:eastAsia="nl-NL"/>
              </w:rPr>
              <w:instrText xml:space="preserve"> ADDIN ZOTERO_ITEM CSL_CITATION {"citationID":"zwMYg1iQ","properties":{"formattedCitation":"\\super 6\\nosupersub{}","plainCitation":"6","noteIndex":0},"citationItems":[{"id":6156,"uris":["http://zotero.org/users/11517495/items/YXD9NN8D"],"itemData":{"id":6156,"type":"article-journal","abstract":"Background: DNA barcoding is a key tool for assessing biodiversity in both taxonomic and environmental studies. Essential features of barcodes include their applicability to a wide spectrum of taxa and their ability to identify even closely related species. Several DNA regions have been proposed as barcodes and the region selected strongly influences the output of a study. However, formal comparisons between barcodes remained limited until now. Here we present a standard method for evaluating barcode quality, based on the use of a new bioinformatic tool that performs in silico PCR over large databases. We illustrate this approach by comparing the taxonomic coverage and the resolution of several DNA regions already proposed for the barcoding of vertebrates. To assess the relationship between in silico and in vitro PCR, we also developed specific primers amplifying different species of Felidae, and we tested them using both kinds of PCR\nResults: Tests on specific primers confirmed the correspondence between in silico and in vitro PCR. Nevertheless, results of in silico and in vitro PCRs can be somehow different, also because tuning PCR conditions can increase the performance of primers with limited taxonomic coverage. The in silico evaluation of DNA barcodes showed a strong variation of taxonomic coverage (i.e., universality): barcodes based on highly degenerated primers and those corresponding to the conserved region of the Cyt-b showed the highest coverage. As expected, longer barcodes had a better resolution than shorter ones, which are however more convenient for ecological studies analysing environmental samples.\nConclusions: In silico PCR could be used to improve the performance of a study, by allowing the preliminary comparison of several DNA regions in order to identify the most appropriate barcode depending on the study aims.","container-title":"BMC Genomics","DOI":"10.1186/1471-2164-11-434","ISSN":"1471-2164","issue":"1","journalAbbreviation":"BMC Genomics","language":"en","page":"434","source":"DOI.org (Crossref)","title":"An In silico approach for the evaluation of DNA barcodes","volume":"11","author":[{"family":"Ficetola","given":"Gentile"},{"family":"Coissac","given":"Eric"},{"family":"Zundel","given":"Stéphanie"},{"family":"Riaz","given":"Tiayyba"},{"family":"Shehzad","given":"Wasim"},{"family":"Bessière","given":"Julien"},{"family":"Taberlet","given":"Pierre"},{"family":"Pompanon","given":"François"}],"issued":{"date-parts":[["2010"]]}}}],"schema":"https://github.com/citation-style-language/schema/raw/master/csl-citation.json"} </w:instrText>
            </w:r>
            <w:r w:rsidRPr="00DB6B13">
              <w:rPr>
                <w:rFonts w:cstheme="minorHAnsi"/>
                <w:lang w:eastAsia="nl-NL"/>
              </w:rPr>
              <w:fldChar w:fldCharType="separate"/>
            </w:r>
            <w:r w:rsidR="003F2A5D" w:rsidRPr="003F2A5D">
              <w:rPr>
                <w:rFonts w:ascii="Aptos" w:hAnsi="Aptos" w:cs="Times New Roman"/>
                <w:kern w:val="0"/>
                <w:vertAlign w:val="superscript"/>
              </w:rPr>
              <w:t>6</w:t>
            </w:r>
            <w:r w:rsidRPr="00DB6B13">
              <w:rPr>
                <w:rFonts w:cstheme="minorHAnsi"/>
                <w:lang w:eastAsia="nl-NL"/>
              </w:rPr>
              <w:fldChar w:fldCharType="end"/>
            </w:r>
          </w:p>
        </w:tc>
      </w:tr>
      <w:tr w:rsidR="000D3F98" w:rsidRPr="00DB6B13" w14:paraId="68290A47" w14:textId="77777777" w:rsidTr="002B6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39AF0CD5" w14:textId="77777777" w:rsidR="000D3F98" w:rsidRPr="00DB6B13" w:rsidRDefault="000D3F98" w:rsidP="008C5B36">
            <w:pPr>
              <w:jc w:val="center"/>
              <w:rPr>
                <w:rFonts w:cstheme="minorHAnsi"/>
              </w:rPr>
            </w:pPr>
            <w:r w:rsidRPr="00DB6B13">
              <w:rPr>
                <w:rFonts w:cstheme="minorHAnsi"/>
              </w:rPr>
              <w:t>12Smam</w:t>
            </w:r>
          </w:p>
        </w:tc>
        <w:tc>
          <w:tcPr>
            <w:tcW w:w="992" w:type="dxa"/>
          </w:tcPr>
          <w:p w14:paraId="0B8C1F46"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lang w:eastAsia="nl-NL"/>
              </w:rPr>
              <w:t>12S-V5F</w:t>
            </w:r>
          </w:p>
        </w:tc>
        <w:tc>
          <w:tcPr>
            <w:tcW w:w="1134" w:type="dxa"/>
          </w:tcPr>
          <w:p w14:paraId="19987661"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rPr>
              <w:t>Forward</w:t>
            </w:r>
          </w:p>
        </w:tc>
        <w:tc>
          <w:tcPr>
            <w:tcW w:w="2835" w:type="dxa"/>
          </w:tcPr>
          <w:p w14:paraId="090238B0"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DB6B13">
              <w:rPr>
                <w:rFonts w:cstheme="minorHAnsi"/>
                <w:lang w:eastAsia="nl-NL"/>
              </w:rPr>
              <w:t>TTAGATACCCCACTATGC</w:t>
            </w:r>
          </w:p>
        </w:tc>
        <w:tc>
          <w:tcPr>
            <w:tcW w:w="850" w:type="dxa"/>
            <w:vMerge w:val="restart"/>
          </w:tcPr>
          <w:p w14:paraId="35457C6C" w14:textId="77777777" w:rsidR="000D3F98" w:rsidRPr="00DB6B13" w:rsidRDefault="000D3F98" w:rsidP="008C5B3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lang w:eastAsia="nl-NL"/>
              </w:rPr>
              <w:t>2025</w:t>
            </w:r>
          </w:p>
        </w:tc>
        <w:tc>
          <w:tcPr>
            <w:tcW w:w="1701" w:type="dxa"/>
          </w:tcPr>
          <w:p w14:paraId="45C315D3" w14:textId="37E51118" w:rsidR="000D3F98" w:rsidRPr="00DB6B13" w:rsidRDefault="000D3F98" w:rsidP="008C5B3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lang w:eastAsia="nl-NL"/>
              </w:rPr>
              <w:fldChar w:fldCharType="begin"/>
            </w:r>
            <w:r w:rsidR="003F2A5D">
              <w:rPr>
                <w:rFonts w:cstheme="minorHAnsi"/>
                <w:lang w:eastAsia="nl-NL"/>
              </w:rPr>
              <w:instrText xml:space="preserve"> ADDIN ZOTERO_ITEM CSL_CITATION {"citationID":"fbtNtLYt","properties":{"formattedCitation":"\\super 7\\nosupersub{}","plainCitation":"7","noteIndex":0},"citationItems":[{"id":6165,"uris":["http://zotero.org/users/11517495/items/BAH2Z86W"],"itemData":{"id":6165,"type":"article-journal","abstract":"Using non-conventional markers, DNA metabarcoding allows biodiversity assessment from complex substrates. In this article, we present ecoPrimers, a software for identifying new barcode markers and their associated PCR primers. ecoPrimers scans whole genomes to find such markers without a priori knowledge. ecoPrimers optimizes two quality indices measuring taxonomical range and discrimination to select the most efficient markers from a set of reference sequences, according to specific experimental constraints such as marker length or specifically targeted taxa. The key step of the algorithm is the identification of conserved regions among reference sequences for anchoring primers. We propose an efficient algorithm based on data mining, that allows the analysis of huge sets of sequences. We evaluate the efficiency of ecoPrimers by running it on three different sequence sets: mitochondrial, chloroplast and bacterial genomes. Identified barcode markers correspond either to barcode regions already in use for plants or animals, or to new potential barcodes. Results from empirical experiments carried out on a promising new barcode for analyzing vertebrate diversity fully agree with expectations based on bioinformatics analysis. These tests demonstrate the efficiency of ecoPrimers for inferring new barcodes fitting with diverse experimental contexts. ecoPrimers is available as an open source project at: http://www.grenoble.prabi.fr/trac/ecoPrimers.","container-title":"Nucleic Acids Research","DOI":"10.1093/nar/gkr732","ISSN":"1362-4962, 0305-1048","issue":"21","language":"en","license":"http://creativecommons.org/licenses/by-nc/3.0","page":"e145-e145","source":"DOI.org (Crossref)","title":"ecoPrimers: inference of new DNA barcode markers from whole genome sequence analysis","title-short":"ecoPrimers","volume":"39","author":[{"family":"Riaz","given":"Tiayyba"},{"family":"Shehzad","given":"Wasim"},{"family":"Viari","given":"Alain"},{"family":"Pompanon","given":"François"},{"family":"Taberlet","given":"Pierre"},{"family":"Coissac","given":"Eric"}],"issued":{"date-parts":[["2011",11,1]]}}}],"schema":"https://github.com/citation-style-language/schema/raw/master/csl-citation.json"} </w:instrText>
            </w:r>
            <w:r w:rsidRPr="00DB6B13">
              <w:rPr>
                <w:rFonts w:cstheme="minorHAnsi"/>
                <w:lang w:eastAsia="nl-NL"/>
              </w:rPr>
              <w:fldChar w:fldCharType="separate"/>
            </w:r>
            <w:r w:rsidR="003F2A5D" w:rsidRPr="003F2A5D">
              <w:rPr>
                <w:rFonts w:ascii="Aptos" w:hAnsi="Aptos" w:cs="Times New Roman"/>
                <w:kern w:val="0"/>
                <w:vertAlign w:val="superscript"/>
              </w:rPr>
              <w:t>7</w:t>
            </w:r>
            <w:r w:rsidRPr="00DB6B13">
              <w:rPr>
                <w:rFonts w:cstheme="minorHAnsi"/>
                <w:lang w:eastAsia="nl-NL"/>
              </w:rPr>
              <w:fldChar w:fldCharType="end"/>
            </w:r>
          </w:p>
        </w:tc>
      </w:tr>
      <w:tr w:rsidR="000D3F98" w:rsidRPr="00DB6B13" w14:paraId="7F0B578D" w14:textId="77777777" w:rsidTr="002B6D64">
        <w:tc>
          <w:tcPr>
            <w:cnfStyle w:val="001000000000" w:firstRow="0" w:lastRow="0" w:firstColumn="1" w:lastColumn="0" w:oddVBand="0" w:evenVBand="0" w:oddHBand="0" w:evenHBand="0" w:firstRowFirstColumn="0" w:firstRowLastColumn="0" w:lastRowFirstColumn="0" w:lastRowLastColumn="0"/>
            <w:tcW w:w="1560" w:type="dxa"/>
            <w:vMerge/>
          </w:tcPr>
          <w:p w14:paraId="097C42B4" w14:textId="77777777" w:rsidR="000D3F98" w:rsidRPr="00DB6B13" w:rsidRDefault="000D3F98" w:rsidP="008C5B36">
            <w:pPr>
              <w:jc w:val="center"/>
              <w:rPr>
                <w:rFonts w:cstheme="minorHAnsi"/>
              </w:rPr>
            </w:pPr>
          </w:p>
        </w:tc>
        <w:tc>
          <w:tcPr>
            <w:tcW w:w="992" w:type="dxa"/>
          </w:tcPr>
          <w:p w14:paraId="7F179EFF"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DB6B13">
              <w:rPr>
                <w:rFonts w:cstheme="minorHAnsi"/>
                <w:color w:val="000000"/>
                <w:lang w:eastAsia="nl-NL"/>
              </w:rPr>
              <w:t>12S-V5R</w:t>
            </w:r>
          </w:p>
        </w:tc>
        <w:tc>
          <w:tcPr>
            <w:tcW w:w="1134" w:type="dxa"/>
          </w:tcPr>
          <w:p w14:paraId="483B91E6"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t>Reverse</w:t>
            </w:r>
          </w:p>
        </w:tc>
        <w:tc>
          <w:tcPr>
            <w:tcW w:w="2835" w:type="dxa"/>
          </w:tcPr>
          <w:p w14:paraId="305908BC"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DB6B13">
              <w:rPr>
                <w:rFonts w:cstheme="minorHAnsi"/>
                <w:lang w:eastAsia="nl-NL"/>
              </w:rPr>
              <w:t>TAGAACAGGCTCCTCTAG</w:t>
            </w:r>
          </w:p>
        </w:tc>
        <w:tc>
          <w:tcPr>
            <w:tcW w:w="850" w:type="dxa"/>
            <w:vMerge/>
          </w:tcPr>
          <w:p w14:paraId="62B0E884" w14:textId="77777777" w:rsidR="000D3F98" w:rsidRPr="00DB6B13" w:rsidRDefault="000D3F98" w:rsidP="008C5B36">
            <w:pPr>
              <w:jc w:val="center"/>
              <w:cnfStyle w:val="000000000000" w:firstRow="0" w:lastRow="0" w:firstColumn="0" w:lastColumn="0" w:oddVBand="0" w:evenVBand="0" w:oddHBand="0" w:evenHBand="0" w:firstRowFirstColumn="0" w:firstRowLastColumn="0" w:lastRowFirstColumn="0" w:lastRowLastColumn="0"/>
              <w:rPr>
                <w:rFonts w:cstheme="minorHAnsi"/>
                <w:lang w:eastAsia="nl-NL"/>
              </w:rPr>
            </w:pPr>
          </w:p>
        </w:tc>
        <w:tc>
          <w:tcPr>
            <w:tcW w:w="1701" w:type="dxa"/>
          </w:tcPr>
          <w:p w14:paraId="37D4F016" w14:textId="31C0F0D0" w:rsidR="000D3F98" w:rsidRPr="00DB6B13" w:rsidRDefault="000D3F98" w:rsidP="008C5B36">
            <w:pPr>
              <w:jc w:val="center"/>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DB6B13">
              <w:rPr>
                <w:rFonts w:cstheme="minorHAnsi"/>
                <w:lang w:eastAsia="nl-NL"/>
              </w:rPr>
              <w:fldChar w:fldCharType="begin"/>
            </w:r>
            <w:r w:rsidR="003F2A5D">
              <w:rPr>
                <w:rFonts w:cstheme="minorHAnsi"/>
                <w:lang w:eastAsia="nl-NL"/>
              </w:rPr>
              <w:instrText xml:space="preserve"> ADDIN ZOTERO_ITEM CSL_CITATION {"citationID":"WNMk2WQu","properties":{"formattedCitation":"\\super 7\\nosupersub{}","plainCitation":"7","noteIndex":0},"citationItems":[{"id":6165,"uris":["http://zotero.org/users/11517495/items/BAH2Z86W"],"itemData":{"id":6165,"type":"article-journal","abstract":"Using non-conventional markers, DNA metabarcoding allows biodiversity assessment from complex substrates. In this article, we present ecoPrimers, a software for identifying new barcode markers and their associated PCR primers. ecoPrimers scans whole genomes to find such markers without a priori knowledge. ecoPrimers optimizes two quality indices measuring taxonomical range and discrimination to select the most efficient markers from a set of reference sequences, according to specific experimental constraints such as marker length or specifically targeted taxa. The key step of the algorithm is the identification of conserved regions among reference sequences for anchoring primers. We propose an efficient algorithm based on data mining, that allows the analysis of huge sets of sequences. We evaluate the efficiency of ecoPrimers by running it on three different sequence sets: mitochondrial, chloroplast and bacterial genomes. Identified barcode markers correspond either to barcode regions already in use for plants or animals, or to new potential barcodes. Results from empirical experiments carried out on a promising new barcode for analyzing vertebrate diversity fully agree with expectations based on bioinformatics analysis. These tests demonstrate the efficiency of ecoPrimers for inferring new barcodes fitting with diverse experimental contexts. ecoPrimers is available as an open source project at: http://www.grenoble.prabi.fr/trac/ecoPrimers.","container-title":"Nucleic Acids Research","DOI":"10.1093/nar/gkr732","ISSN":"1362-4962, 0305-1048","issue":"21","language":"en","license":"http://creativecommons.org/licenses/by-nc/3.0","page":"e145-e145","source":"DOI.org (Crossref)","title":"ecoPrimers: inference of new DNA barcode markers from whole genome sequence analysis","title-short":"ecoPrimers","volume":"39","author":[{"family":"Riaz","given":"Tiayyba"},{"family":"Shehzad","given":"Wasim"},{"family":"Viari","given":"Alain"},{"family":"Pompanon","given":"François"},{"family":"Taberlet","given":"Pierre"},{"family":"Coissac","given":"Eric"}],"issued":{"date-parts":[["2011",11,1]]}}}],"schema":"https://github.com/citation-style-language/schema/raw/master/csl-citation.json"} </w:instrText>
            </w:r>
            <w:r w:rsidRPr="00DB6B13">
              <w:rPr>
                <w:rFonts w:cstheme="minorHAnsi"/>
                <w:lang w:eastAsia="nl-NL"/>
              </w:rPr>
              <w:fldChar w:fldCharType="separate"/>
            </w:r>
            <w:r w:rsidR="003F2A5D" w:rsidRPr="003F2A5D">
              <w:rPr>
                <w:rFonts w:ascii="Aptos" w:hAnsi="Aptos" w:cs="Times New Roman"/>
                <w:kern w:val="0"/>
                <w:vertAlign w:val="superscript"/>
              </w:rPr>
              <w:t>7</w:t>
            </w:r>
            <w:r w:rsidRPr="00DB6B13">
              <w:rPr>
                <w:rFonts w:cstheme="minorHAnsi"/>
                <w:lang w:eastAsia="nl-NL"/>
              </w:rPr>
              <w:fldChar w:fldCharType="end"/>
            </w:r>
          </w:p>
        </w:tc>
      </w:tr>
      <w:tr w:rsidR="000D3F98" w:rsidRPr="00DB6B13" w14:paraId="5A4A9662" w14:textId="77777777" w:rsidTr="002B6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Pr>
          <w:p w14:paraId="712ABB13" w14:textId="77777777" w:rsidR="000D3F98" w:rsidRPr="00DB6B13" w:rsidRDefault="000D3F98" w:rsidP="008C5B36">
            <w:pPr>
              <w:jc w:val="center"/>
              <w:rPr>
                <w:rFonts w:cstheme="minorHAnsi"/>
              </w:rPr>
            </w:pPr>
            <w:r w:rsidRPr="00DB6B13">
              <w:rPr>
                <w:rFonts w:cstheme="minorHAnsi"/>
              </w:rPr>
              <w:t>ITS1</w:t>
            </w:r>
          </w:p>
        </w:tc>
        <w:tc>
          <w:tcPr>
            <w:tcW w:w="992" w:type="dxa"/>
          </w:tcPr>
          <w:p w14:paraId="0F57B5AD"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color w:val="000000"/>
                <w:lang w:eastAsia="nl-NL"/>
              </w:rPr>
            </w:pPr>
            <w:r w:rsidRPr="00DB6B13">
              <w:rPr>
                <w:rFonts w:cstheme="minorHAnsi"/>
                <w:lang w:eastAsia="nl-NL"/>
              </w:rPr>
              <w:t>ITS1F-fw.2</w:t>
            </w:r>
          </w:p>
        </w:tc>
        <w:tc>
          <w:tcPr>
            <w:tcW w:w="1134" w:type="dxa"/>
          </w:tcPr>
          <w:p w14:paraId="32E1655F"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rPr>
              <w:t>Forward</w:t>
            </w:r>
          </w:p>
        </w:tc>
        <w:tc>
          <w:tcPr>
            <w:tcW w:w="2835" w:type="dxa"/>
          </w:tcPr>
          <w:p w14:paraId="0BFAB7D8"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DB6B13">
              <w:rPr>
                <w:rFonts w:cstheme="minorHAnsi"/>
                <w:lang w:eastAsia="nl-NL"/>
              </w:rPr>
              <w:t>CTTGGTCATTTAGAGGAAGTAA</w:t>
            </w:r>
          </w:p>
        </w:tc>
        <w:tc>
          <w:tcPr>
            <w:tcW w:w="850" w:type="dxa"/>
            <w:vMerge w:val="restart"/>
          </w:tcPr>
          <w:p w14:paraId="2C6B9424" w14:textId="77777777" w:rsidR="000D3F98" w:rsidRPr="00DB6B13" w:rsidRDefault="000D3F98" w:rsidP="008C5B3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lang w:eastAsia="nl-NL"/>
              </w:rPr>
              <w:t>2025</w:t>
            </w:r>
          </w:p>
        </w:tc>
        <w:tc>
          <w:tcPr>
            <w:tcW w:w="1701" w:type="dxa"/>
          </w:tcPr>
          <w:p w14:paraId="361EE52C" w14:textId="0095B84D" w:rsidR="000D3F98" w:rsidRPr="00DB6B13" w:rsidRDefault="000D3F98" w:rsidP="008C5B3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rPr>
              <w:fldChar w:fldCharType="begin"/>
            </w:r>
            <w:r w:rsidR="003F2A5D">
              <w:rPr>
                <w:rFonts w:cstheme="minorHAnsi"/>
              </w:rPr>
              <w:instrText xml:space="preserve"> ADDIN ZOTERO_ITEM CSL_CITATION {"citationID":"CCJcCRUi","properties":{"formattedCitation":"\\super 8\\nosupersub{}","plainCitation":"8","noteIndex":0},"citationItems":[{"id":6163,"uris":["http://zotero.org/users/11517495/items/LQNQAZTI"],"itemData":{"id":6163,"type":"article-journal","abstract":"Abstract\n            We have designed two taxon</w:instrText>
            </w:r>
            <w:r w:rsidR="003F2A5D">
              <w:rPr>
                <w:rFonts w:ascii="Cambria Math" w:hAnsi="Cambria Math" w:cs="Cambria Math"/>
              </w:rPr>
              <w:instrText>‐</w:instrText>
            </w:r>
            <w:r w:rsidR="003F2A5D">
              <w:rPr>
                <w:rFonts w:cstheme="minorHAnsi"/>
              </w:rPr>
              <w:instrText>selective primers for the internal transcribed spacer (ITS) region in the nuclear ribosomal repeat unit. These primers, ITS1</w:instrText>
            </w:r>
            <w:r w:rsidR="003F2A5D">
              <w:rPr>
                <w:rFonts w:ascii="Cambria Math" w:hAnsi="Cambria Math" w:cs="Cambria Math"/>
              </w:rPr>
              <w:instrText>‐</w:instrText>
            </w:r>
            <w:r w:rsidR="003F2A5D">
              <w:rPr>
                <w:rFonts w:cstheme="minorHAnsi"/>
              </w:rPr>
              <w:instrText>F and ITS4</w:instrText>
            </w:r>
            <w:r w:rsidR="003F2A5D">
              <w:rPr>
                <w:rFonts w:ascii="Cambria Math" w:hAnsi="Cambria Math" w:cs="Cambria Math"/>
              </w:rPr>
              <w:instrText>‐</w:instrText>
            </w:r>
            <w:r w:rsidR="003F2A5D">
              <w:rPr>
                <w:rFonts w:cstheme="minorHAnsi"/>
              </w:rPr>
              <w:instrText>B, were intended to be specific to fungi and basidiomycetes, respectively. We have tested the specificity of these primers against 13 species of ascomycetes, 14 of basidiomycetes, and 15 of plants. Our results showed that ITS4</w:instrText>
            </w:r>
            <w:r w:rsidR="003F2A5D">
              <w:rPr>
                <w:rFonts w:ascii="Cambria Math" w:hAnsi="Cambria Math" w:cs="Cambria Math"/>
              </w:rPr>
              <w:instrText>‐</w:instrText>
            </w:r>
            <w:r w:rsidR="003F2A5D">
              <w:rPr>
                <w:rFonts w:cstheme="minorHAnsi"/>
              </w:rPr>
              <w:instrText xml:space="preserve">B, when paired with either a </w:instrText>
            </w:r>
            <w:r w:rsidR="003F2A5D">
              <w:rPr>
                <w:rFonts w:ascii="Aptos" w:hAnsi="Aptos" w:cs="Aptos"/>
              </w:rPr>
              <w:instrText>‘</w:instrText>
            </w:r>
            <w:r w:rsidR="003F2A5D">
              <w:rPr>
                <w:rFonts w:cstheme="minorHAnsi"/>
              </w:rPr>
              <w:instrText>universal</w:instrText>
            </w:r>
            <w:r w:rsidR="003F2A5D">
              <w:rPr>
                <w:rFonts w:ascii="Aptos" w:hAnsi="Aptos" w:cs="Aptos"/>
              </w:rPr>
              <w:instrText>’</w:instrText>
            </w:r>
            <w:r w:rsidR="003F2A5D">
              <w:rPr>
                <w:rFonts w:cstheme="minorHAnsi"/>
              </w:rPr>
              <w:instrText xml:space="preserve"> primer ITS1 or the fungal</w:instrText>
            </w:r>
            <w:r w:rsidR="003F2A5D">
              <w:rPr>
                <w:rFonts w:ascii="Cambria Math" w:hAnsi="Cambria Math" w:cs="Cambria Math"/>
              </w:rPr>
              <w:instrText>‐</w:instrText>
            </w:r>
            <w:r w:rsidR="003F2A5D">
              <w:rPr>
                <w:rFonts w:cstheme="minorHAnsi"/>
              </w:rPr>
              <w:instrText>specific primer ITS1</w:instrText>
            </w:r>
            <w:r w:rsidR="003F2A5D">
              <w:rPr>
                <w:rFonts w:ascii="Cambria Math" w:hAnsi="Cambria Math" w:cs="Cambria Math"/>
              </w:rPr>
              <w:instrText>‐</w:instrText>
            </w:r>
            <w:r w:rsidR="003F2A5D">
              <w:rPr>
                <w:rFonts w:cstheme="minorHAnsi"/>
              </w:rPr>
              <w:instrText>F, efficiently amplified DNA from all basidiomycetes and discriminated against ascomycete DNAs. The results with plants were not as clearcut. The ITS1</w:instrText>
            </w:r>
            <w:r w:rsidR="003F2A5D">
              <w:rPr>
                <w:rFonts w:ascii="Cambria Math" w:hAnsi="Cambria Math" w:cs="Cambria Math"/>
              </w:rPr>
              <w:instrText>‐</w:instrText>
            </w:r>
            <w:r w:rsidR="003F2A5D">
              <w:rPr>
                <w:rFonts w:cstheme="minorHAnsi"/>
              </w:rPr>
              <w:instrText>F/ITS4</w:instrText>
            </w:r>
            <w:r w:rsidR="003F2A5D">
              <w:rPr>
                <w:rFonts w:ascii="Cambria Math" w:hAnsi="Cambria Math" w:cs="Cambria Math"/>
              </w:rPr>
              <w:instrText>‐</w:instrText>
            </w:r>
            <w:r w:rsidR="003F2A5D">
              <w:rPr>
                <w:rFonts w:cstheme="minorHAnsi"/>
              </w:rPr>
              <w:instrText>B primer pair produced a small amount of PCR product for certain plant species, but the quantity was in most cases less than that produced by the ‘universal’ ITS primers. However, under conditions where both plant and fungal DNAs were present, the fungal DNA was amplified to the apparent exclusion of plant DNA. ITS1</w:instrText>
            </w:r>
            <w:r w:rsidR="003F2A5D">
              <w:rPr>
                <w:rFonts w:ascii="Cambria Math" w:hAnsi="Cambria Math" w:cs="Cambria Math"/>
              </w:rPr>
              <w:instrText>‐</w:instrText>
            </w:r>
            <w:r w:rsidR="003F2A5D">
              <w:rPr>
                <w:rFonts w:cstheme="minorHAnsi"/>
              </w:rPr>
              <w:instrText>F/ITS4</w:instrText>
            </w:r>
            <w:r w:rsidR="003F2A5D">
              <w:rPr>
                <w:rFonts w:ascii="Cambria Math" w:hAnsi="Cambria Math" w:cs="Cambria Math"/>
              </w:rPr>
              <w:instrText>‐</w:instrText>
            </w:r>
            <w:r w:rsidR="003F2A5D">
              <w:rPr>
                <w:rFonts w:cstheme="minorHAnsi"/>
              </w:rPr>
              <w:instrText>B preferential amplification was shown to be particularly useful for detection and analysis of the basidiomycete component in ectomycorrhizae and in rust</w:instrText>
            </w:r>
            <w:r w:rsidR="003F2A5D">
              <w:rPr>
                <w:rFonts w:ascii="Cambria Math" w:hAnsi="Cambria Math" w:cs="Cambria Math"/>
              </w:rPr>
              <w:instrText>‐</w:instrText>
            </w:r>
            <w:r w:rsidR="003F2A5D">
              <w:rPr>
                <w:rFonts w:cstheme="minorHAnsi"/>
              </w:rPr>
              <w:instrText xml:space="preserve">infected tissues. These primers can be used to study the structure of ectomycorrhizal communities or the distribution of rusts on alternate hosts.","container-title":"Molecular Ecology","DOI":"10.1111/j.1365-294X.1993.tb00005.x","ISSN":"0962-1083, 1365-294X","issue":"2","journalAbbreviation":"Molecular Ecology","language":"en","license":"http://onlinelibrary.wiley.com/termsAndConditions#vor","page":"113-118","source":"DOI.org (Crossref)","title":"ITS primers with enhanced specificity for basidiomycetes </w:instrText>
            </w:r>
            <w:r w:rsidR="003F2A5D">
              <w:rPr>
                <w:rFonts w:ascii="Cambria Math" w:hAnsi="Cambria Math" w:cs="Cambria Math"/>
              </w:rPr>
              <w:instrText>‐</w:instrText>
            </w:r>
            <w:r w:rsidR="003F2A5D">
              <w:rPr>
                <w:rFonts w:cstheme="minorHAnsi"/>
              </w:rPr>
              <w:instrText xml:space="preserve"> application to the identification of mycorrhizae and rusts","volume":"2","author":[{"family":"Gardes","given":"M."},{"family":"Bruns","given":"T. D."}],"issued":{"date-parts":[["1993",4]]}}}],"schema":"https://github.com/citation-style-language/schema/raw/master/csl-citation.json"} </w:instrText>
            </w:r>
            <w:r w:rsidRPr="00DB6B13">
              <w:rPr>
                <w:rFonts w:cstheme="minorHAnsi"/>
              </w:rPr>
              <w:fldChar w:fldCharType="separate"/>
            </w:r>
            <w:r w:rsidR="003F2A5D" w:rsidRPr="003F2A5D">
              <w:rPr>
                <w:rFonts w:ascii="Aptos" w:hAnsi="Aptos" w:cs="Times New Roman"/>
                <w:kern w:val="0"/>
                <w:vertAlign w:val="superscript"/>
              </w:rPr>
              <w:t>8</w:t>
            </w:r>
            <w:r w:rsidRPr="00DB6B13">
              <w:rPr>
                <w:rFonts w:cstheme="minorHAnsi"/>
              </w:rPr>
              <w:fldChar w:fldCharType="end"/>
            </w:r>
          </w:p>
        </w:tc>
      </w:tr>
      <w:tr w:rsidR="000D3F98" w:rsidRPr="00DB6B13" w14:paraId="5C91AC20" w14:textId="77777777" w:rsidTr="002B6D64">
        <w:tc>
          <w:tcPr>
            <w:cnfStyle w:val="001000000000" w:firstRow="0" w:lastRow="0" w:firstColumn="1" w:lastColumn="0" w:oddVBand="0" w:evenVBand="0" w:oddHBand="0" w:evenHBand="0" w:firstRowFirstColumn="0" w:firstRowLastColumn="0" w:lastRowFirstColumn="0" w:lastRowLastColumn="0"/>
            <w:tcW w:w="1560" w:type="dxa"/>
            <w:vMerge/>
          </w:tcPr>
          <w:p w14:paraId="7A781FCA" w14:textId="77777777" w:rsidR="000D3F98" w:rsidRPr="00DB6B13" w:rsidRDefault="000D3F98" w:rsidP="008C5B36">
            <w:pPr>
              <w:jc w:val="center"/>
              <w:rPr>
                <w:rFonts w:cstheme="minorHAnsi"/>
              </w:rPr>
            </w:pPr>
          </w:p>
        </w:tc>
        <w:tc>
          <w:tcPr>
            <w:tcW w:w="992" w:type="dxa"/>
          </w:tcPr>
          <w:p w14:paraId="6D6881B0"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color w:val="000000"/>
                <w:lang w:eastAsia="nl-NL"/>
              </w:rPr>
            </w:pPr>
            <w:r w:rsidRPr="00DB6B13">
              <w:rPr>
                <w:rFonts w:cstheme="minorHAnsi"/>
                <w:lang w:eastAsia="nl-NL"/>
              </w:rPr>
              <w:t>ITS1-R</w:t>
            </w:r>
          </w:p>
        </w:tc>
        <w:tc>
          <w:tcPr>
            <w:tcW w:w="1134" w:type="dxa"/>
          </w:tcPr>
          <w:p w14:paraId="5D444023"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t>Reverse</w:t>
            </w:r>
          </w:p>
        </w:tc>
        <w:tc>
          <w:tcPr>
            <w:tcW w:w="2835" w:type="dxa"/>
          </w:tcPr>
          <w:p w14:paraId="1E5D5AA7"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DB6B13">
              <w:rPr>
                <w:rFonts w:cstheme="minorHAnsi"/>
                <w:lang w:eastAsia="nl-NL"/>
              </w:rPr>
              <w:t>GCTGCGTTCTTCATCGATGC</w:t>
            </w:r>
          </w:p>
        </w:tc>
        <w:tc>
          <w:tcPr>
            <w:tcW w:w="850" w:type="dxa"/>
            <w:vMerge/>
          </w:tcPr>
          <w:p w14:paraId="7E6B8DA2" w14:textId="77777777" w:rsidR="000D3F98" w:rsidRPr="00DB6B13" w:rsidRDefault="000D3F98" w:rsidP="008C5B36">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701" w:type="dxa"/>
          </w:tcPr>
          <w:p w14:paraId="7F257F4D" w14:textId="0132B6DF" w:rsidR="000D3F98" w:rsidRPr="00DB6B13" w:rsidRDefault="000D3F98" w:rsidP="008C5B3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fldChar w:fldCharType="begin"/>
            </w:r>
            <w:r w:rsidR="003F2A5D">
              <w:rPr>
                <w:rFonts w:cstheme="minorHAnsi"/>
              </w:rPr>
              <w:instrText xml:space="preserve"> ADDIN ZOTERO_ITEM CSL_CITATION {"citationID":"ZqE86HVC","properties":{"formattedCitation":"\\super 9\\nosupersub{}","plainCitation":"9","noteIndex":0},"citationItems":[{"id":6152,"uris":["http://zotero.org/users/11517495/items/GQVQRSDH"],"itemData":{"id":6152,"type":"chapter","container-title":"PCR Protocols","DOI":"10.1016/B978-0-12-372180-8.50042-1","ISBN":"978-0-12-372180-8","language":"en","license":"https://www.elsevier.com/tdm/userlicense/1.0/","page":"315-322","publisher":"Elsevier","source":"DOI.org (Crossref)","title":"AMPLIFICATION AND DIRECT SEQUENCING OF FUNGAL RIBOSOMAL RNA GENES FOR PHYLOGENETICS","URL":"https://linkinghub.elsevier.com/retrieve/pii/B9780123721808500421","author":[{"family":"White","given":"T.J."},{"family":"Bruns","given":"T."},{"family":"Lee","given":"S."},{"family":"Taylor","given":"J."}],"accessed":{"date-parts":[["2026",6,19]]},"issued":{"date-parts":[["1990"]]}}}],"schema":"https://github.com/citation-style-language/schema/raw/master/csl-citation.json"} </w:instrText>
            </w:r>
            <w:r w:rsidRPr="00DB6B13">
              <w:rPr>
                <w:rFonts w:cstheme="minorHAnsi"/>
              </w:rPr>
              <w:fldChar w:fldCharType="separate"/>
            </w:r>
            <w:r w:rsidR="003F2A5D" w:rsidRPr="003F2A5D">
              <w:rPr>
                <w:rFonts w:ascii="Aptos" w:hAnsi="Aptos" w:cs="Times New Roman"/>
                <w:kern w:val="0"/>
                <w:vertAlign w:val="superscript"/>
              </w:rPr>
              <w:t>9</w:t>
            </w:r>
            <w:r w:rsidRPr="00DB6B13">
              <w:rPr>
                <w:rFonts w:cstheme="minorHAnsi"/>
              </w:rPr>
              <w:fldChar w:fldCharType="end"/>
            </w:r>
          </w:p>
        </w:tc>
      </w:tr>
      <w:tr w:rsidR="000D3F98" w:rsidRPr="00DB6B13" w14:paraId="120D9055" w14:textId="77777777" w:rsidTr="002B6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B852AE7" w14:textId="77777777" w:rsidR="000D3F98" w:rsidRPr="004A2834" w:rsidRDefault="000D3F98" w:rsidP="008C5B36">
            <w:pPr>
              <w:jc w:val="center"/>
              <w:rPr>
                <w:rFonts w:cstheme="minorHAnsi"/>
                <w:sz w:val="20"/>
                <w:szCs w:val="20"/>
              </w:rPr>
            </w:pPr>
            <w:r w:rsidRPr="004A2834">
              <w:rPr>
                <w:rFonts w:cstheme="minorHAnsi"/>
                <w:sz w:val="20"/>
                <w:szCs w:val="20"/>
              </w:rPr>
              <w:lastRenderedPageBreak/>
              <w:t xml:space="preserve">12S </w:t>
            </w:r>
            <w:proofErr w:type="spellStart"/>
            <w:r w:rsidRPr="004A2834">
              <w:rPr>
                <w:rFonts w:cstheme="minorHAnsi"/>
                <w:sz w:val="20"/>
                <w:szCs w:val="20"/>
              </w:rPr>
              <w:t>humanblocker</w:t>
            </w:r>
            <w:proofErr w:type="spellEnd"/>
          </w:p>
        </w:tc>
        <w:tc>
          <w:tcPr>
            <w:tcW w:w="992" w:type="dxa"/>
          </w:tcPr>
          <w:p w14:paraId="1ECBD39C" w14:textId="77777777" w:rsidR="000D3F98" w:rsidRPr="00DB6B13" w:rsidRDefault="000D3F98" w:rsidP="008C5B36">
            <w:pPr>
              <w:jc w:val="center"/>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DB6B13">
              <w:rPr>
                <w:rFonts w:cstheme="minorHAnsi"/>
              </w:rPr>
              <w:t>12S</w:t>
            </w:r>
          </w:p>
        </w:tc>
        <w:tc>
          <w:tcPr>
            <w:tcW w:w="1134" w:type="dxa"/>
          </w:tcPr>
          <w:p w14:paraId="0C81CC89"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rPr>
              <w:t>blocker</w:t>
            </w:r>
          </w:p>
        </w:tc>
        <w:tc>
          <w:tcPr>
            <w:tcW w:w="2835" w:type="dxa"/>
          </w:tcPr>
          <w:p w14:paraId="6A905478" w14:textId="77777777" w:rsidR="000D3F98" w:rsidRPr="00DB6B13" w:rsidRDefault="000D3F98" w:rsidP="008C5B36">
            <w:pPr>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DB6B13">
              <w:rPr>
                <w:rFonts w:cstheme="minorHAnsi"/>
              </w:rPr>
              <w:t>TACCCCACTATGCTTAGCCCTAAACCTCAACAGTTAAATC/3SpC3/</w:t>
            </w:r>
          </w:p>
        </w:tc>
        <w:tc>
          <w:tcPr>
            <w:tcW w:w="850" w:type="dxa"/>
          </w:tcPr>
          <w:p w14:paraId="3E058258" w14:textId="77777777" w:rsidR="000D3F98" w:rsidRPr="00DB6B13" w:rsidRDefault="000D3F98" w:rsidP="008C5B3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rPr>
              <w:t>2025</w:t>
            </w:r>
          </w:p>
        </w:tc>
        <w:tc>
          <w:tcPr>
            <w:tcW w:w="1701" w:type="dxa"/>
          </w:tcPr>
          <w:p w14:paraId="74664262" w14:textId="7C47632E" w:rsidR="000D3F98" w:rsidRPr="00DB6B13" w:rsidRDefault="000D3F98" w:rsidP="008C5B36">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DB6B13">
              <w:rPr>
                <w:rFonts w:cstheme="minorHAnsi"/>
              </w:rPr>
              <w:fldChar w:fldCharType="begin"/>
            </w:r>
            <w:r w:rsidR="003F2A5D">
              <w:rPr>
                <w:rFonts w:cstheme="minorHAnsi"/>
              </w:rPr>
              <w:instrText xml:space="preserve"> ADDIN ZOTERO_ITEM CSL_CITATION {"citationID":"4ie9I6N7","properties":{"unsorted":false,"formattedCitation":"\\super 10\\nosupersub{}","plainCitation":"10","noteIndex":0},"citationItems":[{"id":6166,"uris":["http://zotero.org/users/11517495/items/V7M6HHDE"],"itemData":{"id":6166,"type":"article-journal","abstract":"Abstract\n            \n              Large</w:instrText>
            </w:r>
            <w:r w:rsidR="003F2A5D">
              <w:rPr>
                <w:rFonts w:ascii="Cambria Math" w:hAnsi="Cambria Math" w:cs="Cambria Math"/>
              </w:rPr>
              <w:instrText>‐</w:instrText>
            </w:r>
            <w:r w:rsidR="003F2A5D">
              <w:rPr>
                <w:rFonts w:cstheme="minorHAnsi"/>
              </w:rPr>
              <w:instrText>scale monitoring schemes are essential in assessing global mammalian biodiversity, and in this framework, leeches have recently been promoted as an indirect source of\n              DNA\n              from terrestrial mammal species. Carrion feeding flies are ubiquitous and can be expected to feed on many vertebrate carcasses. Hence, we tested whether fly</w:instrText>
            </w:r>
            <w:r w:rsidR="003F2A5D">
              <w:rPr>
                <w:rFonts w:ascii="Cambria Math" w:hAnsi="Cambria Math" w:cs="Cambria Math"/>
              </w:rPr>
              <w:instrText>‐</w:instrText>
            </w:r>
            <w:r w:rsidR="003F2A5D">
              <w:rPr>
                <w:rFonts w:cstheme="minorHAnsi"/>
              </w:rPr>
              <w:instrText>derived\n              DNA\n              analysis may also serve as a novel tool for mammalian diversity surveys. We screened\n              DNA\n              extracted from 201 carrion flies collected in tropical habitats of\n              C\n              ôte d'\n              I\n              voire and\n              M\n              adagascar for mammal\n              DNA\n              using multiple\n              PCR\n              systems and retrieved\n              DNA\n              sequences from a diverse set of species (22 in\n              C\n              ôte d'\n              I\n              voire, four in\n              M\n              adagascar) exploiting distinct forest strata and displaying a broad range of body sizes. Deep sequencing of amplicons generated from pools of flies performed equally well as individual sequencing approaches. We conclude that the analysis of fly</w:instrText>
            </w:r>
            <w:r w:rsidR="003F2A5D">
              <w:rPr>
                <w:rFonts w:ascii="Cambria Math" w:hAnsi="Cambria Math" w:cs="Cambria Math"/>
              </w:rPr>
              <w:instrText>‐</w:instrText>
            </w:r>
            <w:r w:rsidR="003F2A5D">
              <w:rPr>
                <w:rFonts w:cstheme="minorHAnsi"/>
              </w:rPr>
              <w:instrText>derived\n              DNA\n              can be implemented in a very rapid and cost</w:instrText>
            </w:r>
            <w:r w:rsidR="003F2A5D">
              <w:rPr>
                <w:rFonts w:ascii="Cambria Math" w:hAnsi="Cambria Math" w:cs="Cambria Math"/>
              </w:rPr>
              <w:instrText>‐</w:instrText>
            </w:r>
            <w:r w:rsidR="003F2A5D">
              <w:rPr>
                <w:rFonts w:cstheme="minorHAnsi"/>
              </w:rPr>
              <w:instrText>effective manner and will give a relatively unbiased picture of local mammal diversity. Carrion flies therefore represent an extraordinary and thus far unexploited resource of mammal\n              DNA\n              , which will probably prove useful for future inventories of wild mammal communities.\n            \n          , \n            \n              See also the Perspective by Bohmann et al.","container-title":"Molecular Ecology","DOI":"10.1111/mec.12183","ISSN":"0962-1083, 1365-294X","issue":"4","journalAbbreviation":"Molecular Ecology","language":"en","license":"http://onlinelibrary.wiley.com/termsAndConditions#vor","page":"915-924","source":"DOI.org (Crossref)","title":"Carrion fly</w:instrText>
            </w:r>
            <w:r w:rsidR="003F2A5D">
              <w:rPr>
                <w:rFonts w:ascii="Cambria Math" w:hAnsi="Cambria Math" w:cs="Cambria Math"/>
              </w:rPr>
              <w:instrText>‐</w:instrText>
            </w:r>
            <w:r w:rsidR="003F2A5D">
              <w:rPr>
                <w:rFonts w:cstheme="minorHAnsi"/>
              </w:rPr>
              <w:instrText>derived &lt;span style=\"font-variant:small-caps;\"&gt;DNA&lt;/span&gt; as a tool for comprehensive and cost</w:instrText>
            </w:r>
            <w:r w:rsidR="003F2A5D">
              <w:rPr>
                <w:rFonts w:ascii="Cambria Math" w:hAnsi="Cambria Math" w:cs="Cambria Math"/>
              </w:rPr>
              <w:instrText>‐</w:instrText>
            </w:r>
            <w:r w:rsidR="003F2A5D">
              <w:rPr>
                <w:rFonts w:cstheme="minorHAnsi"/>
              </w:rPr>
              <w:instrText>effective assessment of mammalian biodiversity","title-short":"Carrion fly</w:instrText>
            </w:r>
            <w:r w:rsidR="003F2A5D">
              <w:rPr>
                <w:rFonts w:ascii="Cambria Math" w:hAnsi="Cambria Math" w:cs="Cambria Math"/>
              </w:rPr>
              <w:instrText>‐</w:instrText>
            </w:r>
            <w:r w:rsidR="003F2A5D">
              <w:rPr>
                <w:rFonts w:cstheme="minorHAnsi"/>
              </w:rPr>
              <w:instrText>derived &lt;span style=\"font-variant","volume":"22","author":[{"family":"Calvignac</w:instrText>
            </w:r>
            <w:r w:rsidR="003F2A5D">
              <w:rPr>
                <w:rFonts w:ascii="Cambria Math" w:hAnsi="Cambria Math" w:cs="Cambria Math"/>
              </w:rPr>
              <w:instrText>‐</w:instrText>
            </w:r>
            <w:r w:rsidR="003F2A5D">
              <w:rPr>
                <w:rFonts w:cstheme="minorHAnsi"/>
              </w:rPr>
              <w:instrText>Spencer","given":"S</w:instrText>
            </w:r>
            <w:r w:rsidR="003F2A5D">
              <w:rPr>
                <w:rFonts w:ascii="Aptos" w:hAnsi="Aptos" w:cs="Aptos"/>
              </w:rPr>
              <w:instrText>é</w:instrText>
            </w:r>
            <w:r w:rsidR="003F2A5D">
              <w:rPr>
                <w:rFonts w:cstheme="minorHAnsi"/>
              </w:rPr>
              <w:instrText>bastien"},{"family":"Merkel","given":"Kevin"},{"family":"Kutzner","given":"Nadine"},{"family":"K</w:instrText>
            </w:r>
            <w:r w:rsidR="003F2A5D">
              <w:rPr>
                <w:rFonts w:ascii="Aptos" w:hAnsi="Aptos" w:cs="Aptos"/>
              </w:rPr>
              <w:instrText>ü</w:instrText>
            </w:r>
            <w:r w:rsidR="003F2A5D">
              <w:rPr>
                <w:rFonts w:cstheme="minorHAnsi"/>
              </w:rPr>
              <w:instrText xml:space="preserve">hl","given":"Hjalmar"},{"family":"Boesch","given":"Christophe"},{"family":"Kappeler","given":"Peter M."},{"family":"Metzger","given":"Sonja"},{"family":"Schubert","given":"Grit"},{"family":"Leendertz","given":"Fabian H."}],"issued":{"date-parts":[["2013",2]]}}}],"schema":"https://github.com/citation-style-language/schema/raw/master/csl-citation.json"} </w:instrText>
            </w:r>
            <w:r w:rsidRPr="00DB6B13">
              <w:rPr>
                <w:rFonts w:cstheme="minorHAnsi"/>
              </w:rPr>
              <w:fldChar w:fldCharType="separate"/>
            </w:r>
            <w:r w:rsidR="003F2A5D" w:rsidRPr="003F2A5D">
              <w:rPr>
                <w:rFonts w:ascii="Aptos" w:hAnsi="Aptos" w:cs="Times New Roman"/>
                <w:kern w:val="0"/>
                <w:vertAlign w:val="superscript"/>
              </w:rPr>
              <w:t>10</w:t>
            </w:r>
            <w:r w:rsidRPr="00DB6B13">
              <w:rPr>
                <w:rFonts w:cstheme="minorHAnsi"/>
              </w:rPr>
              <w:fldChar w:fldCharType="end"/>
            </w:r>
          </w:p>
        </w:tc>
      </w:tr>
      <w:tr w:rsidR="000D3F98" w:rsidRPr="00DB6B13" w14:paraId="3BB8DA9B" w14:textId="77777777" w:rsidTr="002B6D64">
        <w:tc>
          <w:tcPr>
            <w:cnfStyle w:val="001000000000" w:firstRow="0" w:lastRow="0" w:firstColumn="1" w:lastColumn="0" w:oddVBand="0" w:evenVBand="0" w:oddHBand="0" w:evenHBand="0" w:firstRowFirstColumn="0" w:firstRowLastColumn="0" w:lastRowFirstColumn="0" w:lastRowLastColumn="0"/>
            <w:tcW w:w="1560" w:type="dxa"/>
          </w:tcPr>
          <w:p w14:paraId="2D66C18E" w14:textId="77777777" w:rsidR="000D3F98" w:rsidRPr="00DB6B13" w:rsidRDefault="000D3F98" w:rsidP="008C5B36">
            <w:pPr>
              <w:jc w:val="center"/>
              <w:rPr>
                <w:rFonts w:cstheme="minorHAnsi"/>
              </w:rPr>
            </w:pPr>
            <w:r w:rsidRPr="00DB6B13">
              <w:rPr>
                <w:rFonts w:cstheme="minorHAnsi"/>
              </w:rPr>
              <w:t>16Smam_human_blocker</w:t>
            </w:r>
          </w:p>
        </w:tc>
        <w:tc>
          <w:tcPr>
            <w:tcW w:w="992" w:type="dxa"/>
          </w:tcPr>
          <w:p w14:paraId="5A1C32A9" w14:textId="77777777" w:rsidR="000D3F98" w:rsidRPr="00DB6B13" w:rsidRDefault="000D3F98" w:rsidP="008C5B3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t>16Smam</w:t>
            </w:r>
          </w:p>
        </w:tc>
        <w:tc>
          <w:tcPr>
            <w:tcW w:w="1134" w:type="dxa"/>
          </w:tcPr>
          <w:p w14:paraId="06D06194"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t>blocker</w:t>
            </w:r>
          </w:p>
        </w:tc>
        <w:tc>
          <w:tcPr>
            <w:tcW w:w="2835" w:type="dxa"/>
          </w:tcPr>
          <w:p w14:paraId="033C18A0" w14:textId="77777777" w:rsidR="000D3F98" w:rsidRPr="00DB6B13" w:rsidRDefault="000D3F98" w:rsidP="008C5B36">
            <w:pP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t>GCGACCTCGGAGCAGAACCC/3SpC3/</w:t>
            </w:r>
          </w:p>
        </w:tc>
        <w:tc>
          <w:tcPr>
            <w:tcW w:w="850" w:type="dxa"/>
          </w:tcPr>
          <w:p w14:paraId="33896BE5" w14:textId="77777777" w:rsidR="000D3F98" w:rsidRPr="00DB6B13" w:rsidRDefault="000D3F98" w:rsidP="008C5B3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t>2025</w:t>
            </w:r>
          </w:p>
        </w:tc>
        <w:tc>
          <w:tcPr>
            <w:tcW w:w="1701" w:type="dxa"/>
          </w:tcPr>
          <w:p w14:paraId="39FD0BC2" w14:textId="6F4BA231" w:rsidR="000D3F98" w:rsidRPr="00DB6B13" w:rsidRDefault="000D3F98" w:rsidP="008C5B36">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DB6B13">
              <w:rPr>
                <w:rFonts w:cstheme="minorHAnsi"/>
              </w:rPr>
              <w:fldChar w:fldCharType="begin"/>
            </w:r>
            <w:r w:rsidR="003F2A5D">
              <w:rPr>
                <w:rFonts w:cstheme="minorHAnsi"/>
              </w:rPr>
              <w:instrText xml:space="preserve"> ADDIN ZOTERO_ITEM CSL_CITATION {"citationID":"aF63NcQn","properties":{"unsorted":false,"formattedCitation":"\\super 11\\nosupersub{}","plainCitation":"11","noteIndex":0},"citationItems":[{"id":6180,"uris":["http://zotero.org/users/11517495/items/C68G48TL"],"itemData":{"id":6180,"type":"article-journal","abstract":"Abstract\n            \n              Analyses of degraded DNA are typically hampered by contamination, especially when employing universal primers such as commonly used in environmental DNA studies. In addition to false</w:instrText>
            </w:r>
            <w:r w:rsidR="003F2A5D">
              <w:rPr>
                <w:rFonts w:ascii="Cambria Math" w:hAnsi="Cambria Math" w:cs="Cambria Math"/>
              </w:rPr>
              <w:instrText>‐</w:instrText>
            </w:r>
            <w:r w:rsidR="003F2A5D">
              <w:rPr>
                <w:rFonts w:cstheme="minorHAnsi"/>
              </w:rPr>
              <w:instrText>positive results, the amplification of contaminant DNA may cause false</w:instrText>
            </w:r>
            <w:r w:rsidR="003F2A5D">
              <w:rPr>
                <w:rFonts w:ascii="Cambria Math" w:hAnsi="Cambria Math" w:cs="Cambria Math"/>
              </w:rPr>
              <w:instrText>‐</w:instrText>
            </w:r>
            <w:r w:rsidR="003F2A5D">
              <w:rPr>
                <w:rFonts w:cstheme="minorHAnsi"/>
              </w:rPr>
              <w:instrText>negative results because of competition, or bias, during the PCR. In this study, we test the utility of human</w:instrText>
            </w:r>
            <w:r w:rsidR="003F2A5D">
              <w:rPr>
                <w:rFonts w:ascii="Cambria Math" w:hAnsi="Cambria Math" w:cs="Cambria Math"/>
              </w:rPr>
              <w:instrText>‐</w:instrText>
            </w:r>
            <w:r w:rsidR="003F2A5D">
              <w:rPr>
                <w:rFonts w:cstheme="minorHAnsi"/>
              </w:rPr>
              <w:instrText xml:space="preserve">specific blocking primers in mammal diversity analyses of ancient permafrost samples from Siberia. Using quantitative PCR (qPCR) on human and mammoth DNA, we first optimized the design and concentration of blocking primer in the PCR. Subsequently, 454 pyrosequencing of ancient permafrost samples amplified with and without the addition of blocking primer revealed that DNA sequences from a diversity of mammalian representatives of the Beringian megafauna were retrieved only when the blocking primer was added to the PCR. Notably, we observe the first retrieval of woolly rhinoceros (\n              Coelodonta antiquitatis\n              ) DNA from ancient permafrost cores. In contrast, reactions without blocking primer resulted in complete dominance by human DNA sequences. These results demonstrate that in ancient environmental analyses, the PCR can be biased towards the amplification of contaminant sequences to such an extent that retrieval of the endogenous DNA is severely restricted. The application of blocking primers is a promising tool to avoid this bias and can greatly enhance the quantity and the diversity of the endogenous DNA sequences that are amplified.","container-title":"Molecular Ecology","DOI":"10.1111/j.1365-294X.2011.05306.x","ISSN":"0962-1083, 1365-294X","issue":"8","journalAbbreviation":"Molecular Ecology","language":"en","license":"http://onlinelibrary.wiley.com/termsAndConditions#vor","page":"1806-1815","source":"DOI.org (Crossref)","title":"Blocking human contaminant DNA during PCR allows amplification of rare mammal species from sedimentary ancient DNA","volume":"21","author":[{"family":"Boessenkool","given":"Sanne"},{"family":"Epp","given":"Laura S."},{"family":"Haile","given":"James"},{"family":"Bellemain","given":"Eva"},{"family":"Edwards","given":"Mary"},{"family":"Coissac","given":"Eric"},{"family":"Willerslev","given":"Eske"},{"family":"Brochmann","given":"Christian"}],"issued":{"date-parts":[["2012",4]]}}}],"schema":"https://github.com/citation-style-language/schema/raw/master/csl-citation.json"} </w:instrText>
            </w:r>
            <w:r w:rsidRPr="00DB6B13">
              <w:rPr>
                <w:rFonts w:cstheme="minorHAnsi"/>
              </w:rPr>
              <w:fldChar w:fldCharType="separate"/>
            </w:r>
            <w:r w:rsidR="003F2A5D" w:rsidRPr="003F2A5D">
              <w:rPr>
                <w:rFonts w:ascii="Aptos" w:hAnsi="Aptos" w:cs="Times New Roman"/>
                <w:kern w:val="0"/>
                <w:vertAlign w:val="superscript"/>
              </w:rPr>
              <w:t>11</w:t>
            </w:r>
            <w:r w:rsidRPr="00DB6B13">
              <w:rPr>
                <w:rFonts w:cstheme="minorHAnsi"/>
              </w:rPr>
              <w:fldChar w:fldCharType="end"/>
            </w:r>
          </w:p>
        </w:tc>
      </w:tr>
    </w:tbl>
    <w:p w14:paraId="3DA750F0" w14:textId="77777777" w:rsidR="000D3F98" w:rsidRDefault="000D3F98" w:rsidP="000D3F98"/>
    <w:p w14:paraId="56D8DEDA" w14:textId="77777777" w:rsidR="000D3F98" w:rsidRPr="00A95DF5" w:rsidRDefault="000D3F98" w:rsidP="000D3F98">
      <w:pPr>
        <w:rPr>
          <w:b/>
          <w:bCs/>
        </w:rPr>
      </w:pPr>
      <w:r w:rsidRPr="00A95DF5">
        <w:rPr>
          <w:b/>
          <w:bCs/>
        </w:rPr>
        <w:t>Table S2: qPCR Reaction details</w:t>
      </w:r>
      <w:bookmarkStart w:id="0" w:name="_Hlk232778863"/>
    </w:p>
    <w:tbl>
      <w:tblPr>
        <w:tblStyle w:val="PlainTable2"/>
        <w:tblW w:w="9781" w:type="dxa"/>
        <w:tblLook w:val="04A0" w:firstRow="1" w:lastRow="0" w:firstColumn="1" w:lastColumn="0" w:noHBand="0" w:noVBand="1"/>
      </w:tblPr>
      <w:tblGrid>
        <w:gridCol w:w="1289"/>
        <w:gridCol w:w="2255"/>
        <w:gridCol w:w="2797"/>
        <w:gridCol w:w="3440"/>
      </w:tblGrid>
      <w:tr w:rsidR="000D3F98" w:rsidRPr="00864EAF" w14:paraId="0F91D834" w14:textId="77777777" w:rsidTr="00615C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9" w:type="dxa"/>
            <w:shd w:val="clear" w:color="auto" w:fill="C1E4F5" w:themeFill="accent1" w:themeFillTint="33"/>
          </w:tcPr>
          <w:bookmarkEnd w:id="0"/>
          <w:p w14:paraId="58EA3EF7" w14:textId="77777777" w:rsidR="000D3F98" w:rsidRPr="00864EAF" w:rsidRDefault="000D3F98" w:rsidP="008C5B36">
            <w:pPr>
              <w:spacing w:after="160" w:line="259" w:lineRule="auto"/>
              <w:contextualSpacing/>
              <w:jc w:val="center"/>
              <w:rPr>
                <w:rFonts w:ascii="Calibri" w:hAnsi="Calibri" w:cs="Arial"/>
                <w:b w:val="0"/>
                <w:bCs w:val="0"/>
              </w:rPr>
            </w:pPr>
            <w:r w:rsidRPr="00864EAF">
              <w:rPr>
                <w:rFonts w:ascii="Calibri" w:hAnsi="Calibri" w:cs="Arial"/>
              </w:rPr>
              <w:t>Target</w:t>
            </w:r>
          </w:p>
        </w:tc>
        <w:tc>
          <w:tcPr>
            <w:tcW w:w="2255" w:type="dxa"/>
            <w:shd w:val="clear" w:color="auto" w:fill="C1E4F5" w:themeFill="accent1" w:themeFillTint="33"/>
          </w:tcPr>
          <w:p w14:paraId="2D7E678B" w14:textId="77777777" w:rsidR="000D3F98" w:rsidRPr="00864EAF" w:rsidRDefault="000D3F98" w:rsidP="008C5B36">
            <w:pPr>
              <w:spacing w:after="160" w:line="259"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rPr>
            </w:pPr>
            <w:r w:rsidRPr="00864EAF">
              <w:rPr>
                <w:rFonts w:ascii="Calibri" w:hAnsi="Calibri" w:cs="Arial"/>
              </w:rPr>
              <w:t>DNA Isolate Pre-processing</w:t>
            </w:r>
          </w:p>
        </w:tc>
        <w:tc>
          <w:tcPr>
            <w:tcW w:w="2797" w:type="dxa"/>
            <w:shd w:val="clear" w:color="auto" w:fill="C1E4F5" w:themeFill="accent1" w:themeFillTint="33"/>
          </w:tcPr>
          <w:p w14:paraId="655702DB" w14:textId="77777777" w:rsidR="000D3F98" w:rsidRPr="00864EAF" w:rsidRDefault="000D3F98" w:rsidP="008C5B36">
            <w:pPr>
              <w:spacing w:after="160" w:line="259"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rPr>
            </w:pPr>
            <w:r w:rsidRPr="00864EAF">
              <w:rPr>
                <w:rFonts w:ascii="Calibri" w:hAnsi="Calibri" w:cs="Arial"/>
              </w:rPr>
              <w:t>Reaction Components</w:t>
            </w:r>
          </w:p>
        </w:tc>
        <w:tc>
          <w:tcPr>
            <w:tcW w:w="3440" w:type="dxa"/>
            <w:shd w:val="clear" w:color="auto" w:fill="C1E4F5" w:themeFill="accent1" w:themeFillTint="33"/>
          </w:tcPr>
          <w:p w14:paraId="561570B6" w14:textId="77777777" w:rsidR="000D3F98" w:rsidRPr="00864EAF" w:rsidRDefault="000D3F98" w:rsidP="008C5B36">
            <w:pPr>
              <w:spacing w:after="160" w:line="259"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bCs w:val="0"/>
              </w:rPr>
            </w:pPr>
            <w:r w:rsidRPr="00864EAF">
              <w:rPr>
                <w:rFonts w:ascii="Calibri" w:hAnsi="Calibri" w:cs="Arial"/>
              </w:rPr>
              <w:t>Reaction Temperature Cycles</w:t>
            </w:r>
          </w:p>
        </w:tc>
      </w:tr>
      <w:tr w:rsidR="000D3F98" w:rsidRPr="00864EAF" w14:paraId="533AF829" w14:textId="77777777" w:rsidTr="00615C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9" w:type="dxa"/>
          </w:tcPr>
          <w:p w14:paraId="691FED73" w14:textId="77777777" w:rsidR="000D3F98" w:rsidRPr="00864EAF" w:rsidRDefault="000D3F98" w:rsidP="008C5B36">
            <w:pPr>
              <w:spacing w:after="160" w:line="259" w:lineRule="auto"/>
              <w:contextualSpacing/>
              <w:rPr>
                <w:rFonts w:ascii="Calibri" w:hAnsi="Calibri" w:cs="Arial"/>
              </w:rPr>
            </w:pPr>
            <w:r w:rsidRPr="00864EAF">
              <w:rPr>
                <w:rFonts w:ascii="Calibri" w:hAnsi="Calibri" w:cs="Calibri"/>
              </w:rPr>
              <w:t>16S Bacterial</w:t>
            </w:r>
          </w:p>
        </w:tc>
        <w:tc>
          <w:tcPr>
            <w:tcW w:w="2255" w:type="dxa"/>
          </w:tcPr>
          <w:p w14:paraId="08E53537" w14:textId="77777777" w:rsidR="000D3F98" w:rsidRPr="00864EAF" w:rsidRDefault="000D3F98" w:rsidP="008C5B36">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Arial"/>
              </w:rPr>
            </w:pPr>
            <w:r w:rsidRPr="00864EAF">
              <w:rPr>
                <w:rFonts w:ascii="Calibri" w:hAnsi="Calibri" w:cs="Calibri"/>
              </w:rPr>
              <w:t>DNA isolates were diluted 1:5 with RNA-free water to reduce the chance of inhibition</w:t>
            </w:r>
          </w:p>
        </w:tc>
        <w:tc>
          <w:tcPr>
            <w:tcW w:w="2797" w:type="dxa"/>
          </w:tcPr>
          <w:p w14:paraId="5C3729B0" w14:textId="77777777" w:rsidR="000D3F98" w:rsidRPr="00864EAF" w:rsidRDefault="000D3F98" w:rsidP="008C5B36">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Arial"/>
              </w:rPr>
            </w:pPr>
            <w:r w:rsidRPr="00864EAF">
              <w:rPr>
                <w:rFonts w:ascii="Calibri" w:hAnsi="Calibri" w:cs="Calibri"/>
              </w:rPr>
              <w:t>Total volume of 25ul, made up of 9ul water, 0.5ul each of the forward and reverse primers (10um), 12.5ul Q5 High-Fidelity 2X Master Mix (New England Biolabs, Massachusetts, USA), and 2.50ul DNA 1:5 diluted template</w:t>
            </w:r>
          </w:p>
        </w:tc>
        <w:tc>
          <w:tcPr>
            <w:tcW w:w="3440" w:type="dxa"/>
          </w:tcPr>
          <w:p w14:paraId="4B47334E" w14:textId="77777777" w:rsidR="000D3F98" w:rsidRPr="00864EAF" w:rsidRDefault="000D3F98" w:rsidP="008C5B36">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64EAF">
              <w:rPr>
                <w:rFonts w:ascii="Calibri" w:hAnsi="Calibri" w:cs="Calibri"/>
              </w:rPr>
              <w:t>98C for 2 minutes, then 30 cycles of 98C for 10 seconds, 55C for 10 seconds, and 72C for 10 seconds, with a final extension of 72C for 7 minutes</w:t>
            </w:r>
          </w:p>
          <w:p w14:paraId="05882689" w14:textId="77777777" w:rsidR="000D3F98" w:rsidRPr="00864EAF" w:rsidRDefault="000D3F98" w:rsidP="008C5B36">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Arial"/>
              </w:rPr>
            </w:pPr>
          </w:p>
        </w:tc>
      </w:tr>
      <w:tr w:rsidR="000D3F98" w:rsidRPr="00864EAF" w14:paraId="128C31AA" w14:textId="77777777" w:rsidTr="00615C82">
        <w:tc>
          <w:tcPr>
            <w:cnfStyle w:val="001000000000" w:firstRow="0" w:lastRow="0" w:firstColumn="1" w:lastColumn="0" w:oddVBand="0" w:evenVBand="0" w:oddHBand="0" w:evenHBand="0" w:firstRowFirstColumn="0" w:firstRowLastColumn="0" w:lastRowFirstColumn="0" w:lastRowLastColumn="0"/>
            <w:tcW w:w="1289" w:type="dxa"/>
          </w:tcPr>
          <w:p w14:paraId="184F250C" w14:textId="77777777" w:rsidR="000D3F98" w:rsidRPr="00864EAF" w:rsidRDefault="000D3F98" w:rsidP="008C5B36">
            <w:pPr>
              <w:spacing w:after="160" w:line="259" w:lineRule="auto"/>
              <w:contextualSpacing/>
              <w:rPr>
                <w:rFonts w:ascii="Calibri" w:hAnsi="Calibri" w:cs="Arial"/>
              </w:rPr>
            </w:pPr>
            <w:r>
              <w:rPr>
                <w:rFonts w:ascii="Calibri" w:hAnsi="Calibri" w:cs="Arial"/>
              </w:rPr>
              <w:t>mt</w:t>
            </w:r>
            <w:r w:rsidRPr="00864EAF">
              <w:rPr>
                <w:rFonts w:ascii="Calibri" w:hAnsi="Calibri" w:cs="Arial"/>
              </w:rPr>
              <w:t xml:space="preserve">12S and </w:t>
            </w:r>
            <w:r>
              <w:rPr>
                <w:rFonts w:ascii="Calibri" w:hAnsi="Calibri" w:cs="Arial"/>
              </w:rPr>
              <w:t>mt</w:t>
            </w:r>
            <w:r w:rsidRPr="00864EAF">
              <w:rPr>
                <w:rFonts w:ascii="Calibri" w:hAnsi="Calibri" w:cs="Arial"/>
              </w:rPr>
              <w:t>16S Mammalian</w:t>
            </w:r>
          </w:p>
        </w:tc>
        <w:tc>
          <w:tcPr>
            <w:tcW w:w="2255" w:type="dxa"/>
          </w:tcPr>
          <w:p w14:paraId="2F4D0345" w14:textId="77777777" w:rsidR="000D3F98" w:rsidRPr="00864EAF" w:rsidRDefault="000D3F98" w:rsidP="008C5B36">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Arial"/>
              </w:rPr>
            </w:pPr>
            <w:r w:rsidRPr="00864EAF">
              <w:rPr>
                <w:rFonts w:ascii="Calibri" w:hAnsi="Calibri" w:cs="Arial"/>
              </w:rPr>
              <w:t>None</w:t>
            </w:r>
          </w:p>
        </w:tc>
        <w:tc>
          <w:tcPr>
            <w:tcW w:w="2797" w:type="dxa"/>
          </w:tcPr>
          <w:p w14:paraId="3883339A" w14:textId="77777777" w:rsidR="000D3F98" w:rsidRPr="00864EAF" w:rsidRDefault="000D3F98" w:rsidP="008C5B36">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Arial"/>
              </w:rPr>
            </w:pPr>
            <w:r w:rsidRPr="00864EAF">
              <w:rPr>
                <w:rFonts w:ascii="Calibri" w:hAnsi="Calibri" w:cs="Calibri"/>
              </w:rPr>
              <w:t>Total volume of 25ul, 7.25ul water, 1ul each of the forward and reverse primers (10um), 12.5ul Q5 High-Fidelity 2X Master Mix, 0.75ul of the human blocker (100um), and 2.50ul DNA template</w:t>
            </w:r>
          </w:p>
        </w:tc>
        <w:tc>
          <w:tcPr>
            <w:tcW w:w="3440" w:type="dxa"/>
          </w:tcPr>
          <w:p w14:paraId="1C5F6401" w14:textId="77777777" w:rsidR="000D3F98" w:rsidRPr="00864EAF" w:rsidRDefault="000D3F98" w:rsidP="008C5B36">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64EAF">
              <w:rPr>
                <w:rFonts w:ascii="Calibri" w:hAnsi="Calibri" w:cs="Calibri"/>
              </w:rPr>
              <w:t>95C for 5 minutes, then 40 cycles of 95C for 30 seconds, 59C for 45 seconds, and 72C for 1 minute, with a final extension of 72C for 7 minutes</w:t>
            </w:r>
          </w:p>
        </w:tc>
      </w:tr>
      <w:tr w:rsidR="000D3F98" w:rsidRPr="00864EAF" w14:paraId="264D9D47" w14:textId="77777777" w:rsidTr="00615C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9" w:type="dxa"/>
          </w:tcPr>
          <w:p w14:paraId="2759FC2F" w14:textId="77777777" w:rsidR="000D3F98" w:rsidRPr="00864EAF" w:rsidRDefault="000D3F98" w:rsidP="008C5B36">
            <w:pPr>
              <w:spacing w:after="160" w:line="259" w:lineRule="auto"/>
              <w:contextualSpacing/>
              <w:rPr>
                <w:rFonts w:ascii="Calibri" w:hAnsi="Calibri" w:cs="Arial"/>
              </w:rPr>
            </w:pPr>
            <w:r w:rsidRPr="00864EAF">
              <w:rPr>
                <w:rFonts w:ascii="Calibri" w:hAnsi="Calibri" w:cs="Arial"/>
              </w:rPr>
              <w:t>ITS1</w:t>
            </w:r>
          </w:p>
        </w:tc>
        <w:tc>
          <w:tcPr>
            <w:tcW w:w="2255" w:type="dxa"/>
          </w:tcPr>
          <w:p w14:paraId="422C5E1B" w14:textId="77777777" w:rsidR="000D3F98" w:rsidRPr="00864EAF" w:rsidRDefault="000D3F98" w:rsidP="008C5B36">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Arial"/>
              </w:rPr>
            </w:pPr>
            <w:r w:rsidRPr="00864EAF">
              <w:rPr>
                <w:rFonts w:ascii="Calibri" w:hAnsi="Calibri" w:cs="Arial"/>
              </w:rPr>
              <w:t>None</w:t>
            </w:r>
          </w:p>
        </w:tc>
        <w:tc>
          <w:tcPr>
            <w:tcW w:w="2797" w:type="dxa"/>
          </w:tcPr>
          <w:p w14:paraId="3B231324" w14:textId="77777777" w:rsidR="000D3F98" w:rsidRPr="00864EAF" w:rsidRDefault="000D3F98" w:rsidP="008C5B36">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Arial"/>
              </w:rPr>
            </w:pPr>
            <w:r w:rsidRPr="00864EAF">
              <w:rPr>
                <w:rFonts w:ascii="Calibri" w:hAnsi="Calibri" w:cs="Calibri"/>
              </w:rPr>
              <w:t>Total volume of 25ul, 9ul water, 0.5ul each of the forward and reverse primers (10um), 12.5ul Q5 High-Fidelity 2X Master Mix, and 2.50ul DNA template</w:t>
            </w:r>
          </w:p>
        </w:tc>
        <w:tc>
          <w:tcPr>
            <w:tcW w:w="3440" w:type="dxa"/>
          </w:tcPr>
          <w:p w14:paraId="4BA2240B" w14:textId="77777777" w:rsidR="000D3F98" w:rsidRPr="00864EAF" w:rsidRDefault="000D3F98" w:rsidP="008C5B36">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Arial"/>
              </w:rPr>
            </w:pPr>
            <w:r w:rsidRPr="00864EAF">
              <w:rPr>
                <w:rFonts w:ascii="Calibri" w:hAnsi="Calibri" w:cs="Calibri"/>
              </w:rPr>
              <w:t>95C for 5 minutes, then 30 cycles of 95C for 30 seconds, 55C for 30 seconds, and 72C for 50 seconds, with a final extension of 72C for 7 minutes</w:t>
            </w:r>
          </w:p>
        </w:tc>
      </w:tr>
      <w:tr w:rsidR="000D3F98" w:rsidRPr="00864EAF" w14:paraId="3F8DA813" w14:textId="77777777" w:rsidTr="00615C82">
        <w:tc>
          <w:tcPr>
            <w:cnfStyle w:val="001000000000" w:firstRow="0" w:lastRow="0" w:firstColumn="1" w:lastColumn="0" w:oddVBand="0" w:evenVBand="0" w:oddHBand="0" w:evenHBand="0" w:firstRowFirstColumn="0" w:firstRowLastColumn="0" w:lastRowFirstColumn="0" w:lastRowLastColumn="0"/>
            <w:tcW w:w="1289" w:type="dxa"/>
          </w:tcPr>
          <w:p w14:paraId="0A977A1F" w14:textId="77777777" w:rsidR="000D3F98" w:rsidRPr="006B39B8" w:rsidRDefault="000D3F98" w:rsidP="008C5B36">
            <w:pPr>
              <w:spacing w:after="160" w:line="259" w:lineRule="auto"/>
              <w:contextualSpacing/>
              <w:rPr>
                <w:rFonts w:ascii="Calibri" w:hAnsi="Calibri" w:cs="Arial"/>
              </w:rPr>
            </w:pPr>
            <w:r w:rsidRPr="006B39B8">
              <w:rPr>
                <w:rFonts w:ascii="Calibri" w:hAnsi="Calibri" w:cs="Arial"/>
              </w:rPr>
              <w:t>18S</w:t>
            </w:r>
          </w:p>
        </w:tc>
        <w:tc>
          <w:tcPr>
            <w:tcW w:w="2255" w:type="dxa"/>
          </w:tcPr>
          <w:p w14:paraId="7034BC1E" w14:textId="77777777" w:rsidR="000D3F98" w:rsidRPr="006B39B8" w:rsidRDefault="000D3F98" w:rsidP="008C5B36">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Arial"/>
              </w:rPr>
            </w:pPr>
            <w:r w:rsidRPr="006B39B8">
              <w:rPr>
                <w:rFonts w:ascii="Calibri" w:hAnsi="Calibri" w:cs="Arial"/>
              </w:rPr>
              <w:t>None</w:t>
            </w:r>
          </w:p>
        </w:tc>
        <w:tc>
          <w:tcPr>
            <w:tcW w:w="2797" w:type="dxa"/>
          </w:tcPr>
          <w:p w14:paraId="3221C854" w14:textId="77777777" w:rsidR="000D3F98" w:rsidRPr="00864EAF" w:rsidRDefault="000D3F98" w:rsidP="008C5B36">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highlight w:val="yellow"/>
              </w:rPr>
            </w:pPr>
            <w:r w:rsidRPr="00864EAF">
              <w:rPr>
                <w:rFonts w:ascii="Calibri" w:hAnsi="Calibri" w:cs="Calibri"/>
              </w:rPr>
              <w:t xml:space="preserve">Total volume of </w:t>
            </w:r>
            <w:r>
              <w:rPr>
                <w:rFonts w:ascii="Calibri" w:hAnsi="Calibri" w:cs="Calibri"/>
              </w:rPr>
              <w:t>10</w:t>
            </w:r>
            <w:r w:rsidRPr="00864EAF">
              <w:rPr>
                <w:rFonts w:ascii="Calibri" w:hAnsi="Calibri" w:cs="Calibri"/>
              </w:rPr>
              <w:t xml:space="preserve">ul, </w:t>
            </w:r>
            <w:r>
              <w:rPr>
                <w:rFonts w:ascii="Calibri" w:hAnsi="Calibri" w:cs="Calibri"/>
              </w:rPr>
              <w:t>1.6</w:t>
            </w:r>
            <w:r w:rsidRPr="00864EAF">
              <w:rPr>
                <w:rFonts w:ascii="Calibri" w:hAnsi="Calibri" w:cs="Calibri"/>
              </w:rPr>
              <w:t>ul water, 0.</w:t>
            </w:r>
            <w:r>
              <w:rPr>
                <w:rFonts w:ascii="Calibri" w:hAnsi="Calibri" w:cs="Calibri"/>
              </w:rPr>
              <w:t>2</w:t>
            </w:r>
            <w:r w:rsidRPr="00864EAF">
              <w:rPr>
                <w:rFonts w:ascii="Calibri" w:hAnsi="Calibri" w:cs="Calibri"/>
              </w:rPr>
              <w:t xml:space="preserve">ul each of the forward and reverse primers (10um), </w:t>
            </w:r>
            <w:r>
              <w:rPr>
                <w:rFonts w:ascii="Calibri" w:hAnsi="Calibri" w:cs="Calibri"/>
              </w:rPr>
              <w:t>0.01 Precision Blue</w:t>
            </w:r>
            <w:r w:rsidRPr="00864EAF">
              <w:rPr>
                <w:rFonts w:ascii="Calibri" w:hAnsi="Calibri" w:cs="Calibri"/>
              </w:rPr>
              <w:t>,</w:t>
            </w:r>
            <w:r>
              <w:rPr>
                <w:rFonts w:ascii="Calibri" w:hAnsi="Calibri" w:cs="Calibri"/>
              </w:rPr>
              <w:t xml:space="preserve"> 5ul SYBER- Green mix</w:t>
            </w:r>
            <w:r w:rsidRPr="00864EAF">
              <w:rPr>
                <w:rFonts w:ascii="Calibri" w:hAnsi="Calibri" w:cs="Calibri"/>
              </w:rPr>
              <w:t xml:space="preserve"> and </w:t>
            </w:r>
            <w:r>
              <w:rPr>
                <w:rFonts w:ascii="Calibri" w:hAnsi="Calibri" w:cs="Calibri"/>
              </w:rPr>
              <w:t>3</w:t>
            </w:r>
            <w:r w:rsidRPr="00864EAF">
              <w:rPr>
                <w:rFonts w:ascii="Calibri" w:hAnsi="Calibri" w:cs="Calibri"/>
              </w:rPr>
              <w:t>ul DNA template</w:t>
            </w:r>
          </w:p>
        </w:tc>
        <w:tc>
          <w:tcPr>
            <w:tcW w:w="3440" w:type="dxa"/>
          </w:tcPr>
          <w:p w14:paraId="550F1B0D" w14:textId="77777777" w:rsidR="000D3F98" w:rsidRPr="00864EAF" w:rsidRDefault="000D3F98" w:rsidP="008C5B36">
            <w:pPr>
              <w:spacing w:after="160" w:line="259"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highlight w:val="yellow"/>
              </w:rPr>
            </w:pPr>
            <w:r w:rsidRPr="00864EAF">
              <w:rPr>
                <w:rFonts w:ascii="Calibri" w:hAnsi="Calibri" w:cs="Calibri"/>
              </w:rPr>
              <w:t>95C for 5 minutes, then 3</w:t>
            </w:r>
            <w:r>
              <w:rPr>
                <w:rFonts w:ascii="Calibri" w:hAnsi="Calibri" w:cs="Calibri"/>
              </w:rPr>
              <w:t>5</w:t>
            </w:r>
            <w:r w:rsidRPr="00864EAF">
              <w:rPr>
                <w:rFonts w:ascii="Calibri" w:hAnsi="Calibri" w:cs="Calibri"/>
              </w:rPr>
              <w:t xml:space="preserve"> cycles of 95C for </w:t>
            </w:r>
            <w:r>
              <w:rPr>
                <w:rFonts w:ascii="Calibri" w:hAnsi="Calibri" w:cs="Calibri"/>
              </w:rPr>
              <w:t>45</w:t>
            </w:r>
            <w:r w:rsidRPr="00864EAF">
              <w:rPr>
                <w:rFonts w:ascii="Calibri" w:hAnsi="Calibri" w:cs="Calibri"/>
              </w:rPr>
              <w:t xml:space="preserve"> seconds, </w:t>
            </w:r>
            <w:r>
              <w:rPr>
                <w:rFonts w:ascii="Calibri" w:hAnsi="Calibri" w:cs="Calibri"/>
              </w:rPr>
              <w:t>60</w:t>
            </w:r>
            <w:r w:rsidRPr="00864EAF">
              <w:rPr>
                <w:rFonts w:ascii="Calibri" w:hAnsi="Calibri" w:cs="Calibri"/>
              </w:rPr>
              <w:t xml:space="preserve">C for </w:t>
            </w:r>
            <w:r>
              <w:rPr>
                <w:rFonts w:ascii="Calibri" w:hAnsi="Calibri" w:cs="Calibri"/>
              </w:rPr>
              <w:t>45</w:t>
            </w:r>
            <w:r w:rsidRPr="00864EAF">
              <w:rPr>
                <w:rFonts w:ascii="Calibri" w:hAnsi="Calibri" w:cs="Calibri"/>
              </w:rPr>
              <w:t xml:space="preserve"> seconds, and 72C for </w:t>
            </w:r>
            <w:r>
              <w:rPr>
                <w:rFonts w:ascii="Calibri" w:hAnsi="Calibri" w:cs="Calibri"/>
              </w:rPr>
              <w:t>1 min</w:t>
            </w:r>
          </w:p>
        </w:tc>
      </w:tr>
    </w:tbl>
    <w:p w14:paraId="0034CF5D" w14:textId="77777777" w:rsidR="001157E0" w:rsidRDefault="001157E0" w:rsidP="000D3F98">
      <w:pPr>
        <w:rPr>
          <w:b/>
          <w:bCs/>
        </w:rPr>
      </w:pPr>
    </w:p>
    <w:p w14:paraId="7E9EA140" w14:textId="77777777" w:rsidR="001157E0" w:rsidRDefault="001157E0" w:rsidP="000D3F98">
      <w:pPr>
        <w:rPr>
          <w:b/>
          <w:bCs/>
        </w:rPr>
      </w:pPr>
    </w:p>
    <w:p w14:paraId="755394C7" w14:textId="77777777" w:rsidR="001157E0" w:rsidRDefault="001157E0" w:rsidP="000D3F98">
      <w:pPr>
        <w:rPr>
          <w:b/>
          <w:bCs/>
        </w:rPr>
      </w:pPr>
    </w:p>
    <w:p w14:paraId="124A88A5" w14:textId="77777777" w:rsidR="001157E0" w:rsidRDefault="001157E0" w:rsidP="000D3F98">
      <w:pPr>
        <w:rPr>
          <w:b/>
          <w:bCs/>
        </w:rPr>
      </w:pPr>
    </w:p>
    <w:p w14:paraId="183C14AE" w14:textId="227F8CD5" w:rsidR="000D3F98" w:rsidRPr="00A95DF5" w:rsidRDefault="000D3F98" w:rsidP="000D3F98">
      <w:pPr>
        <w:rPr>
          <w:b/>
          <w:bCs/>
        </w:rPr>
      </w:pPr>
      <w:r w:rsidRPr="00A95DF5">
        <w:rPr>
          <w:b/>
          <w:bCs/>
        </w:rPr>
        <w:lastRenderedPageBreak/>
        <w:t>Table S3: Comparison of median read and unique ASVs resulting from each primer</w:t>
      </w:r>
    </w:p>
    <w:tbl>
      <w:tblPr>
        <w:tblStyle w:val="PlainTable2"/>
        <w:tblW w:w="9236" w:type="dxa"/>
        <w:tblLook w:val="04A0" w:firstRow="1" w:lastRow="0" w:firstColumn="1" w:lastColumn="0" w:noHBand="0" w:noVBand="1"/>
      </w:tblPr>
      <w:tblGrid>
        <w:gridCol w:w="1281"/>
        <w:gridCol w:w="1706"/>
        <w:gridCol w:w="2911"/>
        <w:gridCol w:w="1656"/>
        <w:gridCol w:w="1682"/>
      </w:tblGrid>
      <w:tr w:rsidR="000D3F98" w:rsidRPr="00864EAF" w14:paraId="4B050239" w14:textId="77777777" w:rsidTr="00917B37">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281" w:type="dxa"/>
            <w:noWrap/>
            <w:hideMark/>
          </w:tcPr>
          <w:p w14:paraId="53F21746" w14:textId="77777777" w:rsidR="000D3F98" w:rsidRPr="00864EAF" w:rsidRDefault="000D3F98" w:rsidP="008C5B36">
            <w:pPr>
              <w:rPr>
                <w:rFonts w:ascii="Calibri" w:eastAsia="Times New Roman" w:hAnsi="Calibri" w:cs="Calibri"/>
                <w:color w:val="000000"/>
                <w:sz w:val="22"/>
                <w:szCs w:val="22"/>
              </w:rPr>
            </w:pPr>
            <w:r w:rsidRPr="00864EAF">
              <w:rPr>
                <w:rFonts w:ascii="Calibri" w:eastAsia="Times New Roman" w:hAnsi="Calibri" w:cs="Calibri"/>
                <w:color w:val="000000"/>
                <w:sz w:val="22"/>
                <w:szCs w:val="22"/>
              </w:rPr>
              <w:t> </w:t>
            </w:r>
          </w:p>
        </w:tc>
        <w:tc>
          <w:tcPr>
            <w:tcW w:w="1706" w:type="dxa"/>
            <w:shd w:val="clear" w:color="auto" w:fill="C1E4F5" w:themeFill="accent1" w:themeFillTint="33"/>
            <w:noWrap/>
            <w:hideMark/>
          </w:tcPr>
          <w:p w14:paraId="0973BDE3" w14:textId="77777777" w:rsidR="000D3F98" w:rsidRPr="00864EAF" w:rsidRDefault="000D3F98" w:rsidP="008C5B3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Target</w:t>
            </w:r>
          </w:p>
        </w:tc>
        <w:tc>
          <w:tcPr>
            <w:tcW w:w="2911" w:type="dxa"/>
            <w:shd w:val="clear" w:color="auto" w:fill="C1E4F5" w:themeFill="accent1" w:themeFillTint="33"/>
            <w:noWrap/>
            <w:hideMark/>
          </w:tcPr>
          <w:p w14:paraId="38485EB2" w14:textId="77777777" w:rsidR="000D3F98" w:rsidRPr="00864EAF" w:rsidRDefault="000D3F98" w:rsidP="008C5B3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Primer</w:t>
            </w:r>
          </w:p>
        </w:tc>
        <w:tc>
          <w:tcPr>
            <w:tcW w:w="1656" w:type="dxa"/>
            <w:shd w:val="clear" w:color="auto" w:fill="C1E4F5" w:themeFill="accent1" w:themeFillTint="33"/>
            <w:noWrap/>
            <w:hideMark/>
          </w:tcPr>
          <w:p w14:paraId="4B65931A" w14:textId="77777777" w:rsidR="000D3F98" w:rsidRPr="00864EAF" w:rsidRDefault="000D3F98" w:rsidP="008C5B3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Median Reads</w:t>
            </w:r>
          </w:p>
        </w:tc>
        <w:tc>
          <w:tcPr>
            <w:tcW w:w="1682" w:type="dxa"/>
            <w:shd w:val="clear" w:color="auto" w:fill="C1E4F5" w:themeFill="accent1" w:themeFillTint="33"/>
            <w:noWrap/>
            <w:hideMark/>
          </w:tcPr>
          <w:p w14:paraId="12C92E61" w14:textId="77777777" w:rsidR="000D3F98" w:rsidRPr="00864EAF" w:rsidRDefault="000D3F98" w:rsidP="008C5B3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Unique ASVs</w:t>
            </w:r>
          </w:p>
        </w:tc>
      </w:tr>
      <w:tr w:rsidR="000D3F98" w:rsidRPr="00864EAF" w14:paraId="77638BD4" w14:textId="77777777" w:rsidTr="00917B3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281" w:type="dxa"/>
            <w:vMerge w:val="restart"/>
            <w:noWrap/>
            <w:textDirection w:val="btLr"/>
            <w:hideMark/>
          </w:tcPr>
          <w:p w14:paraId="1A332D62" w14:textId="77777777" w:rsidR="000D3F98" w:rsidRPr="00864EAF" w:rsidRDefault="000D3F98" w:rsidP="008C5B36">
            <w:pPr>
              <w:jc w:val="center"/>
              <w:rPr>
                <w:rFonts w:ascii="Calibri" w:eastAsia="Times New Roman" w:hAnsi="Calibri" w:cs="Calibri"/>
                <w:b w:val="0"/>
                <w:color w:val="000000"/>
                <w:sz w:val="22"/>
                <w:szCs w:val="22"/>
              </w:rPr>
            </w:pPr>
            <w:r w:rsidRPr="00864EAF">
              <w:rPr>
                <w:rFonts w:ascii="Calibri" w:eastAsia="Times New Roman" w:hAnsi="Calibri" w:cs="Calibri"/>
                <w:color w:val="000000"/>
                <w:sz w:val="22"/>
                <w:szCs w:val="22"/>
              </w:rPr>
              <w:t>2024</w:t>
            </w:r>
          </w:p>
        </w:tc>
        <w:tc>
          <w:tcPr>
            <w:tcW w:w="1706" w:type="dxa"/>
            <w:noWrap/>
            <w:hideMark/>
          </w:tcPr>
          <w:p w14:paraId="3860D8ED" w14:textId="77777777" w:rsidR="000D3F98" w:rsidRPr="00864EAF" w:rsidRDefault="000D3F98" w:rsidP="008C5B3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Vertebrates</w:t>
            </w:r>
          </w:p>
        </w:tc>
        <w:tc>
          <w:tcPr>
            <w:tcW w:w="2911" w:type="dxa"/>
            <w:noWrap/>
            <w:hideMark/>
          </w:tcPr>
          <w:p w14:paraId="766ECB25" w14:textId="77777777" w:rsidR="000D3F98" w:rsidRPr="00864EAF" w:rsidRDefault="000D3F98" w:rsidP="008C5B3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18S v8v9 rRNA</w:t>
            </w:r>
          </w:p>
        </w:tc>
        <w:tc>
          <w:tcPr>
            <w:tcW w:w="1656" w:type="dxa"/>
            <w:noWrap/>
            <w:hideMark/>
          </w:tcPr>
          <w:p w14:paraId="13743C7C" w14:textId="77777777" w:rsidR="000D3F98" w:rsidRPr="00864EAF" w:rsidRDefault="000D3F98" w:rsidP="008C5B3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704242</w:t>
            </w:r>
          </w:p>
        </w:tc>
        <w:tc>
          <w:tcPr>
            <w:tcW w:w="1682" w:type="dxa"/>
            <w:noWrap/>
            <w:hideMark/>
          </w:tcPr>
          <w:p w14:paraId="6D412634" w14:textId="13F8F6F9" w:rsidR="000D3F98" w:rsidRPr="00864EAF" w:rsidRDefault="000D3F98" w:rsidP="008C5B3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19074</w:t>
            </w:r>
          </w:p>
        </w:tc>
      </w:tr>
      <w:tr w:rsidR="000D3F98" w:rsidRPr="00864EAF" w14:paraId="687CFD6E" w14:textId="77777777" w:rsidTr="00917B37">
        <w:trPr>
          <w:trHeight w:val="282"/>
        </w:trPr>
        <w:tc>
          <w:tcPr>
            <w:cnfStyle w:val="001000000000" w:firstRow="0" w:lastRow="0" w:firstColumn="1" w:lastColumn="0" w:oddVBand="0" w:evenVBand="0" w:oddHBand="0" w:evenHBand="0" w:firstRowFirstColumn="0" w:firstRowLastColumn="0" w:lastRowFirstColumn="0" w:lastRowLastColumn="0"/>
            <w:tcW w:w="1281" w:type="dxa"/>
            <w:vMerge/>
            <w:hideMark/>
          </w:tcPr>
          <w:p w14:paraId="40F8366E" w14:textId="77777777" w:rsidR="000D3F98" w:rsidRPr="00864EAF" w:rsidRDefault="000D3F98" w:rsidP="008C5B36">
            <w:pPr>
              <w:jc w:val="center"/>
              <w:rPr>
                <w:rFonts w:ascii="Calibri" w:eastAsia="Times New Roman" w:hAnsi="Calibri" w:cs="Calibri"/>
                <w:b w:val="0"/>
                <w:color w:val="000000"/>
                <w:sz w:val="22"/>
                <w:szCs w:val="22"/>
              </w:rPr>
            </w:pPr>
          </w:p>
        </w:tc>
        <w:tc>
          <w:tcPr>
            <w:tcW w:w="1706" w:type="dxa"/>
            <w:noWrap/>
            <w:hideMark/>
          </w:tcPr>
          <w:p w14:paraId="0D4D01E4" w14:textId="77777777" w:rsidR="000D3F98" w:rsidRPr="00864EAF" w:rsidRDefault="000D3F98" w:rsidP="008C5B3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Bacteria</w:t>
            </w:r>
          </w:p>
        </w:tc>
        <w:tc>
          <w:tcPr>
            <w:tcW w:w="2911" w:type="dxa"/>
            <w:noWrap/>
            <w:hideMark/>
          </w:tcPr>
          <w:p w14:paraId="5E4E38D4" w14:textId="77777777" w:rsidR="000D3F98" w:rsidRPr="00864EAF" w:rsidRDefault="000D3F98" w:rsidP="008C5B3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 xml:space="preserve">16S v3v4 </w:t>
            </w:r>
            <w:r w:rsidRPr="00864EAF">
              <w:rPr>
                <w:rFonts w:ascii="Calibri" w:eastAsia="Times New Roman" w:hAnsi="Calibri" w:cs="Calibri"/>
                <w:color w:val="000000"/>
              </w:rPr>
              <w:t>rRNA</w:t>
            </w:r>
          </w:p>
        </w:tc>
        <w:tc>
          <w:tcPr>
            <w:tcW w:w="1656" w:type="dxa"/>
            <w:noWrap/>
          </w:tcPr>
          <w:p w14:paraId="79E71546" w14:textId="77777777" w:rsidR="000D3F98" w:rsidRPr="00864EAF" w:rsidRDefault="000D3F98" w:rsidP="008C5B3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85236</w:t>
            </w:r>
          </w:p>
        </w:tc>
        <w:tc>
          <w:tcPr>
            <w:tcW w:w="1682" w:type="dxa"/>
            <w:noWrap/>
            <w:hideMark/>
          </w:tcPr>
          <w:p w14:paraId="31280CBA" w14:textId="77777777" w:rsidR="000D3F98" w:rsidRPr="00864EAF" w:rsidRDefault="000D3F98" w:rsidP="008C5B3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16770</w:t>
            </w:r>
          </w:p>
        </w:tc>
      </w:tr>
      <w:tr w:rsidR="000D3F98" w:rsidRPr="00864EAF" w14:paraId="730C3E12" w14:textId="77777777" w:rsidTr="00917B3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281" w:type="dxa"/>
            <w:vMerge w:val="restart"/>
            <w:noWrap/>
            <w:textDirection w:val="btLr"/>
            <w:hideMark/>
          </w:tcPr>
          <w:p w14:paraId="1E135834" w14:textId="77777777" w:rsidR="000D3F98" w:rsidRPr="00864EAF" w:rsidRDefault="000D3F98" w:rsidP="008C5B36">
            <w:pPr>
              <w:jc w:val="center"/>
              <w:rPr>
                <w:rFonts w:ascii="Calibri" w:eastAsia="Times New Roman" w:hAnsi="Calibri" w:cs="Calibri"/>
                <w:b w:val="0"/>
                <w:color w:val="000000"/>
                <w:sz w:val="22"/>
                <w:szCs w:val="22"/>
              </w:rPr>
            </w:pPr>
            <w:r w:rsidRPr="00864EAF">
              <w:rPr>
                <w:rFonts w:ascii="Calibri" w:eastAsia="Times New Roman" w:hAnsi="Calibri" w:cs="Calibri"/>
                <w:color w:val="000000"/>
                <w:sz w:val="22"/>
                <w:szCs w:val="22"/>
              </w:rPr>
              <w:t>2025</w:t>
            </w:r>
          </w:p>
        </w:tc>
        <w:tc>
          <w:tcPr>
            <w:tcW w:w="1706" w:type="dxa"/>
            <w:noWrap/>
            <w:hideMark/>
          </w:tcPr>
          <w:p w14:paraId="672B844D" w14:textId="77777777" w:rsidR="000D3F98" w:rsidRPr="00864EAF" w:rsidRDefault="000D3F98" w:rsidP="008C5B3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Vertebrates</w:t>
            </w:r>
          </w:p>
        </w:tc>
        <w:tc>
          <w:tcPr>
            <w:tcW w:w="2911" w:type="dxa"/>
            <w:noWrap/>
            <w:hideMark/>
          </w:tcPr>
          <w:p w14:paraId="0B7F6DC5" w14:textId="77777777" w:rsidR="000D3F98" w:rsidRPr="00864EAF" w:rsidRDefault="000D3F98" w:rsidP="008C5B3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 xml:space="preserve">mt16S </w:t>
            </w:r>
            <w:r w:rsidRPr="00864EAF">
              <w:rPr>
                <w:rFonts w:ascii="Calibri" w:eastAsia="Times New Roman" w:hAnsi="Calibri" w:cs="Calibri"/>
                <w:color w:val="000000"/>
              </w:rPr>
              <w:t>rRNA</w:t>
            </w:r>
          </w:p>
        </w:tc>
        <w:tc>
          <w:tcPr>
            <w:tcW w:w="1656" w:type="dxa"/>
            <w:noWrap/>
          </w:tcPr>
          <w:p w14:paraId="32A2D258" w14:textId="77777777" w:rsidR="000D3F98" w:rsidRPr="00864EAF" w:rsidRDefault="000D3F98" w:rsidP="008C5B3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122557.5</w:t>
            </w:r>
          </w:p>
        </w:tc>
        <w:tc>
          <w:tcPr>
            <w:tcW w:w="1682" w:type="dxa"/>
            <w:noWrap/>
            <w:hideMark/>
          </w:tcPr>
          <w:p w14:paraId="2B6C4127" w14:textId="58A08A2A" w:rsidR="000D3F98" w:rsidRPr="00864EAF" w:rsidRDefault="00917B37" w:rsidP="008C5B3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rPr>
              <w:t>1717</w:t>
            </w:r>
          </w:p>
        </w:tc>
      </w:tr>
      <w:tr w:rsidR="000D3F98" w:rsidRPr="00864EAF" w14:paraId="63F0C7FF" w14:textId="77777777" w:rsidTr="00917B37">
        <w:trPr>
          <w:trHeight w:val="272"/>
        </w:trPr>
        <w:tc>
          <w:tcPr>
            <w:cnfStyle w:val="001000000000" w:firstRow="0" w:lastRow="0" w:firstColumn="1" w:lastColumn="0" w:oddVBand="0" w:evenVBand="0" w:oddHBand="0" w:evenHBand="0" w:firstRowFirstColumn="0" w:firstRowLastColumn="0" w:lastRowFirstColumn="0" w:lastRowLastColumn="0"/>
            <w:tcW w:w="1281" w:type="dxa"/>
            <w:vMerge/>
            <w:hideMark/>
          </w:tcPr>
          <w:p w14:paraId="37B62EA0" w14:textId="77777777" w:rsidR="000D3F98" w:rsidRPr="00864EAF" w:rsidRDefault="000D3F98" w:rsidP="008C5B36">
            <w:pPr>
              <w:rPr>
                <w:rFonts w:ascii="Calibri" w:eastAsia="Times New Roman" w:hAnsi="Calibri" w:cs="Calibri"/>
                <w:b w:val="0"/>
                <w:color w:val="000000"/>
                <w:sz w:val="22"/>
                <w:szCs w:val="22"/>
              </w:rPr>
            </w:pPr>
          </w:p>
        </w:tc>
        <w:tc>
          <w:tcPr>
            <w:tcW w:w="1706" w:type="dxa"/>
            <w:noWrap/>
            <w:hideMark/>
          </w:tcPr>
          <w:p w14:paraId="63279427" w14:textId="77777777" w:rsidR="000D3F98" w:rsidRPr="00864EAF" w:rsidRDefault="000D3F98" w:rsidP="008C5B3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Vertebrates</w:t>
            </w:r>
          </w:p>
        </w:tc>
        <w:tc>
          <w:tcPr>
            <w:tcW w:w="2911" w:type="dxa"/>
            <w:noWrap/>
            <w:hideMark/>
          </w:tcPr>
          <w:p w14:paraId="006B88D1" w14:textId="77777777" w:rsidR="000D3F98" w:rsidRPr="00864EAF" w:rsidRDefault="000D3F98" w:rsidP="008C5B3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64EAF">
              <w:rPr>
                <w:rFonts w:ascii="Calibri" w:eastAsia="Times New Roman" w:hAnsi="Calibri" w:cs="Calibri"/>
                <w:color w:val="000000"/>
              </w:rPr>
              <w:t>m</w:t>
            </w:r>
            <w:r>
              <w:rPr>
                <w:rFonts w:ascii="Calibri" w:eastAsia="Times New Roman" w:hAnsi="Calibri" w:cs="Calibri"/>
                <w:color w:val="000000"/>
              </w:rPr>
              <w:t>t</w:t>
            </w:r>
            <w:r w:rsidRPr="00864EAF">
              <w:rPr>
                <w:rFonts w:ascii="Calibri" w:eastAsia="Times New Roman" w:hAnsi="Calibri" w:cs="Calibri"/>
                <w:color w:val="000000"/>
              </w:rPr>
              <w:t>12S rRNA</w:t>
            </w:r>
          </w:p>
        </w:tc>
        <w:tc>
          <w:tcPr>
            <w:tcW w:w="1656" w:type="dxa"/>
            <w:noWrap/>
          </w:tcPr>
          <w:p w14:paraId="386C7BF0" w14:textId="77777777" w:rsidR="000D3F98" w:rsidRPr="00864EAF" w:rsidRDefault="000D3F98" w:rsidP="008C5B3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162269</w:t>
            </w:r>
          </w:p>
        </w:tc>
        <w:tc>
          <w:tcPr>
            <w:tcW w:w="1682" w:type="dxa"/>
            <w:noWrap/>
            <w:hideMark/>
          </w:tcPr>
          <w:p w14:paraId="34DB8101" w14:textId="4EE1B97C" w:rsidR="000D3F98" w:rsidRPr="00864EAF" w:rsidRDefault="00917B37" w:rsidP="008C5B3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rPr>
              <w:t>1639</w:t>
            </w:r>
          </w:p>
        </w:tc>
      </w:tr>
      <w:tr w:rsidR="000D3F98" w:rsidRPr="00864EAF" w14:paraId="6E2676AF" w14:textId="77777777" w:rsidTr="00917B3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281" w:type="dxa"/>
            <w:vMerge/>
            <w:hideMark/>
          </w:tcPr>
          <w:p w14:paraId="27356A2A" w14:textId="77777777" w:rsidR="000D3F98" w:rsidRPr="00864EAF" w:rsidRDefault="000D3F98" w:rsidP="008C5B36">
            <w:pPr>
              <w:rPr>
                <w:rFonts w:ascii="Calibri" w:eastAsia="Times New Roman" w:hAnsi="Calibri" w:cs="Calibri"/>
                <w:b w:val="0"/>
                <w:color w:val="000000"/>
                <w:sz w:val="22"/>
                <w:szCs w:val="22"/>
              </w:rPr>
            </w:pPr>
          </w:p>
        </w:tc>
        <w:tc>
          <w:tcPr>
            <w:tcW w:w="1706" w:type="dxa"/>
            <w:noWrap/>
            <w:hideMark/>
          </w:tcPr>
          <w:p w14:paraId="47368FA5" w14:textId="77777777" w:rsidR="000D3F98" w:rsidRPr="00864EAF" w:rsidRDefault="000D3F98" w:rsidP="008C5B3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Fungi</w:t>
            </w:r>
          </w:p>
        </w:tc>
        <w:tc>
          <w:tcPr>
            <w:tcW w:w="2911" w:type="dxa"/>
            <w:noWrap/>
            <w:hideMark/>
          </w:tcPr>
          <w:p w14:paraId="1331843C" w14:textId="77777777" w:rsidR="000D3F98" w:rsidRPr="00864EAF" w:rsidRDefault="000D3F98" w:rsidP="008C5B3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ITS1</w:t>
            </w:r>
          </w:p>
        </w:tc>
        <w:tc>
          <w:tcPr>
            <w:tcW w:w="1656" w:type="dxa"/>
            <w:noWrap/>
          </w:tcPr>
          <w:p w14:paraId="6DAABCB9" w14:textId="77777777" w:rsidR="000D3F98" w:rsidRPr="00864EAF" w:rsidRDefault="000D3F98" w:rsidP="008C5B3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9589</w:t>
            </w:r>
          </w:p>
        </w:tc>
        <w:tc>
          <w:tcPr>
            <w:tcW w:w="1682" w:type="dxa"/>
            <w:noWrap/>
            <w:hideMark/>
          </w:tcPr>
          <w:p w14:paraId="4A16F79F" w14:textId="77777777" w:rsidR="000D3F98" w:rsidRPr="00864EAF" w:rsidRDefault="000D3F98" w:rsidP="008C5B3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924</w:t>
            </w:r>
          </w:p>
        </w:tc>
      </w:tr>
      <w:tr w:rsidR="000D3F98" w:rsidRPr="00864EAF" w14:paraId="64ADCB78" w14:textId="77777777" w:rsidTr="002B6D64">
        <w:trPr>
          <w:trHeight w:val="570"/>
        </w:trPr>
        <w:tc>
          <w:tcPr>
            <w:cnfStyle w:val="001000000000" w:firstRow="0" w:lastRow="0" w:firstColumn="1" w:lastColumn="0" w:oddVBand="0" w:evenVBand="0" w:oddHBand="0" w:evenHBand="0" w:firstRowFirstColumn="0" w:firstRowLastColumn="0" w:lastRowFirstColumn="0" w:lastRowLastColumn="0"/>
            <w:tcW w:w="1281" w:type="dxa"/>
            <w:vMerge/>
            <w:hideMark/>
          </w:tcPr>
          <w:p w14:paraId="54A4154E" w14:textId="77777777" w:rsidR="000D3F98" w:rsidRPr="00864EAF" w:rsidRDefault="000D3F98" w:rsidP="008C5B36">
            <w:pPr>
              <w:rPr>
                <w:rFonts w:ascii="Calibri" w:eastAsia="Times New Roman" w:hAnsi="Calibri" w:cs="Calibri"/>
                <w:b w:val="0"/>
                <w:color w:val="000000"/>
                <w:sz w:val="22"/>
                <w:szCs w:val="22"/>
              </w:rPr>
            </w:pPr>
          </w:p>
        </w:tc>
        <w:tc>
          <w:tcPr>
            <w:tcW w:w="1706" w:type="dxa"/>
            <w:noWrap/>
            <w:hideMark/>
          </w:tcPr>
          <w:p w14:paraId="35D22362" w14:textId="77777777" w:rsidR="000D3F98" w:rsidRPr="00864EAF" w:rsidRDefault="000D3F98" w:rsidP="008C5B3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Bacteria</w:t>
            </w:r>
          </w:p>
        </w:tc>
        <w:tc>
          <w:tcPr>
            <w:tcW w:w="2911" w:type="dxa"/>
            <w:noWrap/>
            <w:hideMark/>
          </w:tcPr>
          <w:p w14:paraId="59A43C78" w14:textId="77777777" w:rsidR="000D3F98" w:rsidRPr="00864EAF" w:rsidRDefault="000D3F98" w:rsidP="008C5B3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 xml:space="preserve">16S </w:t>
            </w:r>
            <w:r w:rsidRPr="00864EAF">
              <w:rPr>
                <w:rFonts w:ascii="Calibri" w:eastAsia="Times New Roman" w:hAnsi="Calibri" w:cs="Calibri"/>
                <w:color w:val="000000"/>
              </w:rPr>
              <w:t>rRNA</w:t>
            </w:r>
            <w:r w:rsidRPr="00864EAF">
              <w:rPr>
                <w:rFonts w:ascii="Calibri" w:eastAsia="Times New Roman" w:hAnsi="Calibri" w:cs="Calibri"/>
                <w:color w:val="000000"/>
                <w:sz w:val="22"/>
                <w:szCs w:val="22"/>
              </w:rPr>
              <w:t xml:space="preserve"> v5v6</w:t>
            </w:r>
          </w:p>
        </w:tc>
        <w:tc>
          <w:tcPr>
            <w:tcW w:w="1656" w:type="dxa"/>
            <w:noWrap/>
          </w:tcPr>
          <w:p w14:paraId="0CB0A795" w14:textId="77777777" w:rsidR="000D3F98" w:rsidRPr="00864EAF" w:rsidRDefault="000D3F98" w:rsidP="008C5B3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54793.5</w:t>
            </w:r>
          </w:p>
          <w:p w14:paraId="7019A664" w14:textId="77777777" w:rsidR="000D3F98" w:rsidRPr="00864EAF" w:rsidRDefault="000D3F98" w:rsidP="008C5B3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p>
        </w:tc>
        <w:tc>
          <w:tcPr>
            <w:tcW w:w="1682" w:type="dxa"/>
            <w:noWrap/>
            <w:hideMark/>
          </w:tcPr>
          <w:p w14:paraId="23112B10" w14:textId="77777777" w:rsidR="000D3F98" w:rsidRPr="00864EAF" w:rsidRDefault="000D3F98" w:rsidP="008C5B3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864EAF">
              <w:rPr>
                <w:rFonts w:ascii="Calibri" w:eastAsia="Times New Roman" w:hAnsi="Calibri" w:cs="Calibri"/>
                <w:color w:val="000000"/>
                <w:sz w:val="22"/>
                <w:szCs w:val="22"/>
              </w:rPr>
              <w:t>87488</w:t>
            </w:r>
          </w:p>
        </w:tc>
      </w:tr>
    </w:tbl>
    <w:p w14:paraId="6F3DFB7C" w14:textId="77777777" w:rsidR="00615C82" w:rsidRDefault="00615C82" w:rsidP="000D3F98">
      <w:pPr>
        <w:rPr>
          <w:b/>
          <w:bCs/>
        </w:rPr>
      </w:pPr>
    </w:p>
    <w:p w14:paraId="5AE8C4FC" w14:textId="51276441" w:rsidR="000D3F98" w:rsidRPr="00A95DF5" w:rsidRDefault="000D3F98" w:rsidP="000D3F98">
      <w:pPr>
        <w:rPr>
          <w:b/>
          <w:bCs/>
        </w:rPr>
      </w:pPr>
      <w:r w:rsidRPr="00A95DF5">
        <w:rPr>
          <w:b/>
          <w:bCs/>
        </w:rPr>
        <w:t>Table S</w:t>
      </w:r>
      <w:r>
        <w:rPr>
          <w:b/>
          <w:bCs/>
        </w:rPr>
        <w:t>4</w:t>
      </w:r>
      <w:r w:rsidRPr="00A95DF5">
        <w:rPr>
          <w:b/>
          <w:bCs/>
        </w:rPr>
        <w:t xml:space="preserve">: </w:t>
      </w:r>
      <w:r>
        <w:rPr>
          <w:b/>
          <w:bCs/>
        </w:rPr>
        <w:t>Settings for DADA2 Pipeline</w:t>
      </w:r>
    </w:p>
    <w:tbl>
      <w:tblPr>
        <w:tblStyle w:val="PlainTable2"/>
        <w:tblW w:w="9801" w:type="dxa"/>
        <w:tblLook w:val="04A0" w:firstRow="1" w:lastRow="0" w:firstColumn="1" w:lastColumn="0" w:noHBand="0" w:noVBand="1"/>
      </w:tblPr>
      <w:tblGrid>
        <w:gridCol w:w="2813"/>
        <w:gridCol w:w="1747"/>
        <w:gridCol w:w="1747"/>
        <w:gridCol w:w="1747"/>
        <w:gridCol w:w="1747"/>
      </w:tblGrid>
      <w:tr w:rsidR="000D3F98" w:rsidRPr="00864EAF" w14:paraId="6E169427" w14:textId="77777777" w:rsidTr="008C5B36">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813" w:type="dxa"/>
            <w:shd w:val="clear" w:color="auto" w:fill="C1E4F5" w:themeFill="accent1" w:themeFillTint="33"/>
            <w:noWrap/>
            <w:hideMark/>
          </w:tcPr>
          <w:p w14:paraId="2ED9D908" w14:textId="77777777" w:rsidR="000D3F98" w:rsidRPr="00864EAF" w:rsidRDefault="000D3F98" w:rsidP="008C5B36">
            <w:pPr>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 </w:t>
            </w:r>
            <w:r>
              <w:rPr>
                <w:rFonts w:ascii="Calibri" w:eastAsia="Times New Roman" w:hAnsi="Calibri" w:cs="Calibri"/>
                <w:color w:val="000000"/>
                <w:sz w:val="22"/>
                <w:szCs w:val="22"/>
                <w:lang w:eastAsia="nl-NL"/>
              </w:rPr>
              <w:t>Parameter</w:t>
            </w:r>
          </w:p>
        </w:tc>
        <w:tc>
          <w:tcPr>
            <w:tcW w:w="1747" w:type="dxa"/>
            <w:shd w:val="clear" w:color="auto" w:fill="C1E4F5" w:themeFill="accent1" w:themeFillTint="33"/>
            <w:noWrap/>
            <w:hideMark/>
          </w:tcPr>
          <w:p w14:paraId="7667C771" w14:textId="77777777" w:rsidR="000D3F98" w:rsidRPr="00864EAF" w:rsidRDefault="000D3F98" w:rsidP="008C5B36">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2"/>
                <w:szCs w:val="22"/>
                <w:lang w:eastAsia="nl-NL"/>
              </w:rPr>
            </w:pPr>
            <w:r w:rsidRPr="00864EAF">
              <w:rPr>
                <w:rFonts w:ascii="Calibri" w:eastAsia="Times New Roman" w:hAnsi="Calibri" w:cs="Calibri"/>
                <w:color w:val="000000"/>
                <w:sz w:val="22"/>
                <w:szCs w:val="22"/>
                <w:lang w:eastAsia="nl-NL"/>
              </w:rPr>
              <w:t>16S bac</w:t>
            </w:r>
          </w:p>
        </w:tc>
        <w:tc>
          <w:tcPr>
            <w:tcW w:w="1747" w:type="dxa"/>
            <w:shd w:val="clear" w:color="auto" w:fill="C1E4F5" w:themeFill="accent1" w:themeFillTint="33"/>
            <w:noWrap/>
            <w:hideMark/>
          </w:tcPr>
          <w:p w14:paraId="065B3B75" w14:textId="77777777" w:rsidR="000D3F98" w:rsidRPr="00864EAF" w:rsidRDefault="000D3F98" w:rsidP="008C5B36">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2"/>
                <w:szCs w:val="22"/>
                <w:lang w:eastAsia="nl-NL"/>
              </w:rPr>
            </w:pPr>
            <w:r w:rsidRPr="00864EAF">
              <w:rPr>
                <w:rFonts w:ascii="Calibri" w:eastAsia="Times New Roman" w:hAnsi="Calibri" w:cs="Calibri"/>
                <w:color w:val="000000"/>
                <w:sz w:val="22"/>
                <w:szCs w:val="22"/>
                <w:lang w:eastAsia="nl-NL"/>
              </w:rPr>
              <w:t>ITS</w:t>
            </w:r>
          </w:p>
        </w:tc>
        <w:tc>
          <w:tcPr>
            <w:tcW w:w="1747" w:type="dxa"/>
            <w:shd w:val="clear" w:color="auto" w:fill="C1E4F5" w:themeFill="accent1" w:themeFillTint="33"/>
            <w:noWrap/>
            <w:hideMark/>
          </w:tcPr>
          <w:p w14:paraId="75049F4A" w14:textId="77777777" w:rsidR="000D3F98" w:rsidRPr="00864EAF" w:rsidRDefault="000D3F98" w:rsidP="008C5B36">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2"/>
                <w:szCs w:val="22"/>
                <w:lang w:eastAsia="nl-NL"/>
              </w:rPr>
            </w:pPr>
            <w:r w:rsidRPr="00864EAF">
              <w:rPr>
                <w:rFonts w:ascii="Calibri" w:eastAsia="Times New Roman" w:hAnsi="Calibri" w:cs="Calibri"/>
                <w:color w:val="000000"/>
                <w:sz w:val="22"/>
                <w:szCs w:val="22"/>
                <w:lang w:eastAsia="nl-NL"/>
              </w:rPr>
              <w:t>12S</w:t>
            </w:r>
          </w:p>
        </w:tc>
        <w:tc>
          <w:tcPr>
            <w:tcW w:w="1747" w:type="dxa"/>
            <w:shd w:val="clear" w:color="auto" w:fill="C1E4F5" w:themeFill="accent1" w:themeFillTint="33"/>
            <w:noWrap/>
            <w:hideMark/>
          </w:tcPr>
          <w:p w14:paraId="4D5FC508" w14:textId="77777777" w:rsidR="000D3F98" w:rsidRPr="00864EAF" w:rsidRDefault="000D3F98" w:rsidP="008C5B36">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2"/>
                <w:szCs w:val="22"/>
                <w:lang w:eastAsia="nl-NL"/>
              </w:rPr>
            </w:pPr>
            <w:r w:rsidRPr="00864EAF">
              <w:rPr>
                <w:rFonts w:ascii="Calibri" w:eastAsia="Times New Roman" w:hAnsi="Calibri" w:cs="Calibri"/>
                <w:color w:val="000000"/>
                <w:sz w:val="22"/>
                <w:szCs w:val="22"/>
                <w:lang w:eastAsia="nl-NL"/>
              </w:rPr>
              <w:t xml:space="preserve">MT 16S </w:t>
            </w:r>
          </w:p>
        </w:tc>
      </w:tr>
      <w:tr w:rsidR="000D3F98" w:rsidRPr="00864EAF" w14:paraId="7AA24ACE" w14:textId="77777777" w:rsidTr="008C5B3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733E8A9C" w14:textId="77777777" w:rsidR="000D3F98" w:rsidRPr="00864EAF" w:rsidRDefault="000D3F98" w:rsidP="008C5B36">
            <w:pPr>
              <w:rPr>
                <w:rFonts w:ascii="Calibri" w:eastAsia="Times New Roman" w:hAnsi="Calibri" w:cs="Calibri"/>
                <w:color w:val="000000"/>
                <w:sz w:val="22"/>
                <w:szCs w:val="22"/>
                <w:lang w:eastAsia="nl-NL"/>
              </w:rPr>
            </w:pPr>
            <w:proofErr w:type="spellStart"/>
            <w:r w:rsidRPr="00864EAF">
              <w:rPr>
                <w:rFonts w:ascii="Calibri" w:eastAsia="Times New Roman" w:hAnsi="Calibri" w:cs="Calibri"/>
                <w:color w:val="000000"/>
                <w:sz w:val="22"/>
                <w:szCs w:val="22"/>
                <w:lang w:eastAsia="nl-NL"/>
              </w:rPr>
              <w:t>justconcat</w:t>
            </w:r>
            <w:proofErr w:type="spellEnd"/>
          </w:p>
        </w:tc>
        <w:tc>
          <w:tcPr>
            <w:tcW w:w="1747" w:type="dxa"/>
            <w:noWrap/>
            <w:hideMark/>
          </w:tcPr>
          <w:p w14:paraId="415878FC"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FALSE</w:t>
            </w:r>
          </w:p>
        </w:tc>
        <w:tc>
          <w:tcPr>
            <w:tcW w:w="1747" w:type="dxa"/>
            <w:noWrap/>
            <w:hideMark/>
          </w:tcPr>
          <w:p w14:paraId="7A262E31"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FALSE</w:t>
            </w:r>
          </w:p>
        </w:tc>
        <w:tc>
          <w:tcPr>
            <w:tcW w:w="1747" w:type="dxa"/>
            <w:noWrap/>
            <w:hideMark/>
          </w:tcPr>
          <w:p w14:paraId="25C6F50E"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FALSE</w:t>
            </w:r>
          </w:p>
        </w:tc>
        <w:tc>
          <w:tcPr>
            <w:tcW w:w="1747" w:type="dxa"/>
            <w:noWrap/>
            <w:hideMark/>
          </w:tcPr>
          <w:p w14:paraId="5CB3D940"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FALSE</w:t>
            </w:r>
          </w:p>
        </w:tc>
      </w:tr>
      <w:tr w:rsidR="000D3F98" w:rsidRPr="00864EAF" w14:paraId="0D4DB198" w14:textId="77777777" w:rsidTr="008C5B36">
        <w:trPr>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3F1CC9E1" w14:textId="77777777" w:rsidR="000D3F98" w:rsidRPr="00864EAF" w:rsidRDefault="000D3F98" w:rsidP="008C5B36">
            <w:pPr>
              <w:rPr>
                <w:rFonts w:ascii="Calibri" w:eastAsia="Times New Roman" w:hAnsi="Calibri" w:cs="Calibri"/>
                <w:color w:val="000000"/>
                <w:sz w:val="22"/>
                <w:szCs w:val="22"/>
                <w:lang w:eastAsia="nl-NL"/>
              </w:rPr>
            </w:pPr>
            <w:proofErr w:type="spellStart"/>
            <w:r w:rsidRPr="00864EAF">
              <w:rPr>
                <w:rFonts w:ascii="Calibri" w:eastAsia="Times New Roman" w:hAnsi="Calibri" w:cs="Calibri"/>
                <w:color w:val="000000"/>
                <w:sz w:val="22"/>
                <w:szCs w:val="22"/>
                <w:lang w:eastAsia="nl-NL"/>
              </w:rPr>
              <w:t>minOverlap</w:t>
            </w:r>
            <w:proofErr w:type="spellEnd"/>
          </w:p>
        </w:tc>
        <w:tc>
          <w:tcPr>
            <w:tcW w:w="1747" w:type="dxa"/>
            <w:noWrap/>
            <w:hideMark/>
          </w:tcPr>
          <w:p w14:paraId="4E799F1E"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4</w:t>
            </w:r>
          </w:p>
        </w:tc>
        <w:tc>
          <w:tcPr>
            <w:tcW w:w="1747" w:type="dxa"/>
            <w:noWrap/>
            <w:hideMark/>
          </w:tcPr>
          <w:p w14:paraId="2ADA2EB2"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10</w:t>
            </w:r>
          </w:p>
        </w:tc>
        <w:tc>
          <w:tcPr>
            <w:tcW w:w="1747" w:type="dxa"/>
            <w:noWrap/>
            <w:hideMark/>
          </w:tcPr>
          <w:p w14:paraId="0F3E329E"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10</w:t>
            </w:r>
          </w:p>
        </w:tc>
        <w:tc>
          <w:tcPr>
            <w:tcW w:w="1747" w:type="dxa"/>
            <w:noWrap/>
            <w:hideMark/>
          </w:tcPr>
          <w:p w14:paraId="6028839B"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10</w:t>
            </w:r>
          </w:p>
        </w:tc>
      </w:tr>
      <w:tr w:rsidR="000D3F98" w:rsidRPr="00864EAF" w14:paraId="227A7C85" w14:textId="77777777" w:rsidTr="008C5B3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78A2D75A" w14:textId="77777777" w:rsidR="000D3F98" w:rsidRPr="00864EAF" w:rsidRDefault="000D3F98" w:rsidP="008C5B36">
            <w:pPr>
              <w:rPr>
                <w:rFonts w:ascii="Calibri" w:eastAsia="Times New Roman" w:hAnsi="Calibri" w:cs="Calibri"/>
                <w:color w:val="000000"/>
                <w:sz w:val="22"/>
                <w:szCs w:val="22"/>
                <w:lang w:eastAsia="nl-NL"/>
              </w:rPr>
            </w:pPr>
            <w:proofErr w:type="spellStart"/>
            <w:r w:rsidRPr="00864EAF">
              <w:rPr>
                <w:rFonts w:ascii="Calibri" w:eastAsia="Times New Roman" w:hAnsi="Calibri" w:cs="Calibri"/>
                <w:color w:val="000000"/>
                <w:sz w:val="22"/>
                <w:szCs w:val="22"/>
                <w:lang w:eastAsia="nl-NL"/>
              </w:rPr>
              <w:t>maxEE</w:t>
            </w:r>
            <w:proofErr w:type="spellEnd"/>
          </w:p>
        </w:tc>
        <w:tc>
          <w:tcPr>
            <w:tcW w:w="1747" w:type="dxa"/>
            <w:noWrap/>
            <w:hideMark/>
          </w:tcPr>
          <w:p w14:paraId="1A2C8E4F"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2,2</w:t>
            </w:r>
          </w:p>
        </w:tc>
        <w:tc>
          <w:tcPr>
            <w:tcW w:w="1747" w:type="dxa"/>
            <w:noWrap/>
            <w:hideMark/>
          </w:tcPr>
          <w:p w14:paraId="3A5C34DB"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2,2</w:t>
            </w:r>
          </w:p>
        </w:tc>
        <w:tc>
          <w:tcPr>
            <w:tcW w:w="1747" w:type="dxa"/>
            <w:noWrap/>
            <w:hideMark/>
          </w:tcPr>
          <w:p w14:paraId="7E648C52"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inf</w:t>
            </w:r>
          </w:p>
        </w:tc>
        <w:tc>
          <w:tcPr>
            <w:tcW w:w="1747" w:type="dxa"/>
            <w:noWrap/>
            <w:hideMark/>
          </w:tcPr>
          <w:p w14:paraId="72683307"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inf</w:t>
            </w:r>
          </w:p>
        </w:tc>
      </w:tr>
      <w:tr w:rsidR="000D3F98" w:rsidRPr="00864EAF" w14:paraId="555CF8AA" w14:textId="77777777" w:rsidTr="008C5B36">
        <w:trPr>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5007C039" w14:textId="77777777" w:rsidR="000D3F98" w:rsidRPr="00864EAF" w:rsidRDefault="000D3F98" w:rsidP="008C5B36">
            <w:pPr>
              <w:rPr>
                <w:rFonts w:ascii="Calibri" w:eastAsia="Times New Roman" w:hAnsi="Calibri" w:cs="Calibri"/>
                <w:color w:val="000000"/>
                <w:sz w:val="22"/>
                <w:szCs w:val="22"/>
                <w:lang w:eastAsia="nl-NL"/>
              </w:rPr>
            </w:pPr>
            <w:proofErr w:type="spellStart"/>
            <w:r w:rsidRPr="00864EAF">
              <w:rPr>
                <w:rFonts w:ascii="Calibri" w:eastAsia="Times New Roman" w:hAnsi="Calibri" w:cs="Calibri"/>
                <w:color w:val="000000"/>
                <w:sz w:val="22"/>
                <w:szCs w:val="22"/>
                <w:lang w:eastAsia="nl-NL"/>
              </w:rPr>
              <w:t>maxN</w:t>
            </w:r>
            <w:proofErr w:type="spellEnd"/>
          </w:p>
        </w:tc>
        <w:tc>
          <w:tcPr>
            <w:tcW w:w="1747" w:type="dxa"/>
            <w:noWrap/>
            <w:hideMark/>
          </w:tcPr>
          <w:p w14:paraId="5466369A"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2</w:t>
            </w:r>
          </w:p>
        </w:tc>
        <w:tc>
          <w:tcPr>
            <w:tcW w:w="1747" w:type="dxa"/>
            <w:noWrap/>
            <w:hideMark/>
          </w:tcPr>
          <w:p w14:paraId="7049A15C"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2</w:t>
            </w:r>
          </w:p>
        </w:tc>
        <w:tc>
          <w:tcPr>
            <w:tcW w:w="1747" w:type="dxa"/>
            <w:noWrap/>
            <w:hideMark/>
          </w:tcPr>
          <w:p w14:paraId="53C04A72"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0</w:t>
            </w:r>
          </w:p>
        </w:tc>
        <w:tc>
          <w:tcPr>
            <w:tcW w:w="1747" w:type="dxa"/>
            <w:noWrap/>
            <w:hideMark/>
          </w:tcPr>
          <w:p w14:paraId="12F4D35B"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0</w:t>
            </w:r>
          </w:p>
        </w:tc>
      </w:tr>
      <w:tr w:rsidR="000D3F98" w:rsidRPr="00864EAF" w14:paraId="33CF5096" w14:textId="77777777" w:rsidTr="008C5B3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6ABC6AD8" w14:textId="77777777" w:rsidR="000D3F98" w:rsidRPr="00864EAF" w:rsidRDefault="000D3F98" w:rsidP="008C5B36">
            <w:pPr>
              <w:rPr>
                <w:rFonts w:ascii="Calibri" w:eastAsia="Times New Roman" w:hAnsi="Calibri" w:cs="Calibri"/>
                <w:color w:val="000000"/>
                <w:sz w:val="22"/>
                <w:szCs w:val="22"/>
                <w:lang w:eastAsia="nl-NL"/>
              </w:rPr>
            </w:pPr>
            <w:proofErr w:type="spellStart"/>
            <w:r w:rsidRPr="00864EAF">
              <w:rPr>
                <w:rFonts w:ascii="Calibri" w:eastAsia="Times New Roman" w:hAnsi="Calibri" w:cs="Calibri"/>
                <w:color w:val="000000"/>
                <w:sz w:val="22"/>
                <w:szCs w:val="22"/>
                <w:lang w:eastAsia="nl-NL"/>
              </w:rPr>
              <w:t>maxLen</w:t>
            </w:r>
            <w:proofErr w:type="spellEnd"/>
          </w:p>
        </w:tc>
        <w:tc>
          <w:tcPr>
            <w:tcW w:w="1747" w:type="dxa"/>
            <w:noWrap/>
            <w:hideMark/>
          </w:tcPr>
          <w:p w14:paraId="595BDF8C"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Inf</w:t>
            </w:r>
          </w:p>
        </w:tc>
        <w:tc>
          <w:tcPr>
            <w:tcW w:w="1747" w:type="dxa"/>
            <w:noWrap/>
            <w:hideMark/>
          </w:tcPr>
          <w:p w14:paraId="349BDA19"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Inf</w:t>
            </w:r>
          </w:p>
        </w:tc>
        <w:tc>
          <w:tcPr>
            <w:tcW w:w="1747" w:type="dxa"/>
            <w:noWrap/>
            <w:hideMark/>
          </w:tcPr>
          <w:p w14:paraId="5A0ABB8F"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Inf</w:t>
            </w:r>
          </w:p>
        </w:tc>
        <w:tc>
          <w:tcPr>
            <w:tcW w:w="1747" w:type="dxa"/>
            <w:noWrap/>
            <w:hideMark/>
          </w:tcPr>
          <w:p w14:paraId="68CA4BEA"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Inf</w:t>
            </w:r>
          </w:p>
        </w:tc>
      </w:tr>
      <w:tr w:rsidR="000D3F98" w:rsidRPr="00864EAF" w14:paraId="47B37E4B" w14:textId="77777777" w:rsidTr="008C5B36">
        <w:trPr>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335358A5" w14:textId="77777777" w:rsidR="000D3F98" w:rsidRPr="00864EAF" w:rsidRDefault="000D3F98" w:rsidP="008C5B36">
            <w:pPr>
              <w:rPr>
                <w:rFonts w:ascii="Calibri" w:eastAsia="Times New Roman" w:hAnsi="Calibri" w:cs="Calibri"/>
                <w:color w:val="000000"/>
                <w:sz w:val="22"/>
                <w:szCs w:val="22"/>
                <w:lang w:eastAsia="nl-NL"/>
              </w:rPr>
            </w:pPr>
            <w:proofErr w:type="spellStart"/>
            <w:r w:rsidRPr="00864EAF">
              <w:rPr>
                <w:rFonts w:ascii="Calibri" w:eastAsia="Times New Roman" w:hAnsi="Calibri" w:cs="Calibri"/>
                <w:color w:val="000000"/>
                <w:sz w:val="22"/>
                <w:szCs w:val="22"/>
                <w:lang w:eastAsia="nl-NL"/>
              </w:rPr>
              <w:t>minLen</w:t>
            </w:r>
            <w:proofErr w:type="spellEnd"/>
          </w:p>
        </w:tc>
        <w:tc>
          <w:tcPr>
            <w:tcW w:w="1747" w:type="dxa"/>
            <w:noWrap/>
            <w:hideMark/>
          </w:tcPr>
          <w:p w14:paraId="1F7C76BA"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120</w:t>
            </w:r>
          </w:p>
        </w:tc>
        <w:tc>
          <w:tcPr>
            <w:tcW w:w="1747" w:type="dxa"/>
            <w:noWrap/>
            <w:hideMark/>
          </w:tcPr>
          <w:p w14:paraId="04E38DAC"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80</w:t>
            </w:r>
          </w:p>
        </w:tc>
        <w:tc>
          <w:tcPr>
            <w:tcW w:w="1747" w:type="dxa"/>
            <w:noWrap/>
            <w:hideMark/>
          </w:tcPr>
          <w:p w14:paraId="28BEB9A1"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80</w:t>
            </w:r>
          </w:p>
        </w:tc>
        <w:tc>
          <w:tcPr>
            <w:tcW w:w="1747" w:type="dxa"/>
            <w:noWrap/>
            <w:hideMark/>
          </w:tcPr>
          <w:p w14:paraId="37E42D88"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80</w:t>
            </w:r>
          </w:p>
        </w:tc>
      </w:tr>
      <w:tr w:rsidR="000D3F98" w:rsidRPr="00864EAF" w14:paraId="6ECAC524" w14:textId="77777777" w:rsidTr="008C5B3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4C00CC73" w14:textId="77777777" w:rsidR="000D3F98" w:rsidRPr="00864EAF" w:rsidRDefault="000D3F98" w:rsidP="008C5B36">
            <w:pPr>
              <w:rPr>
                <w:rFonts w:ascii="Calibri" w:eastAsia="Times New Roman" w:hAnsi="Calibri" w:cs="Calibri"/>
                <w:color w:val="000000"/>
                <w:sz w:val="22"/>
                <w:szCs w:val="22"/>
                <w:lang w:eastAsia="nl-NL"/>
              </w:rPr>
            </w:pPr>
            <w:proofErr w:type="spellStart"/>
            <w:r w:rsidRPr="00864EAF">
              <w:rPr>
                <w:rFonts w:ascii="Calibri" w:eastAsia="Times New Roman" w:hAnsi="Calibri" w:cs="Calibri"/>
                <w:color w:val="000000"/>
                <w:sz w:val="22"/>
                <w:szCs w:val="22"/>
                <w:lang w:eastAsia="nl-NL"/>
              </w:rPr>
              <w:t>tryRC</w:t>
            </w:r>
            <w:proofErr w:type="spellEnd"/>
          </w:p>
        </w:tc>
        <w:tc>
          <w:tcPr>
            <w:tcW w:w="1747" w:type="dxa"/>
            <w:noWrap/>
            <w:hideMark/>
          </w:tcPr>
          <w:p w14:paraId="55B04360"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TRUE</w:t>
            </w:r>
          </w:p>
        </w:tc>
        <w:tc>
          <w:tcPr>
            <w:tcW w:w="1747" w:type="dxa"/>
            <w:noWrap/>
            <w:hideMark/>
          </w:tcPr>
          <w:p w14:paraId="66158D6B"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TRUE</w:t>
            </w:r>
          </w:p>
        </w:tc>
        <w:tc>
          <w:tcPr>
            <w:tcW w:w="1747" w:type="dxa"/>
            <w:noWrap/>
            <w:hideMark/>
          </w:tcPr>
          <w:p w14:paraId="63DF3004"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TRUE</w:t>
            </w:r>
          </w:p>
        </w:tc>
        <w:tc>
          <w:tcPr>
            <w:tcW w:w="1747" w:type="dxa"/>
            <w:noWrap/>
            <w:hideMark/>
          </w:tcPr>
          <w:p w14:paraId="0441E3BF"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TRUE</w:t>
            </w:r>
          </w:p>
        </w:tc>
      </w:tr>
      <w:tr w:rsidR="000D3F98" w:rsidRPr="00864EAF" w14:paraId="7D472CAA" w14:textId="77777777" w:rsidTr="008C5B36">
        <w:trPr>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73F9DD1A" w14:textId="77777777" w:rsidR="000D3F98" w:rsidRPr="00864EAF" w:rsidRDefault="000D3F98" w:rsidP="008C5B36">
            <w:pPr>
              <w:rPr>
                <w:rFonts w:ascii="Calibri" w:eastAsia="Times New Roman" w:hAnsi="Calibri" w:cs="Calibri"/>
                <w:color w:val="000000"/>
                <w:sz w:val="22"/>
                <w:szCs w:val="22"/>
                <w:lang w:eastAsia="nl-NL"/>
              </w:rPr>
            </w:pPr>
            <w:proofErr w:type="spellStart"/>
            <w:r w:rsidRPr="00864EAF">
              <w:rPr>
                <w:rFonts w:ascii="Calibri" w:eastAsia="Times New Roman" w:hAnsi="Calibri" w:cs="Calibri"/>
                <w:color w:val="000000"/>
                <w:sz w:val="22"/>
                <w:szCs w:val="22"/>
                <w:lang w:eastAsia="nl-NL"/>
              </w:rPr>
              <w:t>truncQ</w:t>
            </w:r>
            <w:proofErr w:type="spellEnd"/>
          </w:p>
        </w:tc>
        <w:tc>
          <w:tcPr>
            <w:tcW w:w="1747" w:type="dxa"/>
            <w:noWrap/>
            <w:hideMark/>
          </w:tcPr>
          <w:p w14:paraId="53A4255B"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2</w:t>
            </w:r>
          </w:p>
        </w:tc>
        <w:tc>
          <w:tcPr>
            <w:tcW w:w="1747" w:type="dxa"/>
            <w:noWrap/>
            <w:hideMark/>
          </w:tcPr>
          <w:p w14:paraId="5B39F816"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2</w:t>
            </w:r>
          </w:p>
        </w:tc>
        <w:tc>
          <w:tcPr>
            <w:tcW w:w="1747" w:type="dxa"/>
            <w:noWrap/>
            <w:hideMark/>
          </w:tcPr>
          <w:p w14:paraId="59EF50A3"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2</w:t>
            </w:r>
          </w:p>
        </w:tc>
        <w:tc>
          <w:tcPr>
            <w:tcW w:w="1747" w:type="dxa"/>
            <w:noWrap/>
            <w:hideMark/>
          </w:tcPr>
          <w:p w14:paraId="4CF56597"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2</w:t>
            </w:r>
          </w:p>
        </w:tc>
      </w:tr>
      <w:tr w:rsidR="000D3F98" w:rsidRPr="00864EAF" w14:paraId="69FC59C9" w14:textId="77777777" w:rsidTr="008C5B3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2E897BA8" w14:textId="77777777" w:rsidR="000D3F98" w:rsidRPr="00864EAF" w:rsidRDefault="000D3F98" w:rsidP="008C5B36">
            <w:pPr>
              <w:rPr>
                <w:rFonts w:ascii="Calibri" w:eastAsia="Times New Roman" w:hAnsi="Calibri" w:cs="Calibri"/>
                <w:color w:val="000000"/>
                <w:sz w:val="22"/>
                <w:szCs w:val="22"/>
                <w:lang w:eastAsia="nl-NL"/>
              </w:rPr>
            </w:pPr>
            <w:proofErr w:type="spellStart"/>
            <w:r w:rsidRPr="00864EAF">
              <w:rPr>
                <w:rFonts w:ascii="Calibri" w:eastAsia="Times New Roman" w:hAnsi="Calibri" w:cs="Calibri"/>
                <w:color w:val="000000"/>
                <w:sz w:val="22"/>
                <w:szCs w:val="22"/>
                <w:lang w:eastAsia="nl-NL"/>
              </w:rPr>
              <w:t>minBoot</w:t>
            </w:r>
            <w:proofErr w:type="spellEnd"/>
          </w:p>
        </w:tc>
        <w:tc>
          <w:tcPr>
            <w:tcW w:w="1747" w:type="dxa"/>
            <w:noWrap/>
            <w:hideMark/>
          </w:tcPr>
          <w:p w14:paraId="6B59A648"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60</w:t>
            </w:r>
          </w:p>
        </w:tc>
        <w:tc>
          <w:tcPr>
            <w:tcW w:w="1747" w:type="dxa"/>
            <w:noWrap/>
            <w:hideMark/>
          </w:tcPr>
          <w:p w14:paraId="694D1895"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60</w:t>
            </w:r>
          </w:p>
        </w:tc>
        <w:tc>
          <w:tcPr>
            <w:tcW w:w="1747" w:type="dxa"/>
            <w:noWrap/>
            <w:hideMark/>
          </w:tcPr>
          <w:p w14:paraId="4DB4F2DB"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60</w:t>
            </w:r>
          </w:p>
        </w:tc>
        <w:tc>
          <w:tcPr>
            <w:tcW w:w="1747" w:type="dxa"/>
            <w:noWrap/>
            <w:hideMark/>
          </w:tcPr>
          <w:p w14:paraId="31D59686"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60</w:t>
            </w:r>
          </w:p>
        </w:tc>
      </w:tr>
      <w:tr w:rsidR="000D3F98" w:rsidRPr="00864EAF" w14:paraId="487B0A9F" w14:textId="77777777" w:rsidTr="008C5B36">
        <w:trPr>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110D5C53" w14:textId="77777777" w:rsidR="000D3F98" w:rsidRPr="00864EAF" w:rsidRDefault="000D3F98" w:rsidP="008C5B36">
            <w:pPr>
              <w:rPr>
                <w:rFonts w:ascii="Calibri" w:eastAsia="Times New Roman" w:hAnsi="Calibri" w:cs="Calibri"/>
                <w:color w:val="000000"/>
                <w:sz w:val="22"/>
                <w:szCs w:val="22"/>
                <w:lang w:eastAsia="nl-NL"/>
              </w:rPr>
            </w:pPr>
            <w:proofErr w:type="spellStart"/>
            <w:r w:rsidRPr="00864EAF">
              <w:rPr>
                <w:rFonts w:ascii="Calibri" w:eastAsia="Times New Roman" w:hAnsi="Calibri" w:cs="Calibri"/>
                <w:color w:val="000000"/>
                <w:sz w:val="22"/>
                <w:szCs w:val="22"/>
                <w:lang w:eastAsia="nl-NL"/>
              </w:rPr>
              <w:t>dadapool</w:t>
            </w:r>
            <w:proofErr w:type="spellEnd"/>
          </w:p>
        </w:tc>
        <w:tc>
          <w:tcPr>
            <w:tcW w:w="1747" w:type="dxa"/>
            <w:noWrap/>
            <w:hideMark/>
          </w:tcPr>
          <w:p w14:paraId="489B89A2"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pseudo</w:t>
            </w:r>
          </w:p>
        </w:tc>
        <w:tc>
          <w:tcPr>
            <w:tcW w:w="1747" w:type="dxa"/>
            <w:noWrap/>
            <w:hideMark/>
          </w:tcPr>
          <w:p w14:paraId="11FBEF82"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pseudo</w:t>
            </w:r>
          </w:p>
        </w:tc>
        <w:tc>
          <w:tcPr>
            <w:tcW w:w="1747" w:type="dxa"/>
            <w:noWrap/>
            <w:hideMark/>
          </w:tcPr>
          <w:p w14:paraId="09201809"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pseudo</w:t>
            </w:r>
          </w:p>
        </w:tc>
        <w:tc>
          <w:tcPr>
            <w:tcW w:w="1747" w:type="dxa"/>
            <w:noWrap/>
            <w:hideMark/>
          </w:tcPr>
          <w:p w14:paraId="2F46C186"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pseudo</w:t>
            </w:r>
          </w:p>
        </w:tc>
      </w:tr>
      <w:tr w:rsidR="000D3F98" w:rsidRPr="00864EAF" w14:paraId="6C561640" w14:textId="77777777" w:rsidTr="008C5B3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3353408B" w14:textId="77777777" w:rsidR="000D3F98" w:rsidRPr="00864EAF" w:rsidRDefault="000D3F98" w:rsidP="008C5B36">
            <w:pPr>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classifier</w:t>
            </w:r>
          </w:p>
        </w:tc>
        <w:tc>
          <w:tcPr>
            <w:tcW w:w="1747" w:type="dxa"/>
            <w:noWrap/>
            <w:hideMark/>
          </w:tcPr>
          <w:p w14:paraId="1BDFD29D"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Naive Bayesian</w:t>
            </w:r>
          </w:p>
        </w:tc>
        <w:tc>
          <w:tcPr>
            <w:tcW w:w="1747" w:type="dxa"/>
            <w:noWrap/>
            <w:hideMark/>
          </w:tcPr>
          <w:p w14:paraId="749F9AC3"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Naive Bayesian</w:t>
            </w:r>
          </w:p>
        </w:tc>
        <w:tc>
          <w:tcPr>
            <w:tcW w:w="1747" w:type="dxa"/>
            <w:noWrap/>
            <w:hideMark/>
          </w:tcPr>
          <w:p w14:paraId="2A0120DB"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Naive Bayesian</w:t>
            </w:r>
          </w:p>
        </w:tc>
        <w:tc>
          <w:tcPr>
            <w:tcW w:w="1747" w:type="dxa"/>
            <w:noWrap/>
            <w:hideMark/>
          </w:tcPr>
          <w:p w14:paraId="08562856"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Naive Bayesian</w:t>
            </w:r>
          </w:p>
        </w:tc>
      </w:tr>
      <w:tr w:rsidR="000D3F98" w:rsidRPr="00864EAF" w14:paraId="01418E22" w14:textId="77777777" w:rsidTr="008C5B36">
        <w:trPr>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3DA07921" w14:textId="77777777" w:rsidR="000D3F98" w:rsidRPr="00864EAF" w:rsidRDefault="000D3F98" w:rsidP="008C5B36">
            <w:pPr>
              <w:rPr>
                <w:rFonts w:ascii="Calibri" w:eastAsia="Times New Roman" w:hAnsi="Calibri" w:cs="Calibri"/>
                <w:color w:val="000000"/>
                <w:sz w:val="22"/>
                <w:szCs w:val="22"/>
                <w:lang w:eastAsia="nl-NL"/>
              </w:rPr>
            </w:pPr>
            <w:proofErr w:type="spellStart"/>
            <w:r w:rsidRPr="00864EAF">
              <w:rPr>
                <w:rFonts w:ascii="Calibri" w:eastAsia="Times New Roman" w:hAnsi="Calibri" w:cs="Calibri"/>
                <w:color w:val="000000"/>
                <w:sz w:val="22"/>
                <w:szCs w:val="22"/>
                <w:lang w:eastAsia="nl-NL"/>
              </w:rPr>
              <w:t>chimMethod</w:t>
            </w:r>
            <w:proofErr w:type="spellEnd"/>
          </w:p>
        </w:tc>
        <w:tc>
          <w:tcPr>
            <w:tcW w:w="1747" w:type="dxa"/>
            <w:noWrap/>
            <w:hideMark/>
          </w:tcPr>
          <w:p w14:paraId="5053C5C6"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consensus</w:t>
            </w:r>
          </w:p>
        </w:tc>
        <w:tc>
          <w:tcPr>
            <w:tcW w:w="1747" w:type="dxa"/>
            <w:noWrap/>
            <w:hideMark/>
          </w:tcPr>
          <w:p w14:paraId="38D70E27"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consensus</w:t>
            </w:r>
          </w:p>
        </w:tc>
        <w:tc>
          <w:tcPr>
            <w:tcW w:w="1747" w:type="dxa"/>
            <w:noWrap/>
            <w:hideMark/>
          </w:tcPr>
          <w:p w14:paraId="2D46C41D"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consensus</w:t>
            </w:r>
          </w:p>
        </w:tc>
        <w:tc>
          <w:tcPr>
            <w:tcW w:w="1747" w:type="dxa"/>
            <w:noWrap/>
            <w:hideMark/>
          </w:tcPr>
          <w:p w14:paraId="0EDE4D20"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consensus</w:t>
            </w:r>
          </w:p>
        </w:tc>
      </w:tr>
      <w:tr w:rsidR="000D3F98" w:rsidRPr="00864EAF" w14:paraId="6CBF8AB8" w14:textId="77777777" w:rsidTr="008C5B3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4AF66918" w14:textId="77777777" w:rsidR="000D3F98" w:rsidRPr="00864EAF" w:rsidRDefault="000D3F98" w:rsidP="008C5B36">
            <w:pPr>
              <w:rPr>
                <w:rFonts w:ascii="Calibri" w:eastAsia="Times New Roman" w:hAnsi="Calibri" w:cs="Calibri"/>
                <w:color w:val="000000"/>
                <w:sz w:val="22"/>
                <w:szCs w:val="22"/>
                <w:lang w:eastAsia="nl-NL"/>
              </w:rPr>
            </w:pPr>
            <w:proofErr w:type="spellStart"/>
            <w:r w:rsidRPr="00864EAF">
              <w:rPr>
                <w:rFonts w:ascii="Calibri" w:eastAsia="Times New Roman" w:hAnsi="Calibri" w:cs="Calibri"/>
                <w:color w:val="000000"/>
                <w:sz w:val="22"/>
                <w:szCs w:val="22"/>
                <w:lang w:eastAsia="nl-NL"/>
              </w:rPr>
              <w:lastRenderedPageBreak/>
              <w:t>chimMinFoldParentAbun</w:t>
            </w:r>
            <w:proofErr w:type="spellEnd"/>
          </w:p>
        </w:tc>
        <w:tc>
          <w:tcPr>
            <w:tcW w:w="1747" w:type="dxa"/>
            <w:noWrap/>
            <w:hideMark/>
          </w:tcPr>
          <w:p w14:paraId="6A2AA724"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2</w:t>
            </w:r>
          </w:p>
        </w:tc>
        <w:tc>
          <w:tcPr>
            <w:tcW w:w="1747" w:type="dxa"/>
            <w:noWrap/>
            <w:hideMark/>
          </w:tcPr>
          <w:p w14:paraId="015B0B31"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2</w:t>
            </w:r>
          </w:p>
        </w:tc>
        <w:tc>
          <w:tcPr>
            <w:tcW w:w="1747" w:type="dxa"/>
            <w:noWrap/>
            <w:hideMark/>
          </w:tcPr>
          <w:p w14:paraId="1CC8F4A0"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2</w:t>
            </w:r>
          </w:p>
        </w:tc>
        <w:tc>
          <w:tcPr>
            <w:tcW w:w="1747" w:type="dxa"/>
            <w:noWrap/>
            <w:hideMark/>
          </w:tcPr>
          <w:p w14:paraId="645D5CD7"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2</w:t>
            </w:r>
          </w:p>
        </w:tc>
      </w:tr>
      <w:tr w:rsidR="000D3F98" w:rsidRPr="00864EAF" w14:paraId="09F85C5F" w14:textId="77777777" w:rsidTr="008C5B36">
        <w:trPr>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0B399880" w14:textId="77777777" w:rsidR="000D3F98" w:rsidRPr="00864EAF" w:rsidRDefault="000D3F98" w:rsidP="008C5B36">
            <w:pPr>
              <w:rPr>
                <w:rFonts w:ascii="Calibri" w:eastAsia="Times New Roman" w:hAnsi="Calibri" w:cs="Calibri"/>
                <w:color w:val="000000"/>
                <w:sz w:val="22"/>
                <w:szCs w:val="22"/>
                <w:lang w:eastAsia="nl-NL"/>
              </w:rPr>
            </w:pPr>
            <w:proofErr w:type="spellStart"/>
            <w:r w:rsidRPr="00864EAF">
              <w:rPr>
                <w:rFonts w:ascii="Calibri" w:eastAsia="Times New Roman" w:hAnsi="Calibri" w:cs="Calibri"/>
                <w:color w:val="000000"/>
                <w:sz w:val="22"/>
                <w:szCs w:val="22"/>
                <w:lang w:eastAsia="nl-NL"/>
              </w:rPr>
              <w:t>truncLenF</w:t>
            </w:r>
            <w:proofErr w:type="spellEnd"/>
          </w:p>
        </w:tc>
        <w:tc>
          <w:tcPr>
            <w:tcW w:w="1747" w:type="dxa"/>
            <w:noWrap/>
            <w:hideMark/>
          </w:tcPr>
          <w:p w14:paraId="3B9C3074"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0</w:t>
            </w:r>
          </w:p>
        </w:tc>
        <w:tc>
          <w:tcPr>
            <w:tcW w:w="1747" w:type="dxa"/>
            <w:noWrap/>
            <w:hideMark/>
          </w:tcPr>
          <w:p w14:paraId="71FBB6B1"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0</w:t>
            </w:r>
          </w:p>
        </w:tc>
        <w:tc>
          <w:tcPr>
            <w:tcW w:w="1747" w:type="dxa"/>
            <w:noWrap/>
            <w:hideMark/>
          </w:tcPr>
          <w:p w14:paraId="609C9B5C"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0</w:t>
            </w:r>
          </w:p>
        </w:tc>
        <w:tc>
          <w:tcPr>
            <w:tcW w:w="1747" w:type="dxa"/>
            <w:noWrap/>
            <w:hideMark/>
          </w:tcPr>
          <w:p w14:paraId="73010A63"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0</w:t>
            </w:r>
          </w:p>
        </w:tc>
      </w:tr>
      <w:tr w:rsidR="000D3F98" w:rsidRPr="00864EAF" w14:paraId="59FE3B24" w14:textId="77777777" w:rsidTr="008C5B3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17FC6B47" w14:textId="77777777" w:rsidR="000D3F98" w:rsidRPr="00864EAF" w:rsidRDefault="000D3F98" w:rsidP="008C5B36">
            <w:pPr>
              <w:rPr>
                <w:rFonts w:ascii="Calibri" w:eastAsia="Times New Roman" w:hAnsi="Calibri" w:cs="Calibri"/>
                <w:color w:val="000000"/>
                <w:sz w:val="22"/>
                <w:szCs w:val="22"/>
                <w:lang w:eastAsia="nl-NL"/>
              </w:rPr>
            </w:pPr>
            <w:proofErr w:type="spellStart"/>
            <w:r w:rsidRPr="00864EAF">
              <w:rPr>
                <w:rFonts w:ascii="Calibri" w:eastAsia="Times New Roman" w:hAnsi="Calibri" w:cs="Calibri"/>
                <w:color w:val="000000"/>
                <w:sz w:val="22"/>
                <w:szCs w:val="22"/>
                <w:lang w:eastAsia="nl-NL"/>
              </w:rPr>
              <w:t>truncLenR</w:t>
            </w:r>
            <w:proofErr w:type="spellEnd"/>
          </w:p>
        </w:tc>
        <w:tc>
          <w:tcPr>
            <w:tcW w:w="1747" w:type="dxa"/>
            <w:noWrap/>
            <w:hideMark/>
          </w:tcPr>
          <w:p w14:paraId="49AC3033"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0</w:t>
            </w:r>
          </w:p>
        </w:tc>
        <w:tc>
          <w:tcPr>
            <w:tcW w:w="1747" w:type="dxa"/>
            <w:noWrap/>
            <w:hideMark/>
          </w:tcPr>
          <w:p w14:paraId="6DC1F136"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0</w:t>
            </w:r>
          </w:p>
        </w:tc>
        <w:tc>
          <w:tcPr>
            <w:tcW w:w="1747" w:type="dxa"/>
            <w:noWrap/>
            <w:hideMark/>
          </w:tcPr>
          <w:p w14:paraId="444F98E8"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0</w:t>
            </w:r>
          </w:p>
        </w:tc>
        <w:tc>
          <w:tcPr>
            <w:tcW w:w="1747" w:type="dxa"/>
            <w:noWrap/>
            <w:hideMark/>
          </w:tcPr>
          <w:p w14:paraId="3CA9D286"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0</w:t>
            </w:r>
          </w:p>
        </w:tc>
      </w:tr>
      <w:tr w:rsidR="000D3F98" w:rsidRPr="00864EAF" w14:paraId="3087A262" w14:textId="77777777" w:rsidTr="008C5B36">
        <w:trPr>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092FB377" w14:textId="77777777" w:rsidR="000D3F98" w:rsidRPr="00864EAF" w:rsidRDefault="000D3F98" w:rsidP="008C5B36">
            <w:pPr>
              <w:rPr>
                <w:rFonts w:ascii="Calibri" w:eastAsia="Times New Roman" w:hAnsi="Calibri" w:cs="Calibri"/>
                <w:color w:val="000000"/>
                <w:sz w:val="22"/>
                <w:szCs w:val="22"/>
                <w:lang w:eastAsia="nl-NL"/>
              </w:rPr>
            </w:pPr>
            <w:proofErr w:type="spellStart"/>
            <w:r w:rsidRPr="00864EAF">
              <w:rPr>
                <w:rFonts w:ascii="Calibri" w:eastAsia="Times New Roman" w:hAnsi="Calibri" w:cs="Calibri"/>
                <w:color w:val="000000"/>
                <w:sz w:val="22"/>
                <w:szCs w:val="22"/>
                <w:lang w:eastAsia="nl-NL"/>
              </w:rPr>
              <w:t>learnErrorBases</w:t>
            </w:r>
            <w:proofErr w:type="spellEnd"/>
          </w:p>
        </w:tc>
        <w:tc>
          <w:tcPr>
            <w:tcW w:w="1747" w:type="dxa"/>
            <w:noWrap/>
            <w:hideMark/>
          </w:tcPr>
          <w:p w14:paraId="0604987A"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1,00E+08</w:t>
            </w:r>
          </w:p>
        </w:tc>
        <w:tc>
          <w:tcPr>
            <w:tcW w:w="1747" w:type="dxa"/>
            <w:noWrap/>
            <w:hideMark/>
          </w:tcPr>
          <w:p w14:paraId="795A354B"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1,00E+08</w:t>
            </w:r>
          </w:p>
        </w:tc>
        <w:tc>
          <w:tcPr>
            <w:tcW w:w="1747" w:type="dxa"/>
            <w:noWrap/>
            <w:hideMark/>
          </w:tcPr>
          <w:p w14:paraId="14BB6833"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1,00E+08</w:t>
            </w:r>
          </w:p>
        </w:tc>
        <w:tc>
          <w:tcPr>
            <w:tcW w:w="1747" w:type="dxa"/>
            <w:noWrap/>
            <w:hideMark/>
          </w:tcPr>
          <w:p w14:paraId="74991A02" w14:textId="77777777" w:rsidR="000D3F98" w:rsidRPr="00864EAF" w:rsidRDefault="000D3F98" w:rsidP="008C5B3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1,00E+08</w:t>
            </w:r>
          </w:p>
        </w:tc>
      </w:tr>
      <w:tr w:rsidR="000D3F98" w:rsidRPr="00864EAF" w14:paraId="70C69873" w14:textId="77777777" w:rsidTr="008C5B3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813" w:type="dxa"/>
            <w:noWrap/>
            <w:hideMark/>
          </w:tcPr>
          <w:p w14:paraId="5E6D538E" w14:textId="77777777" w:rsidR="000D3F98" w:rsidRPr="00864EAF" w:rsidRDefault="000D3F98" w:rsidP="008C5B36">
            <w:pPr>
              <w:rPr>
                <w:rFonts w:ascii="Calibri" w:eastAsia="Times New Roman" w:hAnsi="Calibri" w:cs="Calibri"/>
                <w:color w:val="000000"/>
                <w:sz w:val="22"/>
                <w:szCs w:val="22"/>
                <w:lang w:eastAsia="nl-NL"/>
              </w:rPr>
            </w:pPr>
            <w:proofErr w:type="spellStart"/>
            <w:r w:rsidRPr="00864EAF">
              <w:rPr>
                <w:rFonts w:ascii="Calibri" w:eastAsia="Times New Roman" w:hAnsi="Calibri" w:cs="Calibri"/>
                <w:color w:val="000000"/>
                <w:sz w:val="22"/>
                <w:szCs w:val="22"/>
                <w:lang w:eastAsia="nl-NL"/>
              </w:rPr>
              <w:t>trimLeft</w:t>
            </w:r>
            <w:proofErr w:type="spellEnd"/>
          </w:p>
        </w:tc>
        <w:tc>
          <w:tcPr>
            <w:tcW w:w="1747" w:type="dxa"/>
            <w:noWrap/>
            <w:hideMark/>
          </w:tcPr>
          <w:p w14:paraId="232B5324"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0</w:t>
            </w:r>
          </w:p>
        </w:tc>
        <w:tc>
          <w:tcPr>
            <w:tcW w:w="1747" w:type="dxa"/>
            <w:noWrap/>
            <w:hideMark/>
          </w:tcPr>
          <w:p w14:paraId="50215CC6"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0</w:t>
            </w:r>
          </w:p>
        </w:tc>
        <w:tc>
          <w:tcPr>
            <w:tcW w:w="1747" w:type="dxa"/>
            <w:noWrap/>
            <w:hideMark/>
          </w:tcPr>
          <w:p w14:paraId="2AF109D3"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0</w:t>
            </w:r>
          </w:p>
        </w:tc>
        <w:tc>
          <w:tcPr>
            <w:tcW w:w="1747" w:type="dxa"/>
            <w:noWrap/>
            <w:hideMark/>
          </w:tcPr>
          <w:p w14:paraId="7C129AB9" w14:textId="77777777" w:rsidR="000D3F98" w:rsidRPr="00864EAF" w:rsidRDefault="000D3F98" w:rsidP="008C5B3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lang w:eastAsia="nl-NL"/>
              </w:rPr>
            </w:pPr>
            <w:r w:rsidRPr="00864EAF">
              <w:rPr>
                <w:rFonts w:ascii="Calibri" w:eastAsia="Times New Roman" w:hAnsi="Calibri" w:cs="Calibri"/>
                <w:color w:val="000000"/>
                <w:sz w:val="22"/>
                <w:szCs w:val="22"/>
                <w:lang w:eastAsia="nl-NL"/>
              </w:rPr>
              <w:t>0</w:t>
            </w:r>
          </w:p>
        </w:tc>
      </w:tr>
    </w:tbl>
    <w:p w14:paraId="69518945" w14:textId="77777777" w:rsidR="00A77E83" w:rsidRDefault="00A77E83"/>
    <w:p w14:paraId="2D025F62" w14:textId="77777777" w:rsidR="003F2A5D" w:rsidRPr="003F2A5D" w:rsidRDefault="003F2A5D" w:rsidP="003F2A5D">
      <w:pPr>
        <w:pStyle w:val="Bibliography"/>
      </w:pPr>
      <w:r>
        <w:fldChar w:fldCharType="begin"/>
      </w:r>
      <w:r>
        <w:instrText xml:space="preserve"> ADDIN ZOTERO_BIBL {"uncited":[],"omitted":[],"custom":[]} CSL_BIBLIOGRAPHY </w:instrText>
      </w:r>
      <w:r>
        <w:fldChar w:fldCharType="separate"/>
      </w:r>
      <w:r w:rsidRPr="003F2A5D">
        <w:t>1.</w:t>
      </w:r>
      <w:r w:rsidRPr="003F2A5D">
        <w:tab/>
        <w:t xml:space="preserve">Bradley, I. M., Pinto, A. J. &amp; Guest, J. S. Design and Evaluation of Illumina MiSeq-Compatible, 18S rRNA Gene-Specific Primers for Improved Characterization of Mixed Phototrophic Communities. </w:t>
      </w:r>
      <w:r w:rsidRPr="003F2A5D">
        <w:rPr>
          <w:i/>
          <w:iCs/>
        </w:rPr>
        <w:t>Appl. Environ. Microbiol.</w:t>
      </w:r>
      <w:r w:rsidRPr="003F2A5D">
        <w:t xml:space="preserve"> </w:t>
      </w:r>
      <w:r w:rsidRPr="003F2A5D">
        <w:rPr>
          <w:b/>
          <w:bCs/>
        </w:rPr>
        <w:t>82</w:t>
      </w:r>
      <w:r w:rsidRPr="003F2A5D">
        <w:t>, 5878–5891 (2016).</w:t>
      </w:r>
    </w:p>
    <w:p w14:paraId="4F121069" w14:textId="77777777" w:rsidR="003F2A5D" w:rsidRPr="003F2A5D" w:rsidRDefault="003F2A5D" w:rsidP="003F2A5D">
      <w:pPr>
        <w:pStyle w:val="Bibliography"/>
      </w:pPr>
      <w:r w:rsidRPr="003F2A5D">
        <w:t>2.</w:t>
      </w:r>
      <w:r w:rsidRPr="003F2A5D">
        <w:tab/>
        <w:t xml:space="preserve">Amaral-Zettler, L. A., McCliment, E. A., Ducklow, H. W. &amp; Huse, S. M. A Method for Studying Protistan Diversity Using Massively Parallel Sequencing of V9 Hypervariable Regions of Small-Subunit Ribosomal RNA Genes. </w:t>
      </w:r>
      <w:r w:rsidRPr="003F2A5D">
        <w:rPr>
          <w:i/>
          <w:iCs/>
        </w:rPr>
        <w:t>PLoS ONE</w:t>
      </w:r>
      <w:r w:rsidRPr="003F2A5D">
        <w:t xml:space="preserve"> </w:t>
      </w:r>
      <w:r w:rsidRPr="003F2A5D">
        <w:rPr>
          <w:b/>
          <w:bCs/>
        </w:rPr>
        <w:t>4</w:t>
      </w:r>
      <w:r w:rsidRPr="003F2A5D">
        <w:t>, e6372 (2009).</w:t>
      </w:r>
    </w:p>
    <w:p w14:paraId="030C75DF" w14:textId="77777777" w:rsidR="003F2A5D" w:rsidRPr="003F2A5D" w:rsidRDefault="003F2A5D" w:rsidP="003F2A5D">
      <w:pPr>
        <w:pStyle w:val="Bibliography"/>
      </w:pPr>
      <w:r w:rsidRPr="003F2A5D">
        <w:t>3.</w:t>
      </w:r>
      <w:r w:rsidRPr="003F2A5D">
        <w:tab/>
        <w:t xml:space="preserve">Muyzer, G., De Waal, E. C. &amp; Uitterlinden, A. G. Profiling of complex microbial populations by denaturing gradient gel electrophoresis analysis of polymerase chain reaction-amplified genes coding for 16S rRNA. </w:t>
      </w:r>
      <w:r w:rsidRPr="003F2A5D">
        <w:rPr>
          <w:i/>
          <w:iCs/>
        </w:rPr>
        <w:t>Appl. Environ. Microbiol.</w:t>
      </w:r>
      <w:r w:rsidRPr="003F2A5D">
        <w:t xml:space="preserve"> </w:t>
      </w:r>
      <w:r w:rsidRPr="003F2A5D">
        <w:rPr>
          <w:b/>
          <w:bCs/>
        </w:rPr>
        <w:t>59</w:t>
      </w:r>
      <w:r w:rsidRPr="003F2A5D">
        <w:t>, 695–700 (1993).</w:t>
      </w:r>
    </w:p>
    <w:p w14:paraId="1012AACE" w14:textId="77777777" w:rsidR="003F2A5D" w:rsidRPr="003F2A5D" w:rsidRDefault="003F2A5D" w:rsidP="003F2A5D">
      <w:pPr>
        <w:pStyle w:val="Bibliography"/>
      </w:pPr>
      <w:r w:rsidRPr="003F2A5D">
        <w:t>4.</w:t>
      </w:r>
      <w:r w:rsidRPr="003F2A5D">
        <w:tab/>
        <w:t xml:space="preserve">Caporaso, J. G., Lauber, C. L., Walters, W. A., Berg-Lyons, D., Lozupone, C. A., Turnbaugh, P. J., Fierer, N. &amp; Knight, R. Global patterns of 16S rRNA diversity at a depth of millions of sequences per sample. </w:t>
      </w:r>
      <w:r w:rsidRPr="003F2A5D">
        <w:rPr>
          <w:i/>
          <w:iCs/>
        </w:rPr>
        <w:t>Proc. Natl. Acad. Sci.</w:t>
      </w:r>
      <w:r w:rsidRPr="003F2A5D">
        <w:t xml:space="preserve"> </w:t>
      </w:r>
      <w:r w:rsidRPr="003F2A5D">
        <w:rPr>
          <w:b/>
          <w:bCs/>
        </w:rPr>
        <w:t>108</w:t>
      </w:r>
      <w:r w:rsidRPr="003F2A5D">
        <w:t>, 4516–4522 (2011).</w:t>
      </w:r>
    </w:p>
    <w:p w14:paraId="372F5C8F" w14:textId="77777777" w:rsidR="003F2A5D" w:rsidRPr="003F2A5D" w:rsidRDefault="003F2A5D" w:rsidP="003F2A5D">
      <w:pPr>
        <w:pStyle w:val="Bibliography"/>
      </w:pPr>
      <w:r w:rsidRPr="003F2A5D">
        <w:t>5.</w:t>
      </w:r>
      <w:r w:rsidRPr="003F2A5D">
        <w:tab/>
        <w:t xml:space="preserve">Fakunle, A. G., Jafta, N., Bossers, A., Wouters, I. M., Kersen, W. van, Naidoo, R. N. &amp; Smit, L. A. M. Childhood lower respiratory tract infections linked to residential airborne bacterial and fungal microbiota. </w:t>
      </w:r>
      <w:r w:rsidRPr="003F2A5D">
        <w:rPr>
          <w:i/>
          <w:iCs/>
        </w:rPr>
        <w:t>Environ. Res.</w:t>
      </w:r>
      <w:r w:rsidRPr="003F2A5D">
        <w:t xml:space="preserve"> </w:t>
      </w:r>
      <w:r w:rsidRPr="003F2A5D">
        <w:rPr>
          <w:b/>
          <w:bCs/>
        </w:rPr>
        <w:t>231</w:t>
      </w:r>
      <w:r w:rsidRPr="003F2A5D">
        <w:t>, 116063 (2023).</w:t>
      </w:r>
    </w:p>
    <w:p w14:paraId="2EFE9B83" w14:textId="77777777" w:rsidR="003F2A5D" w:rsidRPr="003F2A5D" w:rsidRDefault="003F2A5D" w:rsidP="003F2A5D">
      <w:pPr>
        <w:pStyle w:val="Bibliography"/>
      </w:pPr>
      <w:r w:rsidRPr="003F2A5D">
        <w:t>6.</w:t>
      </w:r>
      <w:r w:rsidRPr="003F2A5D">
        <w:tab/>
        <w:t xml:space="preserve">Ficetola, G., Coissac, E., Zundel, S., Riaz, T., Shehzad, W., Bessière, J., Taberlet, P. &amp; Pompanon, F. An In silico approach for the evaluation of DNA barcodes. </w:t>
      </w:r>
      <w:r w:rsidRPr="003F2A5D">
        <w:rPr>
          <w:i/>
          <w:iCs/>
        </w:rPr>
        <w:t>BMC Genomics</w:t>
      </w:r>
      <w:r w:rsidRPr="003F2A5D">
        <w:t xml:space="preserve"> </w:t>
      </w:r>
      <w:r w:rsidRPr="003F2A5D">
        <w:rPr>
          <w:b/>
          <w:bCs/>
        </w:rPr>
        <w:t>11</w:t>
      </w:r>
      <w:r w:rsidRPr="003F2A5D">
        <w:t>, 434 (2010).</w:t>
      </w:r>
    </w:p>
    <w:p w14:paraId="78A0C7F4" w14:textId="77777777" w:rsidR="003F2A5D" w:rsidRPr="003F2A5D" w:rsidRDefault="003F2A5D" w:rsidP="003F2A5D">
      <w:pPr>
        <w:pStyle w:val="Bibliography"/>
      </w:pPr>
      <w:r w:rsidRPr="003F2A5D">
        <w:lastRenderedPageBreak/>
        <w:t>7.</w:t>
      </w:r>
      <w:r w:rsidRPr="003F2A5D">
        <w:tab/>
        <w:t xml:space="preserve">Riaz, T., Shehzad, W., Viari, A., Pompanon, F., Taberlet, P. &amp; Coissac, E. ecoPrimers: inference of new DNA barcode markers from whole genome sequence analysis. </w:t>
      </w:r>
      <w:r w:rsidRPr="003F2A5D">
        <w:rPr>
          <w:i/>
          <w:iCs/>
        </w:rPr>
        <w:t>Nucleic Acids Res.</w:t>
      </w:r>
      <w:r w:rsidRPr="003F2A5D">
        <w:t xml:space="preserve"> </w:t>
      </w:r>
      <w:r w:rsidRPr="003F2A5D">
        <w:rPr>
          <w:b/>
          <w:bCs/>
        </w:rPr>
        <w:t>39</w:t>
      </w:r>
      <w:r w:rsidRPr="003F2A5D">
        <w:t>, e145–e145 (2011).</w:t>
      </w:r>
    </w:p>
    <w:p w14:paraId="4B23D3E6" w14:textId="77777777" w:rsidR="003F2A5D" w:rsidRPr="003F2A5D" w:rsidRDefault="003F2A5D" w:rsidP="003F2A5D">
      <w:pPr>
        <w:pStyle w:val="Bibliography"/>
      </w:pPr>
      <w:r w:rsidRPr="003F2A5D">
        <w:t>8.</w:t>
      </w:r>
      <w:r w:rsidRPr="003F2A5D">
        <w:tab/>
        <w:t xml:space="preserve">Gardes, M. &amp; Bruns, T. D. ITS primers with enhanced specificity for basidiomycetes </w:t>
      </w:r>
      <w:r w:rsidRPr="003F2A5D">
        <w:rPr>
          <w:rFonts w:ascii="Cambria Math" w:hAnsi="Cambria Math" w:cs="Cambria Math"/>
        </w:rPr>
        <w:t>‐</w:t>
      </w:r>
      <w:r w:rsidRPr="003F2A5D">
        <w:t xml:space="preserve"> application to the identification of mycorrhizae and rusts. </w:t>
      </w:r>
      <w:r w:rsidRPr="003F2A5D">
        <w:rPr>
          <w:i/>
          <w:iCs/>
        </w:rPr>
        <w:t>Mol. Ecol.</w:t>
      </w:r>
      <w:r w:rsidRPr="003F2A5D">
        <w:t xml:space="preserve"> </w:t>
      </w:r>
      <w:r w:rsidRPr="003F2A5D">
        <w:rPr>
          <w:b/>
          <w:bCs/>
        </w:rPr>
        <w:t>2</w:t>
      </w:r>
      <w:r w:rsidRPr="003F2A5D">
        <w:t>, 113–118 (1993).</w:t>
      </w:r>
    </w:p>
    <w:p w14:paraId="38850CED" w14:textId="77777777" w:rsidR="003F2A5D" w:rsidRPr="003F2A5D" w:rsidRDefault="003F2A5D" w:rsidP="003F2A5D">
      <w:pPr>
        <w:pStyle w:val="Bibliography"/>
      </w:pPr>
      <w:r w:rsidRPr="003F2A5D">
        <w:t>9.</w:t>
      </w:r>
      <w:r w:rsidRPr="003F2A5D">
        <w:tab/>
        <w:t xml:space="preserve">White, T. J., Bruns, T., Lee, S. &amp; Taylor, J. AMPLIFICATION AND DIRECT SEQUENCING OF FUNGAL RIBOSOMAL RNA GENES FOR PHYLOGENETICS. in </w:t>
      </w:r>
      <w:r w:rsidRPr="003F2A5D">
        <w:rPr>
          <w:i/>
          <w:iCs/>
        </w:rPr>
        <w:t>PCR Protocols</w:t>
      </w:r>
      <w:r w:rsidRPr="003F2A5D">
        <w:t xml:space="preserve"> 315–322 (Elsevier, 1990). doi:10.1016/B978-0-12-372180-8.50042-1.</w:t>
      </w:r>
    </w:p>
    <w:p w14:paraId="634DA8ED" w14:textId="61D39CD5" w:rsidR="003F2A5D" w:rsidRPr="003F2A5D" w:rsidRDefault="003F2A5D" w:rsidP="003F2A5D">
      <w:pPr>
        <w:pStyle w:val="Bibliography"/>
      </w:pPr>
      <w:r w:rsidRPr="003F2A5D">
        <w:t>10.</w:t>
      </w:r>
      <w:r w:rsidRPr="003F2A5D">
        <w:tab/>
        <w:t>Calvignac</w:t>
      </w:r>
      <w:r w:rsidRPr="003F2A5D">
        <w:rPr>
          <w:rFonts w:ascii="Cambria Math" w:hAnsi="Cambria Math" w:cs="Cambria Math"/>
        </w:rPr>
        <w:t>‐</w:t>
      </w:r>
      <w:r w:rsidRPr="003F2A5D">
        <w:t xml:space="preserve">Spencer, S., Merkel, K., Kutzner, N., Kühl, H., Boesch, C., Kappeler, P. M., </w:t>
      </w:r>
      <w:r w:rsidR="00A73A09">
        <w:t xml:space="preserve">et al. </w:t>
      </w:r>
      <w:r w:rsidRPr="003F2A5D">
        <w:t>Carrion fly</w:t>
      </w:r>
      <w:r w:rsidRPr="003F2A5D">
        <w:rPr>
          <w:rFonts w:ascii="Cambria Math" w:hAnsi="Cambria Math" w:cs="Cambria Math"/>
        </w:rPr>
        <w:t>‐</w:t>
      </w:r>
      <w:r w:rsidRPr="003F2A5D">
        <w:t xml:space="preserve">derived </w:t>
      </w:r>
      <w:r w:rsidRPr="003F2A5D">
        <w:rPr>
          <w:smallCaps/>
        </w:rPr>
        <w:t>DNA</w:t>
      </w:r>
      <w:r w:rsidRPr="003F2A5D">
        <w:t xml:space="preserve"> as a tool for comprehensive and cost</w:t>
      </w:r>
      <w:r w:rsidRPr="003F2A5D">
        <w:rPr>
          <w:rFonts w:ascii="Cambria Math" w:hAnsi="Cambria Math" w:cs="Cambria Math"/>
        </w:rPr>
        <w:t>‐</w:t>
      </w:r>
      <w:r w:rsidRPr="003F2A5D">
        <w:t xml:space="preserve">effective assessment of mammalian biodiversity. </w:t>
      </w:r>
      <w:r w:rsidRPr="003F2A5D">
        <w:rPr>
          <w:i/>
          <w:iCs/>
        </w:rPr>
        <w:t>Mol. Ecol.</w:t>
      </w:r>
      <w:r w:rsidRPr="003F2A5D">
        <w:t xml:space="preserve"> </w:t>
      </w:r>
      <w:r w:rsidRPr="003F2A5D">
        <w:rPr>
          <w:b/>
          <w:bCs/>
        </w:rPr>
        <w:t>22</w:t>
      </w:r>
      <w:r w:rsidRPr="003F2A5D">
        <w:t>, 915–924 (2013).</w:t>
      </w:r>
    </w:p>
    <w:p w14:paraId="35567B38" w14:textId="56E06B0E" w:rsidR="003F2A5D" w:rsidRPr="003F2A5D" w:rsidRDefault="003F2A5D" w:rsidP="003F2A5D">
      <w:pPr>
        <w:pStyle w:val="Bibliography"/>
      </w:pPr>
      <w:r w:rsidRPr="002B6D64">
        <w:t>11.</w:t>
      </w:r>
      <w:r w:rsidRPr="002B6D64">
        <w:tab/>
      </w:r>
      <w:proofErr w:type="spellStart"/>
      <w:r w:rsidRPr="002B6D64">
        <w:t>Boessenkool</w:t>
      </w:r>
      <w:proofErr w:type="spellEnd"/>
      <w:r w:rsidRPr="002B6D64">
        <w:t xml:space="preserve">, S., Epp, L. S., Haile, J., </w:t>
      </w:r>
      <w:proofErr w:type="spellStart"/>
      <w:r w:rsidRPr="002B6D64">
        <w:t>Bellemain</w:t>
      </w:r>
      <w:proofErr w:type="spellEnd"/>
      <w:r w:rsidRPr="002B6D64">
        <w:t xml:space="preserve">, E., Edwards, M., </w:t>
      </w:r>
      <w:proofErr w:type="spellStart"/>
      <w:r w:rsidRPr="002B6D64">
        <w:t>Coissac</w:t>
      </w:r>
      <w:proofErr w:type="spellEnd"/>
      <w:r w:rsidRPr="002B6D64">
        <w:t xml:space="preserve">, E., </w:t>
      </w:r>
      <w:r w:rsidR="00A73A09" w:rsidRPr="002B6D64">
        <w:t xml:space="preserve">et al. </w:t>
      </w:r>
      <w:r w:rsidRPr="003F2A5D">
        <w:t xml:space="preserve">Blocking human contaminant DNA during PCR allows amplification of rare mammal species from sedimentary ancient DNA. </w:t>
      </w:r>
      <w:r w:rsidRPr="003F2A5D">
        <w:rPr>
          <w:i/>
          <w:iCs/>
        </w:rPr>
        <w:t>Mol. Ecol.</w:t>
      </w:r>
      <w:r w:rsidRPr="003F2A5D">
        <w:t xml:space="preserve"> </w:t>
      </w:r>
      <w:r w:rsidRPr="003F2A5D">
        <w:rPr>
          <w:b/>
          <w:bCs/>
        </w:rPr>
        <w:t>21</w:t>
      </w:r>
      <w:r w:rsidRPr="003F2A5D">
        <w:t>, 1806–1815 (2012).</w:t>
      </w:r>
    </w:p>
    <w:p w14:paraId="10D13EDC" w14:textId="4DF9B2DF" w:rsidR="00126255" w:rsidRDefault="003F2A5D">
      <w:r>
        <w:fldChar w:fldCharType="end"/>
      </w:r>
    </w:p>
    <w:sectPr w:rsidR="00126255" w:rsidSect="00596645">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989E0" w14:textId="77777777" w:rsidR="00A674DC" w:rsidRDefault="00A674DC" w:rsidP="00615C82">
      <w:pPr>
        <w:spacing w:after="0" w:line="240" w:lineRule="auto"/>
      </w:pPr>
      <w:r>
        <w:separator/>
      </w:r>
    </w:p>
  </w:endnote>
  <w:endnote w:type="continuationSeparator" w:id="0">
    <w:p w14:paraId="51FF9466" w14:textId="77777777" w:rsidR="00A674DC" w:rsidRDefault="00A674DC" w:rsidP="00615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206EE" w14:textId="77777777" w:rsidR="008D2BC7" w:rsidRDefault="008D2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A2C3A" w14:textId="77777777" w:rsidR="008D2BC7" w:rsidRDefault="008D2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544EA" w14:textId="77777777" w:rsidR="008D2BC7" w:rsidRDefault="008D2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EB476" w14:textId="77777777" w:rsidR="00A674DC" w:rsidRDefault="00A674DC" w:rsidP="00615C82">
      <w:pPr>
        <w:spacing w:after="0" w:line="240" w:lineRule="auto"/>
      </w:pPr>
      <w:r>
        <w:separator/>
      </w:r>
    </w:p>
  </w:footnote>
  <w:footnote w:type="continuationSeparator" w:id="0">
    <w:p w14:paraId="6DC95DD5" w14:textId="77777777" w:rsidR="00A674DC" w:rsidRDefault="00A674DC" w:rsidP="00615C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0A2D0" w14:textId="77777777" w:rsidR="008D2BC7" w:rsidRDefault="008D2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75CAA" w14:textId="77777777" w:rsidR="00615C82" w:rsidRPr="00864EAF" w:rsidRDefault="00615C82" w:rsidP="00615C82">
    <w:pPr>
      <w:shd w:val="clear" w:color="auto" w:fill="FFFFFF"/>
      <w:spacing w:before="100" w:beforeAutospacing="1" w:after="100" w:afterAutospacing="1" w:line="240" w:lineRule="auto"/>
      <w:rPr>
        <w:sz w:val="28"/>
        <w:szCs w:val="28"/>
      </w:rPr>
    </w:pPr>
    <w:r w:rsidRPr="00864EAF">
      <w:rPr>
        <w:sz w:val="28"/>
        <w:szCs w:val="28"/>
      </w:rPr>
      <w:t>From Species to Signals: Exploring the Potential of Airborne eDNA</w:t>
    </w:r>
    <w:r>
      <w:rPr>
        <w:sz w:val="28"/>
        <w:szCs w:val="28"/>
      </w:rPr>
      <w:t xml:space="preserve"> and </w:t>
    </w:r>
    <w:proofErr w:type="spellStart"/>
    <w:r>
      <w:rPr>
        <w:sz w:val="28"/>
        <w:szCs w:val="28"/>
      </w:rPr>
      <w:t>eRNA</w:t>
    </w:r>
    <w:proofErr w:type="spellEnd"/>
    <w:r>
      <w:rPr>
        <w:sz w:val="28"/>
        <w:szCs w:val="28"/>
      </w:rPr>
      <w:t xml:space="preserve"> </w:t>
    </w:r>
    <w:r w:rsidRPr="00864EAF">
      <w:rPr>
        <w:sz w:val="28"/>
        <w:szCs w:val="28"/>
      </w:rPr>
      <w:t xml:space="preserve"> Analysis for Pathogen-Agnostic Monitoring at One Health Crossover Points</w:t>
    </w:r>
  </w:p>
  <w:p w14:paraId="20EA91A3" w14:textId="77777777" w:rsidR="00615C82" w:rsidRDefault="00615C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3154F" w14:textId="77777777" w:rsidR="008D2BC7" w:rsidRDefault="008D2B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F98"/>
    <w:rsid w:val="000D3F98"/>
    <w:rsid w:val="001157E0"/>
    <w:rsid w:val="00126255"/>
    <w:rsid w:val="002B6D64"/>
    <w:rsid w:val="003F2A5D"/>
    <w:rsid w:val="004A2834"/>
    <w:rsid w:val="00596645"/>
    <w:rsid w:val="00615C82"/>
    <w:rsid w:val="007E08BF"/>
    <w:rsid w:val="008D2BC7"/>
    <w:rsid w:val="00917B37"/>
    <w:rsid w:val="00A674DC"/>
    <w:rsid w:val="00A73A09"/>
    <w:rsid w:val="00A77E83"/>
    <w:rsid w:val="00AF60B9"/>
    <w:rsid w:val="00BC4FE3"/>
    <w:rsid w:val="00C45C14"/>
    <w:rsid w:val="00CF1BF3"/>
    <w:rsid w:val="00D40745"/>
    <w:rsid w:val="00E531B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5DDC7"/>
  <w15:chartTrackingRefBased/>
  <w15:docId w15:val="{1972690B-A8F4-4B47-BE2F-8F15BFC6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001"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F98"/>
    <w:pPr>
      <w:spacing w:after="200" w:line="288" w:lineRule="auto"/>
    </w:pPr>
    <w:rPr>
      <w:rFonts w:eastAsiaTheme="minorEastAsia"/>
      <w:sz w:val="21"/>
      <w:szCs w:val="21"/>
      <w:lang w:val="en-US"/>
      <w14:ligatures w14:val="none"/>
    </w:rPr>
  </w:style>
  <w:style w:type="paragraph" w:styleId="Heading1">
    <w:name w:val="heading 1"/>
    <w:basedOn w:val="Normal"/>
    <w:next w:val="Normal"/>
    <w:link w:val="Heading1Char"/>
    <w:uiPriority w:val="9"/>
    <w:qFormat/>
    <w:rsid w:val="000D3F9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0D3F9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0D3F98"/>
    <w:pPr>
      <w:keepNext/>
      <w:keepLines/>
      <w:spacing w:before="160" w:after="80" w:line="259" w:lineRule="auto"/>
      <w:outlineLvl w:val="2"/>
    </w:pPr>
    <w:rPr>
      <w:rFonts w:eastAsiaTheme="majorEastAsia" w:cstheme="majorBidi"/>
      <w:color w:val="0F4761"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0D3F98"/>
    <w:pPr>
      <w:keepNext/>
      <w:keepLines/>
      <w:spacing w:before="80" w:after="40" w:line="259" w:lineRule="auto"/>
      <w:outlineLvl w:val="3"/>
    </w:pPr>
    <w:rPr>
      <w:rFonts w:eastAsiaTheme="majorEastAsia" w:cstheme="majorBidi"/>
      <w:i/>
      <w:iCs/>
      <w:color w:val="0F4761" w:themeColor="accent1" w:themeShade="BF"/>
      <w:sz w:val="22"/>
      <w:szCs w:val="22"/>
      <w14:ligatures w14:val="standardContextual"/>
    </w:rPr>
  </w:style>
  <w:style w:type="paragraph" w:styleId="Heading5">
    <w:name w:val="heading 5"/>
    <w:basedOn w:val="Normal"/>
    <w:next w:val="Normal"/>
    <w:link w:val="Heading5Char"/>
    <w:uiPriority w:val="9"/>
    <w:semiHidden/>
    <w:unhideWhenUsed/>
    <w:qFormat/>
    <w:rsid w:val="000D3F98"/>
    <w:pPr>
      <w:keepNext/>
      <w:keepLines/>
      <w:spacing w:before="80" w:after="40" w:line="259" w:lineRule="auto"/>
      <w:outlineLvl w:val="4"/>
    </w:pPr>
    <w:rPr>
      <w:rFonts w:eastAsiaTheme="majorEastAsia" w:cstheme="majorBidi"/>
      <w:color w:val="0F4761" w:themeColor="accent1" w:themeShade="BF"/>
      <w:sz w:val="22"/>
      <w:szCs w:val="22"/>
      <w14:ligatures w14:val="standardContextual"/>
    </w:rPr>
  </w:style>
  <w:style w:type="paragraph" w:styleId="Heading6">
    <w:name w:val="heading 6"/>
    <w:basedOn w:val="Normal"/>
    <w:next w:val="Normal"/>
    <w:link w:val="Heading6Char"/>
    <w:uiPriority w:val="9"/>
    <w:semiHidden/>
    <w:unhideWhenUsed/>
    <w:qFormat/>
    <w:rsid w:val="000D3F98"/>
    <w:pPr>
      <w:keepNext/>
      <w:keepLines/>
      <w:spacing w:before="40" w:after="0" w:line="259" w:lineRule="auto"/>
      <w:outlineLvl w:val="5"/>
    </w:pPr>
    <w:rPr>
      <w:rFonts w:eastAsiaTheme="majorEastAsia" w:cstheme="majorBidi"/>
      <w:i/>
      <w:iCs/>
      <w:color w:val="595959" w:themeColor="text1" w:themeTint="A6"/>
      <w:sz w:val="22"/>
      <w:szCs w:val="22"/>
      <w14:ligatures w14:val="standardContextual"/>
    </w:rPr>
  </w:style>
  <w:style w:type="paragraph" w:styleId="Heading7">
    <w:name w:val="heading 7"/>
    <w:basedOn w:val="Normal"/>
    <w:next w:val="Normal"/>
    <w:link w:val="Heading7Char"/>
    <w:uiPriority w:val="9"/>
    <w:semiHidden/>
    <w:unhideWhenUsed/>
    <w:qFormat/>
    <w:rsid w:val="000D3F98"/>
    <w:pPr>
      <w:keepNext/>
      <w:keepLines/>
      <w:spacing w:before="40" w:after="0" w:line="259" w:lineRule="auto"/>
      <w:outlineLvl w:val="6"/>
    </w:pPr>
    <w:rPr>
      <w:rFonts w:eastAsiaTheme="majorEastAsia" w:cstheme="majorBidi"/>
      <w:color w:val="595959" w:themeColor="text1" w:themeTint="A6"/>
      <w:sz w:val="22"/>
      <w:szCs w:val="22"/>
      <w14:ligatures w14:val="standardContextual"/>
    </w:rPr>
  </w:style>
  <w:style w:type="paragraph" w:styleId="Heading8">
    <w:name w:val="heading 8"/>
    <w:basedOn w:val="Normal"/>
    <w:next w:val="Normal"/>
    <w:link w:val="Heading8Char"/>
    <w:uiPriority w:val="9"/>
    <w:semiHidden/>
    <w:unhideWhenUsed/>
    <w:qFormat/>
    <w:rsid w:val="000D3F98"/>
    <w:pPr>
      <w:keepNext/>
      <w:keepLines/>
      <w:spacing w:after="0" w:line="259" w:lineRule="auto"/>
      <w:outlineLvl w:val="7"/>
    </w:pPr>
    <w:rPr>
      <w:rFonts w:eastAsiaTheme="majorEastAsia" w:cstheme="majorBidi"/>
      <w:i/>
      <w:iCs/>
      <w:color w:val="272727" w:themeColor="text1" w:themeTint="D8"/>
      <w:sz w:val="22"/>
      <w:szCs w:val="22"/>
      <w14:ligatures w14:val="standardContextual"/>
    </w:rPr>
  </w:style>
  <w:style w:type="paragraph" w:styleId="Heading9">
    <w:name w:val="heading 9"/>
    <w:basedOn w:val="Normal"/>
    <w:next w:val="Normal"/>
    <w:link w:val="Heading9Char"/>
    <w:uiPriority w:val="9"/>
    <w:semiHidden/>
    <w:unhideWhenUsed/>
    <w:qFormat/>
    <w:rsid w:val="000D3F98"/>
    <w:pPr>
      <w:keepNext/>
      <w:keepLines/>
      <w:spacing w:after="0" w:line="259" w:lineRule="auto"/>
      <w:outlineLvl w:val="8"/>
    </w:pPr>
    <w:rPr>
      <w:rFonts w:eastAsiaTheme="majorEastAsia" w:cstheme="majorBidi"/>
      <w:color w:val="272727" w:themeColor="text1" w:themeTint="D8"/>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F98"/>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0D3F98"/>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0D3F98"/>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0D3F98"/>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0D3F98"/>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0D3F98"/>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0D3F98"/>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0D3F98"/>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0D3F98"/>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0D3F9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D3F98"/>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0D3F98"/>
    <w:pPr>
      <w:numPr>
        <w:ilvl w:val="1"/>
      </w:numPr>
      <w:spacing w:after="160" w:line="259" w:lineRule="auto"/>
    </w:pPr>
    <w:rPr>
      <w:rFonts w:eastAsiaTheme="majorEastAs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0D3F98"/>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0D3F98"/>
    <w:pPr>
      <w:spacing w:before="160" w:after="160" w:line="259" w:lineRule="auto"/>
      <w:jc w:val="center"/>
    </w:pPr>
    <w:rPr>
      <w:rFonts w:eastAsiaTheme="minorHAnsi"/>
      <w:i/>
      <w:iCs/>
      <w:color w:val="404040" w:themeColor="text1" w:themeTint="BF"/>
      <w:sz w:val="22"/>
      <w:szCs w:val="22"/>
      <w14:ligatures w14:val="standardContextual"/>
    </w:rPr>
  </w:style>
  <w:style w:type="character" w:customStyle="1" w:styleId="QuoteChar">
    <w:name w:val="Quote Char"/>
    <w:basedOn w:val="DefaultParagraphFont"/>
    <w:link w:val="Quote"/>
    <w:uiPriority w:val="29"/>
    <w:rsid w:val="000D3F98"/>
    <w:rPr>
      <w:i/>
      <w:iCs/>
      <w:color w:val="404040" w:themeColor="text1" w:themeTint="BF"/>
      <w:lang w:val="en-US"/>
    </w:rPr>
  </w:style>
  <w:style w:type="paragraph" w:styleId="ListParagraph">
    <w:name w:val="List Paragraph"/>
    <w:basedOn w:val="Normal"/>
    <w:uiPriority w:val="34"/>
    <w:qFormat/>
    <w:rsid w:val="000D3F98"/>
    <w:pPr>
      <w:spacing w:after="160" w:line="259" w:lineRule="auto"/>
      <w:ind w:left="720"/>
      <w:contextualSpacing/>
    </w:pPr>
    <w:rPr>
      <w:rFonts w:eastAsiaTheme="minorHAnsi"/>
      <w:sz w:val="22"/>
      <w:szCs w:val="22"/>
      <w14:ligatures w14:val="standardContextual"/>
    </w:rPr>
  </w:style>
  <w:style w:type="character" w:styleId="IntenseEmphasis">
    <w:name w:val="Intense Emphasis"/>
    <w:basedOn w:val="DefaultParagraphFont"/>
    <w:uiPriority w:val="21"/>
    <w:qFormat/>
    <w:rsid w:val="000D3F98"/>
    <w:rPr>
      <w:i/>
      <w:iCs/>
      <w:color w:val="0F4761" w:themeColor="accent1" w:themeShade="BF"/>
    </w:rPr>
  </w:style>
  <w:style w:type="paragraph" w:styleId="IntenseQuote">
    <w:name w:val="Intense Quote"/>
    <w:basedOn w:val="Normal"/>
    <w:next w:val="Normal"/>
    <w:link w:val="IntenseQuoteChar"/>
    <w:uiPriority w:val="30"/>
    <w:qFormat/>
    <w:rsid w:val="000D3F9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14:ligatures w14:val="standardContextual"/>
    </w:rPr>
  </w:style>
  <w:style w:type="character" w:customStyle="1" w:styleId="IntenseQuoteChar">
    <w:name w:val="Intense Quote Char"/>
    <w:basedOn w:val="DefaultParagraphFont"/>
    <w:link w:val="IntenseQuote"/>
    <w:uiPriority w:val="30"/>
    <w:rsid w:val="000D3F98"/>
    <w:rPr>
      <w:i/>
      <w:iCs/>
      <w:color w:val="0F4761" w:themeColor="accent1" w:themeShade="BF"/>
      <w:lang w:val="en-US"/>
    </w:rPr>
  </w:style>
  <w:style w:type="character" w:styleId="IntenseReference">
    <w:name w:val="Intense Reference"/>
    <w:basedOn w:val="DefaultParagraphFont"/>
    <w:uiPriority w:val="32"/>
    <w:qFormat/>
    <w:rsid w:val="000D3F98"/>
    <w:rPr>
      <w:b/>
      <w:bCs/>
      <w:smallCaps/>
      <w:color w:val="0F4761" w:themeColor="accent1" w:themeShade="BF"/>
      <w:spacing w:val="5"/>
    </w:rPr>
  </w:style>
  <w:style w:type="paragraph" w:styleId="Caption">
    <w:name w:val="caption"/>
    <w:basedOn w:val="Normal"/>
    <w:next w:val="Normal"/>
    <w:uiPriority w:val="35"/>
    <w:unhideWhenUsed/>
    <w:qFormat/>
    <w:rsid w:val="000D3F98"/>
    <w:pPr>
      <w:spacing w:line="240" w:lineRule="auto"/>
    </w:pPr>
    <w:rPr>
      <w:b/>
      <w:bCs/>
      <w:smallCaps/>
      <w:color w:val="595959" w:themeColor="text1" w:themeTint="A6"/>
    </w:rPr>
  </w:style>
  <w:style w:type="character" w:styleId="CommentReference">
    <w:name w:val="annotation reference"/>
    <w:basedOn w:val="DefaultParagraphFont"/>
    <w:uiPriority w:val="99"/>
    <w:semiHidden/>
    <w:unhideWhenUsed/>
    <w:rsid w:val="000D3F98"/>
    <w:rPr>
      <w:sz w:val="16"/>
      <w:szCs w:val="16"/>
    </w:rPr>
  </w:style>
  <w:style w:type="paragraph" w:styleId="CommentText">
    <w:name w:val="annotation text"/>
    <w:basedOn w:val="Normal"/>
    <w:link w:val="CommentTextChar"/>
    <w:uiPriority w:val="99"/>
    <w:unhideWhenUsed/>
    <w:rsid w:val="000D3F98"/>
    <w:pPr>
      <w:spacing w:line="240" w:lineRule="auto"/>
    </w:pPr>
    <w:rPr>
      <w:sz w:val="20"/>
      <w:szCs w:val="20"/>
    </w:rPr>
  </w:style>
  <w:style w:type="character" w:customStyle="1" w:styleId="CommentTextChar">
    <w:name w:val="Comment Text Char"/>
    <w:basedOn w:val="DefaultParagraphFont"/>
    <w:link w:val="CommentText"/>
    <w:uiPriority w:val="99"/>
    <w:rsid w:val="000D3F98"/>
    <w:rPr>
      <w:rFonts w:eastAsiaTheme="minorEastAsia"/>
      <w:sz w:val="20"/>
      <w:szCs w:val="20"/>
      <w:lang w:val="en-US"/>
      <w14:ligatures w14:val="none"/>
    </w:rPr>
  </w:style>
  <w:style w:type="table" w:styleId="PlainTable2">
    <w:name w:val="Plain Table 2"/>
    <w:basedOn w:val="TableNormal"/>
    <w:uiPriority w:val="42"/>
    <w:rsid w:val="000D3F98"/>
    <w:pPr>
      <w:spacing w:after="0" w:line="240" w:lineRule="auto"/>
    </w:pPr>
    <w:rPr>
      <w:kern w:val="2"/>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15C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5C82"/>
    <w:rPr>
      <w:rFonts w:eastAsiaTheme="minorEastAsia"/>
      <w:sz w:val="21"/>
      <w:szCs w:val="21"/>
      <w:lang w:val="en-US"/>
      <w14:ligatures w14:val="none"/>
    </w:rPr>
  </w:style>
  <w:style w:type="paragraph" w:styleId="Footer">
    <w:name w:val="footer"/>
    <w:basedOn w:val="Normal"/>
    <w:link w:val="FooterChar"/>
    <w:uiPriority w:val="99"/>
    <w:unhideWhenUsed/>
    <w:rsid w:val="00615C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5C82"/>
    <w:rPr>
      <w:rFonts w:eastAsiaTheme="minorEastAsia"/>
      <w:sz w:val="21"/>
      <w:szCs w:val="21"/>
      <w:lang w:val="en-US"/>
      <w14:ligatures w14:val="none"/>
    </w:rPr>
  </w:style>
  <w:style w:type="paragraph" w:styleId="Bibliography">
    <w:name w:val="Bibliography"/>
    <w:basedOn w:val="Normal"/>
    <w:next w:val="Normal"/>
    <w:uiPriority w:val="37"/>
    <w:unhideWhenUsed/>
    <w:rsid w:val="003F2A5D"/>
    <w:pPr>
      <w:tabs>
        <w:tab w:val="left" w:pos="384"/>
      </w:tabs>
      <w:spacing w:after="0"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5724</Words>
  <Characters>32630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Utrecht University</Company>
  <LinksUpToDate>false</LinksUpToDate>
  <CharactersWithSpaces>38278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Rittscher-Fogg, A.E. (Anne)</dc:creator>
  <cp:keywords/>
  <dc:description/>
  <cp:lastModifiedBy>Rittscher-Fogg, A.E. (Anne)</cp:lastModifiedBy>
  <cp:revision>12</cp:revision>
  <dcterms:created xsi:type="dcterms:W3CDTF">2026-08-13T08:10:00Z</dcterms:created>
  <dcterms:modified xsi:type="dcterms:W3CDTF">2026-08-19T09:04:00Z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id="VwlY56zT"/&gt;&lt;style id="http://www.zotero.org/styles/nature-no-et-al" hasBibliography="1" bibliographyStyleHasBeenSet="1"/&gt;&lt;prefs&gt;&lt;pref name="fieldType" value="Field"/&gt;&lt;pref name="automaticJournalAb</vt:lpwstr>
  </property>
  <property fmtid="{D5CDD505-2E9C-101B-9397-08002B2CF9AE}" pid="3" name="ZOTERO_PREF_2">
    <vt:lpwstr>breviations" value="true"/&gt;&lt;/prefs&gt;&lt;/data&gt;</vt:lpwstr>
  </property>
</Properties>
</file>