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764"/>
          <w:sz w:val="30"/>
        </w:rPr>
        <w:t>CARE Checklist</w:t>
      </w:r>
    </w:p>
    <w:p>
      <w:r>
        <w:rPr>
          <w:b w:val="0"/>
          <w:i w:val="0"/>
          <w:sz w:val="21"/>
        </w:rPr>
        <w:t>(CARE Case Report Guidelines, Gagnier JJ, et al. J Clin Epidemiol. 2013;66(7):812–818)</w:t>
      </w:r>
    </w:p>
    <w:p>
      <w:r>
        <w:rPr>
          <w:b w:val="0"/>
          <w:i w:val="0"/>
          <w:sz w:val="21"/>
        </w:rPr>
        <w:t>Provided as a separate additional file with the manuscript entitled:</w:t>
      </w:r>
    </w:p>
    <w:p>
      <w:r>
        <w:rPr>
          <w:b w:val="0"/>
          <w:i/>
          <w:sz w:val="21"/>
        </w:rPr>
        <w:t>“Clinical Application of a Modified Gastric-Nasopharyngeal Suction Catheter for Continuous Supraglottic Secretion Management in an Older Patient With Silent Aspiration: A Case Report”</w:t>
      </w:r>
    </w:p>
    <w:p>
      <w:r>
        <w:rPr>
          <w:b w:val="0"/>
          <w:i/>
          <w:sz w:val="19"/>
        </w:rPr>
        <w:t>Corresponding author: Juan Liu.  Checklist completed by the authors, 2025.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fill="D9E2F3"/>
          </w:tcPr>
          <w:p>
            <w:pPr>
              <w:jc w:val="center"/>
            </w:pPr>
            <w:r/>
            <w:r>
              <w:rPr>
                <w:b/>
                <w:sz w:val="20"/>
              </w:rPr>
              <w:t>No.</w:t>
            </w:r>
          </w:p>
        </w:tc>
        <w:tc>
          <w:tcPr>
            <w:tcW w:type="dxa" w:w="1814"/>
            <w:shd w:val="clear" w:fill="D9E2F3"/>
          </w:tcPr>
          <w:p>
            <w:pPr>
              <w:jc w:val="center"/>
            </w:pPr>
            <w:r/>
            <w:r>
              <w:rPr>
                <w:b/>
                <w:sz w:val="20"/>
              </w:rPr>
              <w:t>Topic</w:t>
            </w:r>
          </w:p>
        </w:tc>
        <w:tc>
          <w:tcPr>
            <w:tcW w:type="dxa" w:w="3402"/>
            <w:shd w:val="clear" w:fill="D9E2F3"/>
          </w:tcPr>
          <w:p>
            <w:pPr>
              <w:jc w:val="center"/>
            </w:pPr>
            <w:r/>
            <w:r>
              <w:rPr>
                <w:b/>
                <w:sz w:val="20"/>
              </w:rPr>
              <w:t>Checklist item</w:t>
            </w:r>
          </w:p>
        </w:tc>
        <w:tc>
          <w:tcPr>
            <w:tcW w:type="dxa" w:w="3742"/>
            <w:shd w:val="clear" w:fill="D9E2F3"/>
          </w:tcPr>
          <w:p>
            <w:pPr>
              <w:jc w:val="center"/>
            </w:pPr>
            <w:r/>
            <w:r>
              <w:rPr>
                <w:b/>
                <w:sz w:val="20"/>
              </w:rPr>
              <w:t>Where reported in the manuscript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diagnosis or intervention of primary focus followed by the words “case report”.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Title page. The intervention of primary focus (a modified gastric-nasopharyngeal suction catheter for continuous supraglottic secretion management) is stated, followed by “A Case Report”.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Key Words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2 to 5 key words that identify diagnoses or interventions in this case report (including “case report”).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Abstract (Keywords): mild cognitive impairment; silent aspiration; dysphagia; pulmonary infection; supraglottic secretion drainage; nasogastric tube; case report.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Abstract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(a) Introduction – what is unique about this case and what it adds to the literature; (b) the patient’s main concerns and important clinical findings; (c) the primary diagnoses, interventions and outcomes; (d) Conclusion – one or more take-away lessons.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Abstract (structured as Background / Case presentation / Conclusions, in line with JMCR guidance): reports the unique application of continuous supraglottic secretion drainage in a non-ventilated older patient, the presenting features and FEES-confirmed silent aspiration, the intervention and outcomes, and the main conclusion.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Introduction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Briefly summarizes why this case is unique and may include references to the medical literature.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1. Introduction. Summarizes the burden of cognitive impairment and dysphagia, the concept of silent aspiration, limitations of current secretion-management strategies, and the rationale for the present report, with references [1–11].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5a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Patient Information – demographics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De-identified patient-specific information (age, sex, ethnicity, occupation).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2.2 Patient information and baseline status: 93-year-old man; retired accountant; completed junior high school. Ethnicity: Han Chinese [to be stated explicitly per JMCR requirement].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5b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Patient Information – main symptoms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patient’s primary concerns and symptoms.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2.2: 3-day history of sudden right-sided limb weakness and difficulty speaking, dysarthria, recent-memory impairment, temporal disorientation; fever 38.5 °C and viscous sputum.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5c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Patient Information – history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Medical, family, and psychosocial history, including relevant genetic information.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2.2: hypertension (20 years; amlodipine), hyperlipidaemia (10 years; atorvastatin); no diabetes, coronary heart disease or prior dementia diagnosis; 2-year memory decline reported by family. No relevant genetic information (Not applicable).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5d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Patient Information – past interventions &amp; outcomes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Relevant past interventions and their outcomes.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2.2–2.3: prior antihypertensive and lipid-lowering therapy; empirical intravenous ceftriaxone after admission, with subsequent clinical deterioration.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Clinical Findings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Describe the significant physical examination and other important clinical findings.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2.2–2.4: right-sided limb strength grade IV; diminished cough reflex; body temperature 38.5 °C; FEES showing &gt;50% vallecular/pyriform pooling, delayed swallowing initiation &gt;3 s and silent aspiration; water swallow test grade 4.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Timeline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Historical and current information from this episode of care organized as a timeline (figure or table).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Table 2 (Clinical timeline from admission to discharge) and Figure 1 (schematic temperature curve and sputum-suction frequency during the clinical course).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8a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Diagnostic Assessment – methods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Diagnostic methods (physical examination, laboratory testing, imaging, surveys).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2.2–2.4: chest CT, blood counts and inflammatory markers (hs-CRP, PCT), cultures, T-SPOT.TB/G-test/GM-test, cortisol rhythm, lower-limb ultrasonography and D-dimer, fibreoptic endoscopic evaluation of swallowing (FEES) and the water swallow test.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8b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Diagnostic Assessment – challenges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Diagnostic challenges (e.g., access, cultural, economic).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2.3–2.4: silent aspiration lacks overt signs and was only confirmed by FEES; drug fever, deep-vein thrombosis, adrenal insufficiency and other infections were systematically excluded.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8c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Diagnostic Assessment – diagnosis &amp; differential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Diagnosis (including other diagnoses considered).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2.2 and 2.4: (1) cerebral infarction involving the left basal ganglia; (2) mild cognitive impairment (Petersen criteria); (3) community-acquired pneumonia; (4) grade 3 hypertension. Alternative causes of persistent fever were considered and excluded.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8d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Diagnostic Assessment – prognosis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Prognostic characteristics when applicable.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Not applicable – no formal staging system applies; clinical severity (severe dysphagia with silent aspiration and refractory pulmonary infection) is described in Sections 2.3–2.4.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9a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Therapeutic Intervention – types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Types of therapeutic intervention (pharmacologic, surgical, preventive, self-care).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Sections 2.3, 2.5–2.6: continuous low-negative-pressure supraglottic secretion drainage via the modified gastric-nasopharyngeal suction catheter (GNSC); enteral nutrition; antiplatelet, lipid-lowering and antihypertensive therapy; intravenous piperacillin-tazobactam, immunoglobulin and albumin.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9b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Therapeutic Intervention – administration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Administration of therapeutic intervention (dosage, strength, duration).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2.5: 14Fr silicone nasogastric tube (120 cm) used as the main lumen (3.0 mm ID) fused with an external suction lumen (0.8 mm ID) bearing four side holes; negative pressure −5 to −8 kPa; inserted through the right nostril to a depth of 55 cm; enteral nutrition 500 mL/day at 50 mL/h over 10 h.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9c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Therapeutic Intervention – changes &amp; rationale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Changes in therapeutic intervention with explanations.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2.6: suction pressure adjusted to −6 kPa after a second occlusion episode; antibiotic therapy escalated on October 25; the GNSC was removed on Day 34 and replaced with a 16Fr standard gastric tube.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10a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Follow-up and Outcomes – outcomes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Clinician- and patient-assessed outcomes, if available.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2.6: normothermia within 24 h of insertion; sputum volume fell from 50–80 mL/day to &lt;10 mL/day; passive suctioning fell from 24–30 times/day to none; repeat FEES showed vallecular residue reduced from &gt;50% to &lt;10%; improved sleep–wake pattern and behavioural cooperation.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10b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Follow-up and Outcomes – tests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Important follow-up diagnostic and other test results.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Table 1 (serial WBC, neutrophil, hs-CRP, PCT values) and Section 2.6 (repeat FEES on December 1).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10c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Follow-up and Outcomes – adherence &amp; tolerability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Intervention adherence and tolerability (how this was assessed).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2.6: the catheter remained in place for 34 consecutive days with documented intact nasal mucosa and no mucosal injury, assessed by daily nursing assessment.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10d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Follow-up and Outcomes – adverse events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Adverse and unanticipated events.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2.6: two unplanned episodes of catheter occlusion on Days 21–22 with recurrent fever and increased sputum, resolving after saline flushing; no other adverse events recorded.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11a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Discussion – strengths &amp; limitations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Strengths and limitations in your approach to this case.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3: strengths include the within-patient withdrawal–rechallenge-like temporal observation and 34-day tolerability data; limitations include the single-case design, absence of a control group, concomitant therapies and lack of post-discharge follow-up.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11b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Discussion – literature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Discussion of the relevant medical literature.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3, with reference to the dysphagia, aspiration-prevention and subglottic-secretion-drainage literature [7–14].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11c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Discussion – rationale for conclusions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rationale for your conclusions.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3 and Section 2.6: the temporal association between continuous supraglottic drainage and clinical stabilization, together with the off–on pattern after occlusion, provides the rationale for further study, while causality cannot be established.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11d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Discussion – take-away lessons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primary “take-away” lessons from this case (one paragraph).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4. Conclusion: continuous supraglottic secretion drainage using the modified GNSC was temporally associated with clinical stabilization in this non-ventilated patient; the observation is hypothesis-generating and requires prospective controlled evaluation.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Patient Perspective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patient should share their perspective on the treatment(s) they received.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Section 2.6 (family- and nursing-reported observations of improved cooperation and sleep–wake pattern). A directly patient-authored perspective was not obtainable because of the patient’s cognitive impairment; the family-reported perspective is provided instead.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9"/>
              </w:rPr>
              <w:t>13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9"/>
              </w:rPr>
              <w:t>Informed Consent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The patient should give informed consent (provide if requested).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sz w:val="19"/>
              </w:rPr>
              <w:t>Declarations – “Ethics approval and consent to participate” and “Consent for publication”. Written informed consent for publication of the case report and accompanying images was obtained from the patient; a copy is available for review by the Editor-in-Chief on request.</w:t>
            </w:r>
          </w:p>
        </w:tc>
      </w:tr>
    </w:tbl>
    <w:p/>
    <w:p>
      <w:r>
        <w:rPr>
          <w:b w:val="0"/>
          <w:i/>
          <w:sz w:val="18"/>
        </w:rPr>
        <w:t>Note: Items marked “Not applicable” indicate that the corresponding information does not apply to this manuscript. All other items are addressed as indicated in the final column.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