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870CE">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7A231C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cs="Times New Roman"/>
          <w:b/>
          <w:bCs/>
          <w:sz w:val="36"/>
          <w:szCs w:val="36"/>
        </w:rPr>
        <w:t>Supplementary Materials</w:t>
      </w:r>
    </w:p>
    <w:p w14:paraId="0C102A37">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3FFD3AB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cs="Times New Roman"/>
          <w:i/>
          <w:iCs/>
          <w:sz w:val="28"/>
          <w:szCs w:val="28"/>
        </w:rPr>
        <w:t>Do AI-generated surgical cases improve clinical reasoning? A quasi-experimental comparison in surgical clerkship:</w:t>
      </w:r>
    </w:p>
    <w:p w14:paraId="02D7EE6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p>
    <w:p w14:paraId="523AADA0">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Table of Contents</w:t>
      </w:r>
    </w:p>
    <w:p w14:paraId="4DA0C0E1">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A: AICQ Platform — Development, Architecture, and Validation</w:t>
      </w:r>
    </w:p>
    <w:p w14:paraId="0513219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B: DeepSeek Prompt Protocol — Full Technical Specification</w:t>
      </w:r>
    </w:p>
    <w:p w14:paraId="512EA2E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C: Representative Generated Cases (Two Annotated Examples)</w:t>
      </w:r>
    </w:p>
    <w:p w14:paraId="25CEF2E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D: TREND Statement Checklist</w:t>
      </w:r>
    </w:p>
    <w:p w14:paraId="1EC7608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E: Additional Statistical Analyses</w:t>
      </w:r>
    </w:p>
    <w:p w14:paraId="6F78592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F: Cognitive Load Inventory for Surgical Skills (CLISS) — Full Instrument</w:t>
      </w:r>
    </w:p>
    <w:p w14:paraId="327B4B6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G: General Self-Efficacy Scale (GSES) — Chinese Adaptation</w:t>
      </w:r>
    </w:p>
    <w:p w14:paraId="781669E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Appendix H: Power Analysis Output (G*Power)</w:t>
      </w:r>
    </w:p>
    <w:p w14:paraId="0D913693">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357DC67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rPr>
        <w:t>Supplementary Tables Index:</w:t>
      </w:r>
    </w:p>
    <w:p w14:paraId="2F485B5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S1–S3: AICQ platform validation data (Appendix A).</w:t>
      </w:r>
    </w:p>
    <w:p w14:paraId="2FC8005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S4: DeepSeek-R1 configuration (Appendix B).</w:t>
      </w:r>
    </w:p>
    <w:p w14:paraId="70C02A5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S5: TREND statement checklist (Appendix D).</w:t>
      </w:r>
    </w:p>
    <w:p w14:paraId="5B219F7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S6–S8: Additional statistical analyses (Appendix E).</w:t>
      </w:r>
    </w:p>
    <w:p w14:paraId="48B31FC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S9–S11: CLISS full instrument (Appendix F).</w:t>
      </w:r>
    </w:p>
    <w:p w14:paraId="738EEAA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S12: GSES Chinese adaptation (Appendix G).</w:t>
      </w:r>
    </w:p>
    <w:p w14:paraId="43AEB9D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rPr>
        <w:t>Table S13–S14: G*Power power analysis (Appendix H).</w:t>
      </w:r>
    </w:p>
    <w:p w14:paraId="5B79D497">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eastAsia="Times New Roman" w:cs="Times New Roman"/>
          <w:b/>
          <w:bCs/>
          <w:sz w:val="32"/>
          <w:szCs w:val="32"/>
        </w:rPr>
      </w:pPr>
      <w:r>
        <w:rPr>
          <w:rFonts w:hint="default" w:ascii="Times New Roman" w:hAnsi="Times New Roman" w:eastAsia="Times New Roman" w:cs="Times New Roman"/>
          <w:b/>
          <w:bCs/>
          <w:sz w:val="32"/>
          <w:szCs w:val="32"/>
        </w:rPr>
        <w:br w:type="page"/>
      </w:r>
    </w:p>
    <w:p w14:paraId="1D6A5180">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A: AICQ Platform — Development, Architecture, and Validation</w:t>
      </w:r>
    </w:p>
    <w:p w14:paraId="5C00B812">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A.1 Platform Overview</w:t>
      </w:r>
    </w:p>
    <w:p w14:paraId="48E4D07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AICQ (AI-augmented Clinical Query) platform is a web-based assessment system designed to evaluate clinical reasoning through knowledge graph (KG) representation of diagnostic decision pathways. The platform was developed by the research team at the Department of Surgery, the Third Affiliated Hospital of Naval Medical University, between January and August 2024, and was iteratively refined through pilot testing with 40 surgical clerkship students (independent of the current study sample).</w:t>
      </w:r>
    </w:p>
    <w:p w14:paraId="60CE38AE">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Technical specifications:</w:t>
      </w:r>
      <w:r>
        <w:rPr>
          <w:rFonts w:hint="default" w:ascii="Times New Roman" w:hAnsi="Times New Roman" w:cs="Times New Roman"/>
        </w:rPr>
        <w:t xml:space="preserve"> Frontend: React 18.2 with TypeScript, D3.js 7.8 for KG visualisation. Backend: Python 3.11 with FastAPI, Neo4j 5.15 for KG storage and traversal. Deployment: Docker containerised, hosted on institutional server with SSL encryption. Browser compatibility: Chrome 90+, Edge 90+, Firefox 88+, Safari 15+.</w:t>
      </w:r>
    </w:p>
    <w:p w14:paraId="57E6CE40">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A.2 Knowledge Graph Construction</w:t>
      </w:r>
    </w:p>
    <w:p w14:paraId="54B0CBB9">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Each assessment case was modelled as a directed acyclic graph (DAG) where nodes represent clinical decision points and edges represent logical transitions. The KG for each case was constructed through a four-step protocol: (1) Three surgical faculty members independently authored the gold standard KG for each assessment case; (2) discrepancies were resolved through moderated discussion until full consensus; (3) each node was annotated with metadata (node type, criticality, reasoning depth); (4) alternative clinically valid pathways were encoded as parallel branches, permitting multiple correct approaches.</w:t>
      </w:r>
    </w:p>
    <w:p w14:paraId="56500790">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A.3 Scoring Algorithm</w:t>
      </w:r>
    </w:p>
    <w:p w14:paraId="39EE9330">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platform's automated scoring algorithm computes three component indices:</w:t>
      </w:r>
    </w:p>
    <w:p w14:paraId="0D9AC3C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Diagnostic Accuracy (DA, 0-100): </w:t>
      </w:r>
      <w:r>
        <w:rPr>
          <w:rFonts w:hint="default" w:ascii="Times New Roman" w:hAnsi="Times New Roman" w:cs="Times New Roman"/>
        </w:rPr>
        <w:t>Number of correctly activated nodes divided by total nodes in the expert-validated KG, multiplied by 100.</w:t>
      </w:r>
    </w:p>
    <w:p w14:paraId="5E35EAE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Decision-Path Completeness (DPC, 0-100): </w:t>
      </w:r>
      <w:r>
        <w:rPr>
          <w:rFonts w:hint="default" w:ascii="Times New Roman" w:hAnsi="Times New Roman" w:cs="Times New Roman"/>
        </w:rPr>
        <w:t>Number of necessary nodes traversed divided by total necessary nodes, multiplied by 100. Necessary nodes are those annotated as mandatory.</w:t>
      </w:r>
    </w:p>
    <w:p w14:paraId="278273F7">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Reasoning Bias Index (RBI, 0-50, lower = better): </w:t>
      </w:r>
      <w:r>
        <w:rPr>
          <w:rFonts w:hint="default" w:ascii="Times New Roman" w:hAnsi="Times New Roman" w:cs="Times New Roman"/>
        </w:rPr>
        <w:t>Edit distance (Levenshtein) between the student's decision path and the expert-validated optimal pathway, normalised to a 0-50 scale. Captures premature closure, over-investigation, and incorrect sequencing.</w:t>
      </w:r>
    </w:p>
    <w:p w14:paraId="2571D23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Composite Score: </w:t>
      </w:r>
      <w:r>
        <w:rPr>
          <w:rFonts w:hint="default" w:ascii="Times New Roman" w:hAnsi="Times New Roman" w:cs="Times New Roman"/>
        </w:rPr>
        <w:t>40% x DA + 40% x DPC - 20% x RBI. Weighting determined by a six-member expert panel through modified Delphi process (2 rounds, consensus threshold &gt;= 80% agreement).</w:t>
      </w:r>
    </w:p>
    <w:p w14:paraId="29EE69E5">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A.4 Validation Study (Pilot, n = 40, Independent of Main Study)</w:t>
      </w:r>
    </w:p>
    <w:p w14:paraId="7B16562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Forty fifth-year surgical clerkship students at the Third Affiliated Hospital of Naval Medical University participated in the pilot validation (September-November 2024). None participated in the main study. Participants completed four AICQ assessments over 4 weeks. Faculty global ratings of clinical reasoning were collected independently by two surgical educators (blinded to AICQ scores) using a standardised 7-point rubric.</w:t>
      </w:r>
    </w:p>
    <w:p w14:paraId="14B604DB">
      <w:pPr>
        <w:pStyle w:val="4"/>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6"/>
          <w:szCs w:val="26"/>
        </w:rPr>
        <w:t>Content Validity</w:t>
      </w:r>
    </w:p>
    <w:p w14:paraId="3C2551A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Six-member expert panel: 3 surgical educators, 3 clinical reasoning researchers. S-CVI/Ave = 0.91. I-CVI range: 0.83-1.00.</w:t>
      </w:r>
    </w:p>
    <w:p w14:paraId="2DE574C3">
      <w:pPr>
        <w:pStyle w:val="4"/>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6"/>
          <w:szCs w:val="26"/>
        </w:rPr>
        <w:t>Convergent Validity — Correlations with Faculty Global Ratings</w:t>
      </w:r>
    </w:p>
    <w:p w14:paraId="2827574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764ED9D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sz w:val="24"/>
          <w:szCs w:val="24"/>
        </w:rPr>
      </w:pPr>
    </w:p>
    <w:p w14:paraId="4871358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sz w:val="24"/>
          <w:szCs w:val="24"/>
        </w:rPr>
      </w:pPr>
      <w:r>
        <w:rPr>
          <w:rFonts w:hint="default" w:ascii="Times New Roman" w:hAnsi="Times New Roman" w:eastAsia="Times New Roman" w:cs="Times New Roman"/>
          <w:b/>
          <w:bCs/>
          <w:sz w:val="24"/>
          <w:szCs w:val="24"/>
        </w:rPr>
        <w:t>Table S1. Convergent validity: correlations between AICQ subscales and faculty global ratings of clinical reasoning (Appendix A).</w:t>
      </w:r>
    </w:p>
    <w:tbl>
      <w:tblPr>
        <w:tblStyle w:val="11"/>
        <w:tblW w:w="7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0"/>
        <w:gridCol w:w="2500"/>
        <w:gridCol w:w="1000"/>
        <w:gridCol w:w="1000"/>
      </w:tblGrid>
      <w:tr w14:paraId="0CE9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00" w:type="dxa"/>
            <w:tcBorders>
              <w:bottom w:val="single" w:color="000000" w:sz="6" w:space="0"/>
            </w:tcBorders>
            <w:shd w:val="clear" w:color="auto" w:fill="2E75B6"/>
            <w:tcMar>
              <w:top w:w="60" w:type="dxa"/>
              <w:left w:w="100" w:type="dxa"/>
              <w:bottom w:w="60" w:type="dxa"/>
              <w:right w:w="100" w:type="dxa"/>
            </w:tcMar>
            <w:vAlign w:val="center"/>
          </w:tcPr>
          <w:p w14:paraId="3148981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AICQ Subscale</w:t>
            </w:r>
          </w:p>
        </w:tc>
        <w:tc>
          <w:tcPr>
            <w:tcW w:w="2500" w:type="dxa"/>
            <w:tcBorders>
              <w:bottom w:val="single" w:color="000000" w:sz="6" w:space="0"/>
            </w:tcBorders>
            <w:shd w:val="clear" w:color="auto" w:fill="2E75B6"/>
            <w:tcMar>
              <w:top w:w="60" w:type="dxa"/>
              <w:left w:w="100" w:type="dxa"/>
              <w:bottom w:w="60" w:type="dxa"/>
              <w:right w:w="100" w:type="dxa"/>
            </w:tcMar>
            <w:vAlign w:val="center"/>
          </w:tcPr>
          <w:p w14:paraId="0146A74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Faculty Rating Criterion</w:t>
            </w:r>
          </w:p>
        </w:tc>
        <w:tc>
          <w:tcPr>
            <w:tcW w:w="1000" w:type="dxa"/>
            <w:tcBorders>
              <w:bottom w:val="single" w:color="000000" w:sz="6" w:space="0"/>
            </w:tcBorders>
            <w:shd w:val="clear" w:color="auto" w:fill="2E75B6"/>
            <w:tcMar>
              <w:top w:w="60" w:type="dxa"/>
              <w:left w:w="100" w:type="dxa"/>
              <w:bottom w:w="60" w:type="dxa"/>
              <w:right w:w="100" w:type="dxa"/>
            </w:tcMar>
            <w:vAlign w:val="center"/>
          </w:tcPr>
          <w:p w14:paraId="0BA82DD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r</w:t>
            </w:r>
          </w:p>
        </w:tc>
        <w:tc>
          <w:tcPr>
            <w:tcW w:w="1000" w:type="dxa"/>
            <w:tcBorders>
              <w:bottom w:val="single" w:color="000000" w:sz="6" w:space="0"/>
            </w:tcBorders>
            <w:shd w:val="clear" w:color="auto" w:fill="2E75B6"/>
            <w:tcMar>
              <w:top w:w="60" w:type="dxa"/>
              <w:left w:w="100" w:type="dxa"/>
              <w:bottom w:w="60" w:type="dxa"/>
              <w:right w:w="100" w:type="dxa"/>
            </w:tcMar>
            <w:vAlign w:val="center"/>
          </w:tcPr>
          <w:p w14:paraId="17A0668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p</w:t>
            </w:r>
          </w:p>
        </w:tc>
      </w:tr>
      <w:tr w14:paraId="0259A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00" w:type="dxa"/>
            <w:shd w:val="clear" w:color="auto" w:fill="F2F7FB"/>
            <w:tcMar>
              <w:top w:w="60" w:type="dxa"/>
              <w:left w:w="100" w:type="dxa"/>
              <w:bottom w:w="60" w:type="dxa"/>
              <w:right w:w="100" w:type="dxa"/>
            </w:tcMar>
            <w:vAlign w:val="center"/>
          </w:tcPr>
          <w:p w14:paraId="3CA6725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Diagnostic Accuracy</w:t>
            </w:r>
          </w:p>
        </w:tc>
        <w:tc>
          <w:tcPr>
            <w:tcW w:w="2500" w:type="dxa"/>
            <w:shd w:val="clear" w:color="auto" w:fill="F2F7FB"/>
            <w:tcMar>
              <w:top w:w="60" w:type="dxa"/>
              <w:left w:w="100" w:type="dxa"/>
              <w:bottom w:w="60" w:type="dxa"/>
              <w:right w:w="100" w:type="dxa"/>
            </w:tcMar>
            <w:vAlign w:val="center"/>
          </w:tcPr>
          <w:p w14:paraId="70976E2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Diagnostic reasoning competence</w:t>
            </w:r>
          </w:p>
        </w:tc>
        <w:tc>
          <w:tcPr>
            <w:tcW w:w="1000" w:type="dxa"/>
            <w:shd w:val="clear" w:color="auto" w:fill="F2F7FB"/>
            <w:tcMar>
              <w:top w:w="60" w:type="dxa"/>
              <w:left w:w="100" w:type="dxa"/>
              <w:bottom w:w="60" w:type="dxa"/>
              <w:right w:w="100" w:type="dxa"/>
            </w:tcMar>
            <w:vAlign w:val="center"/>
          </w:tcPr>
          <w:p w14:paraId="6B8F327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0.84</w:t>
            </w:r>
          </w:p>
        </w:tc>
        <w:tc>
          <w:tcPr>
            <w:tcW w:w="1000" w:type="dxa"/>
            <w:shd w:val="clear" w:color="auto" w:fill="F2F7FB"/>
            <w:tcMar>
              <w:top w:w="60" w:type="dxa"/>
              <w:left w:w="100" w:type="dxa"/>
              <w:bottom w:w="60" w:type="dxa"/>
              <w:right w:w="100" w:type="dxa"/>
            </w:tcMar>
            <w:vAlign w:val="center"/>
          </w:tcPr>
          <w:p w14:paraId="3E82B58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&lt;0.001</w:t>
            </w:r>
          </w:p>
        </w:tc>
      </w:tr>
      <w:tr w14:paraId="02847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00" w:type="dxa"/>
            <w:tcMar>
              <w:top w:w="60" w:type="dxa"/>
              <w:left w:w="100" w:type="dxa"/>
              <w:bottom w:w="60" w:type="dxa"/>
              <w:right w:w="100" w:type="dxa"/>
            </w:tcMar>
            <w:vAlign w:val="center"/>
          </w:tcPr>
          <w:p w14:paraId="17CEDF3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Decision-Path Completeness</w:t>
            </w:r>
          </w:p>
        </w:tc>
        <w:tc>
          <w:tcPr>
            <w:tcW w:w="2500" w:type="dxa"/>
            <w:tcMar>
              <w:top w:w="60" w:type="dxa"/>
              <w:left w:w="100" w:type="dxa"/>
              <w:bottom w:w="60" w:type="dxa"/>
              <w:right w:w="100" w:type="dxa"/>
            </w:tcMar>
            <w:vAlign w:val="center"/>
          </w:tcPr>
          <w:p w14:paraId="6DE0CB7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Clinical thoroughness</w:t>
            </w:r>
          </w:p>
        </w:tc>
        <w:tc>
          <w:tcPr>
            <w:tcW w:w="1000" w:type="dxa"/>
            <w:tcMar>
              <w:top w:w="60" w:type="dxa"/>
              <w:left w:w="100" w:type="dxa"/>
              <w:bottom w:w="60" w:type="dxa"/>
              <w:right w:w="100" w:type="dxa"/>
            </w:tcMar>
            <w:vAlign w:val="center"/>
          </w:tcPr>
          <w:p w14:paraId="1394D2F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0.79</w:t>
            </w:r>
          </w:p>
        </w:tc>
        <w:tc>
          <w:tcPr>
            <w:tcW w:w="1000" w:type="dxa"/>
            <w:tcMar>
              <w:top w:w="60" w:type="dxa"/>
              <w:left w:w="100" w:type="dxa"/>
              <w:bottom w:w="60" w:type="dxa"/>
              <w:right w:w="100" w:type="dxa"/>
            </w:tcMar>
            <w:vAlign w:val="center"/>
          </w:tcPr>
          <w:p w14:paraId="22C92FC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&lt;0.001</w:t>
            </w:r>
          </w:p>
        </w:tc>
      </w:tr>
      <w:tr w14:paraId="0D2F6A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00" w:type="dxa"/>
            <w:shd w:val="clear" w:color="auto" w:fill="F2F7FB"/>
            <w:tcMar>
              <w:top w:w="60" w:type="dxa"/>
              <w:left w:w="100" w:type="dxa"/>
              <w:bottom w:w="60" w:type="dxa"/>
              <w:right w:w="100" w:type="dxa"/>
            </w:tcMar>
            <w:vAlign w:val="center"/>
          </w:tcPr>
          <w:p w14:paraId="766A3CD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Reasoning Bias Index</w:t>
            </w:r>
          </w:p>
        </w:tc>
        <w:tc>
          <w:tcPr>
            <w:tcW w:w="2500" w:type="dxa"/>
            <w:shd w:val="clear" w:color="auto" w:fill="F2F7FB"/>
            <w:tcMar>
              <w:top w:w="60" w:type="dxa"/>
              <w:left w:w="100" w:type="dxa"/>
              <w:bottom w:w="60" w:type="dxa"/>
              <w:right w:w="100" w:type="dxa"/>
            </w:tcMar>
            <w:vAlign w:val="center"/>
          </w:tcPr>
          <w:p w14:paraId="775D325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Diagnostic efficiency</w:t>
            </w:r>
          </w:p>
        </w:tc>
        <w:tc>
          <w:tcPr>
            <w:tcW w:w="1000" w:type="dxa"/>
            <w:shd w:val="clear" w:color="auto" w:fill="F2F7FB"/>
            <w:tcMar>
              <w:top w:w="60" w:type="dxa"/>
              <w:left w:w="100" w:type="dxa"/>
              <w:bottom w:w="60" w:type="dxa"/>
              <w:right w:w="100" w:type="dxa"/>
            </w:tcMar>
            <w:vAlign w:val="center"/>
          </w:tcPr>
          <w:p w14:paraId="7403B86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-0.71</w:t>
            </w:r>
          </w:p>
        </w:tc>
        <w:tc>
          <w:tcPr>
            <w:tcW w:w="1000" w:type="dxa"/>
            <w:shd w:val="clear" w:color="auto" w:fill="F2F7FB"/>
            <w:tcMar>
              <w:top w:w="60" w:type="dxa"/>
              <w:left w:w="100" w:type="dxa"/>
              <w:bottom w:w="60" w:type="dxa"/>
              <w:right w:w="100" w:type="dxa"/>
            </w:tcMar>
            <w:vAlign w:val="center"/>
          </w:tcPr>
          <w:p w14:paraId="6782350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&lt;0.001</w:t>
            </w:r>
          </w:p>
        </w:tc>
      </w:tr>
      <w:tr w14:paraId="12AD81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2500" w:type="dxa"/>
            <w:tcMar>
              <w:top w:w="60" w:type="dxa"/>
              <w:left w:w="100" w:type="dxa"/>
              <w:bottom w:w="60" w:type="dxa"/>
              <w:right w:w="100" w:type="dxa"/>
            </w:tcMar>
            <w:vAlign w:val="center"/>
          </w:tcPr>
          <w:p w14:paraId="11F0CD6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Composite</w:t>
            </w:r>
          </w:p>
        </w:tc>
        <w:tc>
          <w:tcPr>
            <w:tcW w:w="2500" w:type="dxa"/>
            <w:tcMar>
              <w:top w:w="60" w:type="dxa"/>
              <w:left w:w="100" w:type="dxa"/>
              <w:bottom w:w="60" w:type="dxa"/>
              <w:right w:w="100" w:type="dxa"/>
            </w:tcMar>
            <w:vAlign w:val="center"/>
          </w:tcPr>
          <w:p w14:paraId="3354E27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Overall clinical reasoning</w:t>
            </w:r>
          </w:p>
        </w:tc>
        <w:tc>
          <w:tcPr>
            <w:tcW w:w="1000" w:type="dxa"/>
            <w:tcMar>
              <w:top w:w="60" w:type="dxa"/>
              <w:left w:w="100" w:type="dxa"/>
              <w:bottom w:w="60" w:type="dxa"/>
              <w:right w:w="100" w:type="dxa"/>
            </w:tcMar>
            <w:vAlign w:val="center"/>
          </w:tcPr>
          <w:p w14:paraId="44145E4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0.82</w:t>
            </w:r>
          </w:p>
        </w:tc>
        <w:tc>
          <w:tcPr>
            <w:tcW w:w="1000" w:type="dxa"/>
            <w:tcMar>
              <w:top w:w="60" w:type="dxa"/>
              <w:left w:w="100" w:type="dxa"/>
              <w:bottom w:w="60" w:type="dxa"/>
              <w:right w:w="100" w:type="dxa"/>
            </w:tcMar>
            <w:vAlign w:val="center"/>
          </w:tcPr>
          <w:p w14:paraId="7E0A20D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&lt;0.001</w:t>
            </w:r>
          </w:p>
        </w:tc>
      </w:tr>
    </w:tbl>
    <w:p w14:paraId="228C155C">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6F67F100">
      <w:pPr>
        <w:pStyle w:val="4"/>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6"/>
          <w:szCs w:val="26"/>
        </w:rPr>
        <w:t>Internal Consistency (Cronbach's alpha)</w:t>
      </w:r>
    </w:p>
    <w:p w14:paraId="6DFF0D82">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185B6EB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S2. Internal consistency of AICQ subscales (Cronbach’s alpha) (Appendix A).</w:t>
      </w:r>
    </w:p>
    <w:tbl>
      <w:tblPr>
        <w:tblStyle w:val="11"/>
        <w:tblW w:w="7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00"/>
        <w:gridCol w:w="2000"/>
        <w:gridCol w:w="2000"/>
      </w:tblGrid>
      <w:tr w14:paraId="43E2C9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Borders>
              <w:bottom w:val="single" w:color="000000" w:sz="6" w:space="0"/>
            </w:tcBorders>
            <w:shd w:val="clear" w:color="auto" w:fill="2E75B6"/>
            <w:tcMar>
              <w:top w:w="60" w:type="dxa"/>
              <w:left w:w="100" w:type="dxa"/>
              <w:bottom w:w="60" w:type="dxa"/>
              <w:right w:w="100" w:type="dxa"/>
            </w:tcMar>
            <w:vAlign w:val="center"/>
          </w:tcPr>
          <w:p w14:paraId="12286D7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Subscale</w:t>
            </w:r>
          </w:p>
        </w:tc>
        <w:tc>
          <w:tcPr>
            <w:tcW w:w="2000" w:type="dxa"/>
            <w:tcBorders>
              <w:bottom w:val="single" w:color="000000" w:sz="6" w:space="0"/>
            </w:tcBorders>
            <w:shd w:val="clear" w:color="auto" w:fill="2E75B6"/>
            <w:tcMar>
              <w:top w:w="60" w:type="dxa"/>
              <w:left w:w="100" w:type="dxa"/>
              <w:bottom w:w="60" w:type="dxa"/>
              <w:right w:w="100" w:type="dxa"/>
            </w:tcMar>
            <w:vAlign w:val="center"/>
          </w:tcPr>
          <w:p w14:paraId="2F5DA6E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Items</w:t>
            </w:r>
          </w:p>
        </w:tc>
        <w:tc>
          <w:tcPr>
            <w:tcW w:w="2000" w:type="dxa"/>
            <w:tcBorders>
              <w:bottom w:val="single" w:color="000000" w:sz="6" w:space="0"/>
            </w:tcBorders>
            <w:shd w:val="clear" w:color="auto" w:fill="2E75B6"/>
            <w:tcMar>
              <w:top w:w="60" w:type="dxa"/>
              <w:left w:w="100" w:type="dxa"/>
              <w:bottom w:w="60" w:type="dxa"/>
              <w:right w:w="100" w:type="dxa"/>
            </w:tcMar>
            <w:vAlign w:val="center"/>
          </w:tcPr>
          <w:p w14:paraId="3D87910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Cronbach's alpha</w:t>
            </w:r>
          </w:p>
        </w:tc>
      </w:tr>
      <w:tr w14:paraId="04A1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00102D2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Diagnostic Accuracy</w:t>
            </w:r>
          </w:p>
        </w:tc>
        <w:tc>
          <w:tcPr>
            <w:tcW w:w="2000" w:type="dxa"/>
            <w:shd w:val="clear" w:color="auto" w:fill="F2F7FB"/>
            <w:tcMar>
              <w:top w:w="60" w:type="dxa"/>
              <w:left w:w="100" w:type="dxa"/>
              <w:bottom w:w="60" w:type="dxa"/>
              <w:right w:w="100" w:type="dxa"/>
            </w:tcMar>
            <w:vAlign w:val="center"/>
          </w:tcPr>
          <w:p w14:paraId="3A29195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8 nodes</w:t>
            </w:r>
          </w:p>
        </w:tc>
        <w:tc>
          <w:tcPr>
            <w:tcW w:w="2000" w:type="dxa"/>
            <w:shd w:val="clear" w:color="auto" w:fill="F2F7FB"/>
            <w:tcMar>
              <w:top w:w="60" w:type="dxa"/>
              <w:left w:w="100" w:type="dxa"/>
              <w:bottom w:w="60" w:type="dxa"/>
              <w:right w:w="100" w:type="dxa"/>
            </w:tcMar>
            <w:vAlign w:val="center"/>
          </w:tcPr>
          <w:p w14:paraId="18B7090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0.91</w:t>
            </w:r>
          </w:p>
        </w:tc>
      </w:tr>
      <w:tr w14:paraId="11CD33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53FB556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Decision-Path Completeness</w:t>
            </w:r>
          </w:p>
        </w:tc>
        <w:tc>
          <w:tcPr>
            <w:tcW w:w="2000" w:type="dxa"/>
            <w:tcMar>
              <w:top w:w="60" w:type="dxa"/>
              <w:left w:w="100" w:type="dxa"/>
              <w:bottom w:w="60" w:type="dxa"/>
              <w:right w:w="100" w:type="dxa"/>
            </w:tcMar>
            <w:vAlign w:val="center"/>
          </w:tcPr>
          <w:p w14:paraId="3F51E26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6 nodes</w:t>
            </w:r>
          </w:p>
        </w:tc>
        <w:tc>
          <w:tcPr>
            <w:tcW w:w="2000" w:type="dxa"/>
            <w:tcMar>
              <w:top w:w="60" w:type="dxa"/>
              <w:left w:w="100" w:type="dxa"/>
              <w:bottom w:w="60" w:type="dxa"/>
              <w:right w:w="100" w:type="dxa"/>
            </w:tcMar>
            <w:vAlign w:val="center"/>
          </w:tcPr>
          <w:p w14:paraId="3D6CE15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0.84</w:t>
            </w:r>
          </w:p>
        </w:tc>
      </w:tr>
      <w:tr w14:paraId="7C0B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147DF69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Reasoning Bias Index</w:t>
            </w:r>
          </w:p>
        </w:tc>
        <w:tc>
          <w:tcPr>
            <w:tcW w:w="2000" w:type="dxa"/>
            <w:shd w:val="clear" w:color="auto" w:fill="F2F7FB"/>
            <w:tcMar>
              <w:top w:w="60" w:type="dxa"/>
              <w:left w:w="100" w:type="dxa"/>
              <w:bottom w:w="60" w:type="dxa"/>
              <w:right w:w="100" w:type="dxa"/>
            </w:tcMar>
            <w:vAlign w:val="center"/>
          </w:tcPr>
          <w:p w14:paraId="1F1D3C2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5 indices</w:t>
            </w:r>
          </w:p>
        </w:tc>
        <w:tc>
          <w:tcPr>
            <w:tcW w:w="2000" w:type="dxa"/>
            <w:shd w:val="clear" w:color="auto" w:fill="F2F7FB"/>
            <w:tcMar>
              <w:top w:w="60" w:type="dxa"/>
              <w:left w:w="100" w:type="dxa"/>
              <w:bottom w:w="60" w:type="dxa"/>
              <w:right w:w="100" w:type="dxa"/>
            </w:tcMar>
            <w:vAlign w:val="center"/>
          </w:tcPr>
          <w:p w14:paraId="1D7D859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0.87</w:t>
            </w:r>
          </w:p>
        </w:tc>
      </w:tr>
      <w:tr w14:paraId="45EFCE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180EBD8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Composite</w:t>
            </w:r>
          </w:p>
        </w:tc>
        <w:tc>
          <w:tcPr>
            <w:tcW w:w="2000" w:type="dxa"/>
            <w:tcMar>
              <w:top w:w="60" w:type="dxa"/>
              <w:left w:w="100" w:type="dxa"/>
              <w:bottom w:w="60" w:type="dxa"/>
              <w:right w:w="100" w:type="dxa"/>
            </w:tcMar>
            <w:vAlign w:val="center"/>
          </w:tcPr>
          <w:p w14:paraId="0506F50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19 items</w:t>
            </w:r>
          </w:p>
        </w:tc>
        <w:tc>
          <w:tcPr>
            <w:tcW w:w="2000" w:type="dxa"/>
            <w:tcMar>
              <w:top w:w="60" w:type="dxa"/>
              <w:left w:w="100" w:type="dxa"/>
              <w:bottom w:w="60" w:type="dxa"/>
              <w:right w:w="100" w:type="dxa"/>
            </w:tcMar>
            <w:vAlign w:val="center"/>
          </w:tcPr>
          <w:p w14:paraId="29E9842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0.89</w:t>
            </w:r>
          </w:p>
        </w:tc>
      </w:tr>
    </w:tbl>
    <w:p w14:paraId="72A62ACE">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48422D8D">
      <w:pPr>
        <w:pStyle w:val="4"/>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6"/>
          <w:szCs w:val="26"/>
        </w:rPr>
        <w:t>Test-Retest Reliability (ICC, 2-week interval)</w:t>
      </w:r>
    </w:p>
    <w:p w14:paraId="177AF52E">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97367A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S3. Test–retest reliability of AICQ subscales (ICC, 2-week interval) (Appendix A).</w:t>
      </w:r>
    </w:p>
    <w:tbl>
      <w:tblPr>
        <w:tblStyle w:val="11"/>
        <w:tblW w:w="6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1500"/>
        <w:gridCol w:w="2000"/>
      </w:tblGrid>
      <w:tr w14:paraId="7E81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Borders>
              <w:bottom w:val="single" w:color="000000" w:sz="6" w:space="0"/>
            </w:tcBorders>
            <w:shd w:val="clear" w:color="auto" w:fill="2E75B6"/>
            <w:tcMar>
              <w:top w:w="60" w:type="dxa"/>
              <w:left w:w="100" w:type="dxa"/>
              <w:bottom w:w="60" w:type="dxa"/>
              <w:right w:w="100" w:type="dxa"/>
            </w:tcMar>
            <w:vAlign w:val="center"/>
          </w:tcPr>
          <w:p w14:paraId="3F3FBE9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Subscale</w:t>
            </w:r>
          </w:p>
        </w:tc>
        <w:tc>
          <w:tcPr>
            <w:tcW w:w="1500" w:type="dxa"/>
            <w:tcBorders>
              <w:bottom w:val="single" w:color="000000" w:sz="6" w:space="0"/>
            </w:tcBorders>
            <w:shd w:val="clear" w:color="auto" w:fill="2E75B6"/>
            <w:tcMar>
              <w:top w:w="60" w:type="dxa"/>
              <w:left w:w="100" w:type="dxa"/>
              <w:bottom w:w="60" w:type="dxa"/>
              <w:right w:w="100" w:type="dxa"/>
            </w:tcMar>
            <w:vAlign w:val="center"/>
          </w:tcPr>
          <w:p w14:paraId="02887C2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ICC</w:t>
            </w:r>
          </w:p>
        </w:tc>
        <w:tc>
          <w:tcPr>
            <w:tcW w:w="2000" w:type="dxa"/>
            <w:tcBorders>
              <w:bottom w:val="single" w:color="000000" w:sz="6" w:space="0"/>
            </w:tcBorders>
            <w:shd w:val="clear" w:color="auto" w:fill="2E75B6"/>
            <w:tcMar>
              <w:top w:w="60" w:type="dxa"/>
              <w:left w:w="100" w:type="dxa"/>
              <w:bottom w:w="60" w:type="dxa"/>
              <w:right w:w="100" w:type="dxa"/>
            </w:tcMar>
            <w:vAlign w:val="center"/>
          </w:tcPr>
          <w:p w14:paraId="566D90E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95% CI</w:t>
            </w:r>
          </w:p>
        </w:tc>
      </w:tr>
      <w:tr w14:paraId="3E9F9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5008B15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Diagnostic Accuracy</w:t>
            </w:r>
          </w:p>
        </w:tc>
        <w:tc>
          <w:tcPr>
            <w:tcW w:w="1500" w:type="dxa"/>
            <w:shd w:val="clear" w:color="auto" w:fill="F2F7FB"/>
            <w:tcMar>
              <w:top w:w="60" w:type="dxa"/>
              <w:left w:w="100" w:type="dxa"/>
              <w:bottom w:w="60" w:type="dxa"/>
              <w:right w:w="100" w:type="dxa"/>
            </w:tcMar>
            <w:vAlign w:val="center"/>
          </w:tcPr>
          <w:p w14:paraId="5900683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0.88</w:t>
            </w:r>
          </w:p>
        </w:tc>
        <w:tc>
          <w:tcPr>
            <w:tcW w:w="2000" w:type="dxa"/>
            <w:shd w:val="clear" w:color="auto" w:fill="F2F7FB"/>
            <w:tcMar>
              <w:top w:w="60" w:type="dxa"/>
              <w:left w:w="100" w:type="dxa"/>
              <w:bottom w:w="60" w:type="dxa"/>
              <w:right w:w="100" w:type="dxa"/>
            </w:tcMar>
            <w:vAlign w:val="center"/>
          </w:tcPr>
          <w:p w14:paraId="6ACA742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0.79-0.93</w:t>
            </w:r>
          </w:p>
        </w:tc>
      </w:tr>
      <w:tr w14:paraId="41810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7EAFB0C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Decision-Path Completeness</w:t>
            </w:r>
          </w:p>
        </w:tc>
        <w:tc>
          <w:tcPr>
            <w:tcW w:w="1500" w:type="dxa"/>
            <w:tcMar>
              <w:top w:w="60" w:type="dxa"/>
              <w:left w:w="100" w:type="dxa"/>
              <w:bottom w:w="60" w:type="dxa"/>
              <w:right w:w="100" w:type="dxa"/>
            </w:tcMar>
            <w:vAlign w:val="center"/>
          </w:tcPr>
          <w:p w14:paraId="10D0C51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0.82</w:t>
            </w:r>
          </w:p>
        </w:tc>
        <w:tc>
          <w:tcPr>
            <w:tcW w:w="2000" w:type="dxa"/>
            <w:tcMar>
              <w:top w:w="60" w:type="dxa"/>
              <w:left w:w="100" w:type="dxa"/>
              <w:bottom w:w="60" w:type="dxa"/>
              <w:right w:w="100" w:type="dxa"/>
            </w:tcMar>
            <w:vAlign w:val="center"/>
          </w:tcPr>
          <w:p w14:paraId="454FFD1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0.71-0.89</w:t>
            </w:r>
          </w:p>
        </w:tc>
      </w:tr>
      <w:tr w14:paraId="02343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79A572E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Reasoning Bias Index</w:t>
            </w:r>
          </w:p>
        </w:tc>
        <w:tc>
          <w:tcPr>
            <w:tcW w:w="1500" w:type="dxa"/>
            <w:shd w:val="clear" w:color="auto" w:fill="F2F7FB"/>
            <w:tcMar>
              <w:top w:w="60" w:type="dxa"/>
              <w:left w:w="100" w:type="dxa"/>
              <w:bottom w:w="60" w:type="dxa"/>
              <w:right w:w="100" w:type="dxa"/>
            </w:tcMar>
            <w:vAlign w:val="center"/>
          </w:tcPr>
          <w:p w14:paraId="4448EAE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0.85</w:t>
            </w:r>
          </w:p>
        </w:tc>
        <w:tc>
          <w:tcPr>
            <w:tcW w:w="2000" w:type="dxa"/>
            <w:shd w:val="clear" w:color="auto" w:fill="F2F7FB"/>
            <w:tcMar>
              <w:top w:w="60" w:type="dxa"/>
              <w:left w:w="100" w:type="dxa"/>
              <w:bottom w:w="60" w:type="dxa"/>
              <w:right w:w="100" w:type="dxa"/>
            </w:tcMar>
            <w:vAlign w:val="center"/>
          </w:tcPr>
          <w:p w14:paraId="7F105C1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0.75-0.91</w:t>
            </w:r>
          </w:p>
        </w:tc>
      </w:tr>
      <w:tr w14:paraId="2506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6C5F83B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Composite</w:t>
            </w:r>
          </w:p>
        </w:tc>
        <w:tc>
          <w:tcPr>
            <w:tcW w:w="1500" w:type="dxa"/>
            <w:tcMar>
              <w:top w:w="60" w:type="dxa"/>
              <w:left w:w="100" w:type="dxa"/>
              <w:bottom w:w="60" w:type="dxa"/>
              <w:right w:w="100" w:type="dxa"/>
            </w:tcMar>
            <w:vAlign w:val="center"/>
          </w:tcPr>
          <w:p w14:paraId="29B0C37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0.86</w:t>
            </w:r>
          </w:p>
        </w:tc>
        <w:tc>
          <w:tcPr>
            <w:tcW w:w="2000" w:type="dxa"/>
            <w:tcMar>
              <w:top w:w="60" w:type="dxa"/>
              <w:left w:w="100" w:type="dxa"/>
              <w:bottom w:w="60" w:type="dxa"/>
              <w:right w:w="100" w:type="dxa"/>
            </w:tcMar>
            <w:vAlign w:val="center"/>
          </w:tcPr>
          <w:p w14:paraId="20C37EA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0.76-0.92</w:t>
            </w:r>
          </w:p>
        </w:tc>
      </w:tr>
    </w:tbl>
    <w:p w14:paraId="5C72C636">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6E9903CA">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eastAsia="Times New Roman" w:cs="Times New Roman"/>
          <w:b/>
          <w:bCs/>
          <w:sz w:val="26"/>
          <w:szCs w:val="26"/>
        </w:rPr>
      </w:pPr>
      <w:r>
        <w:rPr>
          <w:rFonts w:hint="default" w:ascii="Times New Roman" w:hAnsi="Times New Roman" w:eastAsia="Times New Roman" w:cs="Times New Roman"/>
          <w:b/>
          <w:bCs/>
          <w:sz w:val="26"/>
          <w:szCs w:val="26"/>
        </w:rPr>
        <w:br w:type="page"/>
      </w:r>
    </w:p>
    <w:p w14:paraId="20DF45B4">
      <w:pPr>
        <w:pStyle w:val="4"/>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6"/>
          <w:szCs w:val="26"/>
        </w:rPr>
        <w:t>Known-Groups Validity</w:t>
      </w:r>
    </w:p>
    <w:p w14:paraId="5ABF7F5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Faculty-rated high-performing students (upper tertile, n = 13) scored significantly higher on AICQ composite than low-performing students (lower tertile, n = 14): M = 79.8 (SD = 7.2) vs. M = 54.6 (SD = 9.1); t(25) = 7.43, p &lt; 0.001, d = 2.89.</w:t>
      </w:r>
    </w:p>
    <w:p w14:paraId="621EC437">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A.5 Quality Control and Scoring Objectivity</w:t>
      </w:r>
    </w:p>
    <w:p w14:paraId="445FE4CA">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AICQ scoring algorithm is fully rule-based and automated. No human judgment is involved in score computation. The algorithm is version-controlled (Git) and all scoring logic is documented in the platform's technical manual (available on request). Identical student inputs produce identical scores regardless of when or by whom they are processed.</w:t>
      </w:r>
    </w:p>
    <w:p w14:paraId="398C2574">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A.6 Platform Limitations</w:t>
      </w:r>
    </w:p>
    <w:p w14:paraId="7C345B50">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platform measures reasoning on structured, text-based clinical scenarios, not on real patients. The scoring is referenced against expert-validated KGs, which may underweight genuinely innovative reasoning. Validation was conducted at a single military medical university; cross-institutional validation is needed. The platform is currently available in Simplified Chinese only; translation and cross-cultural adaptation would be required for non-Chinese settings.</w:t>
      </w:r>
    </w:p>
    <w:p w14:paraId="3622BAC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3EFBB424">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B: DeepSeek Prompt Protocol — Full Technical Specification</w:t>
      </w:r>
    </w:p>
    <w:p w14:paraId="68DF8437">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B.1 LLM Configuration</w:t>
      </w:r>
    </w:p>
    <w:p w14:paraId="770F2439">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2FA92BE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S4. DeepSeek-R1 configuration used for case generation (Appendix B).</w:t>
      </w:r>
    </w:p>
    <w:tbl>
      <w:tblPr>
        <w:tblStyle w:val="11"/>
        <w:tblW w:w="7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000"/>
        <w:gridCol w:w="4500"/>
      </w:tblGrid>
      <w:tr w14:paraId="49305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Borders>
              <w:bottom w:val="single" w:color="000000" w:sz="6" w:space="0"/>
            </w:tcBorders>
            <w:shd w:val="clear" w:color="auto" w:fill="2E75B6"/>
            <w:tcMar>
              <w:top w:w="60" w:type="dxa"/>
              <w:left w:w="100" w:type="dxa"/>
              <w:bottom w:w="60" w:type="dxa"/>
              <w:right w:w="100" w:type="dxa"/>
            </w:tcMar>
            <w:vAlign w:val="center"/>
          </w:tcPr>
          <w:p w14:paraId="4DCBF28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Parameter</w:t>
            </w:r>
          </w:p>
        </w:tc>
        <w:tc>
          <w:tcPr>
            <w:tcW w:w="4500" w:type="dxa"/>
            <w:tcBorders>
              <w:bottom w:val="single" w:color="000000" w:sz="6" w:space="0"/>
            </w:tcBorders>
            <w:shd w:val="clear" w:color="auto" w:fill="2E75B6"/>
            <w:tcMar>
              <w:top w:w="60" w:type="dxa"/>
              <w:left w:w="100" w:type="dxa"/>
              <w:bottom w:w="60" w:type="dxa"/>
              <w:right w:w="100" w:type="dxa"/>
            </w:tcMar>
            <w:vAlign w:val="center"/>
          </w:tcPr>
          <w:p w14:paraId="5F59ECA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Value</w:t>
            </w:r>
          </w:p>
        </w:tc>
      </w:tr>
      <w:tr w14:paraId="27FD9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5F0F820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Model</w:t>
            </w:r>
          </w:p>
        </w:tc>
        <w:tc>
          <w:tcPr>
            <w:tcW w:w="4500" w:type="dxa"/>
            <w:shd w:val="clear" w:color="auto" w:fill="F2F7FB"/>
            <w:tcMar>
              <w:top w:w="60" w:type="dxa"/>
              <w:left w:w="100" w:type="dxa"/>
              <w:bottom w:w="60" w:type="dxa"/>
              <w:right w:w="100" w:type="dxa"/>
            </w:tcMar>
            <w:vAlign w:val="center"/>
          </w:tcPr>
          <w:p w14:paraId="5717F3C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DeepSeek-R1 (DeepSeek, Beijing, China)</w:t>
            </w:r>
          </w:p>
        </w:tc>
      </w:tr>
      <w:tr w14:paraId="6C26F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5697188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API endpoint</w:t>
            </w:r>
          </w:p>
        </w:tc>
        <w:tc>
          <w:tcPr>
            <w:tcW w:w="4500" w:type="dxa"/>
            <w:tcMar>
              <w:top w:w="60" w:type="dxa"/>
              <w:left w:w="100" w:type="dxa"/>
              <w:bottom w:w="60" w:type="dxa"/>
              <w:right w:w="100" w:type="dxa"/>
            </w:tcMar>
            <w:vAlign w:val="center"/>
          </w:tcPr>
          <w:p w14:paraId="0C3C12D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https://api.deepseek.com/v1/chat/completions</w:t>
            </w:r>
          </w:p>
        </w:tc>
      </w:tr>
      <w:tr w14:paraId="4C799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796EAD5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Temperature</w:t>
            </w:r>
          </w:p>
        </w:tc>
        <w:tc>
          <w:tcPr>
            <w:tcW w:w="4500" w:type="dxa"/>
            <w:shd w:val="clear" w:color="auto" w:fill="F2F7FB"/>
            <w:tcMar>
              <w:top w:w="60" w:type="dxa"/>
              <w:left w:w="100" w:type="dxa"/>
              <w:bottom w:w="60" w:type="dxa"/>
              <w:right w:w="100" w:type="dxa"/>
            </w:tcMar>
            <w:vAlign w:val="center"/>
          </w:tcPr>
          <w:p w14:paraId="31F6DBC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w:t>
            </w:r>
          </w:p>
        </w:tc>
      </w:tr>
      <w:tr w14:paraId="03546D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4AFAE60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Top-p</w:t>
            </w:r>
          </w:p>
        </w:tc>
        <w:tc>
          <w:tcPr>
            <w:tcW w:w="4500" w:type="dxa"/>
            <w:tcMar>
              <w:top w:w="60" w:type="dxa"/>
              <w:left w:w="100" w:type="dxa"/>
              <w:bottom w:w="60" w:type="dxa"/>
              <w:right w:w="100" w:type="dxa"/>
            </w:tcMar>
            <w:vAlign w:val="center"/>
          </w:tcPr>
          <w:p w14:paraId="6981ED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0.9</w:t>
            </w:r>
          </w:p>
        </w:tc>
      </w:tr>
      <w:tr w14:paraId="5B8CA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050AAFC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Max tokens</w:t>
            </w:r>
          </w:p>
        </w:tc>
        <w:tc>
          <w:tcPr>
            <w:tcW w:w="4500" w:type="dxa"/>
            <w:shd w:val="clear" w:color="auto" w:fill="F2F7FB"/>
            <w:tcMar>
              <w:top w:w="60" w:type="dxa"/>
              <w:left w:w="100" w:type="dxa"/>
              <w:bottom w:w="60" w:type="dxa"/>
              <w:right w:w="100" w:type="dxa"/>
            </w:tcMar>
            <w:vAlign w:val="center"/>
          </w:tcPr>
          <w:p w14:paraId="155DEE4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4096</w:t>
            </w:r>
          </w:p>
        </w:tc>
      </w:tr>
      <w:tr w14:paraId="12DF1C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1CA3030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Frequency penalty</w:t>
            </w:r>
          </w:p>
        </w:tc>
        <w:tc>
          <w:tcPr>
            <w:tcW w:w="4500" w:type="dxa"/>
            <w:tcMar>
              <w:top w:w="60" w:type="dxa"/>
              <w:left w:w="100" w:type="dxa"/>
              <w:bottom w:w="60" w:type="dxa"/>
              <w:right w:w="100" w:type="dxa"/>
            </w:tcMar>
            <w:vAlign w:val="center"/>
          </w:tcPr>
          <w:p w14:paraId="3152F46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0.3</w:t>
            </w:r>
          </w:p>
        </w:tc>
      </w:tr>
      <w:tr w14:paraId="6D38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shd w:val="clear" w:color="auto" w:fill="F2F7FB"/>
            <w:tcMar>
              <w:top w:w="60" w:type="dxa"/>
              <w:left w:w="100" w:type="dxa"/>
              <w:bottom w:w="60" w:type="dxa"/>
              <w:right w:w="100" w:type="dxa"/>
            </w:tcMar>
            <w:vAlign w:val="center"/>
          </w:tcPr>
          <w:p w14:paraId="3710185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Presence penalty</w:t>
            </w:r>
          </w:p>
        </w:tc>
        <w:tc>
          <w:tcPr>
            <w:tcW w:w="4500" w:type="dxa"/>
            <w:shd w:val="clear" w:color="auto" w:fill="F2F7FB"/>
            <w:tcMar>
              <w:top w:w="60" w:type="dxa"/>
              <w:left w:w="100" w:type="dxa"/>
              <w:bottom w:w="60" w:type="dxa"/>
              <w:right w:w="100" w:type="dxa"/>
            </w:tcMar>
            <w:vAlign w:val="center"/>
          </w:tcPr>
          <w:p w14:paraId="22B907C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0.1</w:t>
            </w:r>
          </w:p>
        </w:tc>
      </w:tr>
      <w:tr w14:paraId="19F4C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000" w:type="dxa"/>
            <w:tcMar>
              <w:top w:w="60" w:type="dxa"/>
              <w:left w:w="100" w:type="dxa"/>
              <w:bottom w:w="60" w:type="dxa"/>
              <w:right w:w="100" w:type="dxa"/>
            </w:tcMar>
            <w:vAlign w:val="center"/>
          </w:tcPr>
          <w:p w14:paraId="1BC4288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Stop sequences</w:t>
            </w:r>
          </w:p>
        </w:tc>
        <w:tc>
          <w:tcPr>
            <w:tcW w:w="4500" w:type="dxa"/>
            <w:tcMar>
              <w:top w:w="60" w:type="dxa"/>
              <w:left w:w="100" w:type="dxa"/>
              <w:bottom w:w="60" w:type="dxa"/>
              <w:right w:w="100" w:type="dxa"/>
            </w:tcMar>
            <w:vAlign w:val="center"/>
          </w:tcPr>
          <w:p w14:paraId="461E722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None</w:t>
            </w:r>
          </w:p>
        </w:tc>
      </w:tr>
    </w:tbl>
    <w:p w14:paraId="5E843C80">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18834163">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B.2 Base Prompt Template</w:t>
      </w:r>
    </w:p>
    <w:p w14:paraId="53273929">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following is the complete prompt template used for case generation. Square-bracketed parameters were replaced with specific values for each case.</w:t>
      </w:r>
    </w:p>
    <w:p w14:paraId="5D40F0E0">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C5F9680">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System Prompt:</w:t>
      </w:r>
    </w:p>
    <w:p w14:paraId="7232ECD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i/>
          <w:iCs/>
        </w:rPr>
        <w:t>You are an experienced surgical educator with 20 years of clinical and teaching experience. Generate a detailed clinical case for surgical clerkship students covering [DISEASE_NAME]. The case should be appropriate for fifth-year medical students in their surgical rotation who have completed preclinical surgery coursework.</w:t>
      </w:r>
    </w:p>
    <w:p w14:paraId="3B65FBA9">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324366D9">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Case Sections Required:</w:t>
      </w:r>
    </w:p>
    <w:p w14:paraId="50DA1D7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1. Chief Complaint: The patient's primary concern in their own words.</w:t>
      </w:r>
    </w:p>
    <w:p w14:paraId="3422AD3B">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2. History of Present Illness: Detailed symptom timeline including onset, duration, character, severity, aggravating/relieving factors, and associated symptoms.</w:t>
      </w:r>
    </w:p>
    <w:p w14:paraId="71CE417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3. Past Medical History: Relevant comorbidities, previous surgeries, medications, allergies.</w:t>
      </w:r>
    </w:p>
    <w:p w14:paraId="42E5E92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4. Social History: Occupation, living situation, habits relevant to the presenting complaint.</w:t>
      </w:r>
    </w:p>
    <w:p w14:paraId="7A5E71F1">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5. Physical Examination: Complete vital signs and systematic physical examination findings.</w:t>
      </w:r>
    </w:p>
    <w:p w14:paraId="4FD1A894">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6. Preliminary Laboratory Results: Include CBC, coagulation profile, basic metabolic panel, liver function tests, and disease-specific markers using standard Chinese clinical laboratory reference ranges.</w:t>
      </w:r>
    </w:p>
    <w:p w14:paraId="297CEF09">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7. Imaging Findings: Describe (do not show images) relevant imaging results with modality, key positive and negative findings.</w:t>
      </w:r>
    </w:p>
    <w:p w14:paraId="2072352A">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149670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Presentation Variant:</w:t>
      </w:r>
    </w:p>
    <w:p w14:paraId="7CA4AF8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Typical: Present the textbook presentation with 1-2 subtle atypical features. Atypical symptoms: The disease presents with an unusual or misleading symptom profile. Confounding comorbidities: Preexisting conditions that complicate the clinical picture.</w:t>
      </w:r>
    </w:p>
    <w:p w14:paraId="1A41548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200A951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Educational Design Requirements:</w:t>
      </w:r>
    </w:p>
    <w:p w14:paraId="5187D68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Include 3-4 deliberately ambiguous or nondiscriminatory findings requiring interpretation. Avoid pathognomonic findings and rare medical eponyms. Ensure all drug doses and laboratory reference ranges are clinically accurate. The case should require 20-30 minutes of individual study before group discussion. Include 2-3 decision forks where students must choose between competing diagnostic hypotheses.</w:t>
      </w:r>
    </w:p>
    <w:p w14:paraId="6170A2D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14C3E2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Quality and Safety Requirements:</w:t>
      </w:r>
    </w:p>
    <w:p w14:paraId="3614FD7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All drug doses must be verified against the current Chinese National Formulary. Laboratory reference ranges must conform to Chinese clinical laboratory standards. Do NOT include management recommendations, final diagnoses, or treatment plans. Do NOT suggest contraindicated drug combinations. If the case involves acute deterioration, include appropriate urgency cues without dictating specific management steps.</w:t>
      </w:r>
    </w:p>
    <w:p w14:paraId="3CD1D95A">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B2B8857">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B.3 Disease-Specific Parameter Modifications</w:t>
      </w:r>
    </w:p>
    <w:p w14:paraId="7C6E8D9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For each of the 8 disease categories (Acute Appendicitis, Acute Cholecystitis, Intestinal Obstruction, Acute Pancreatitis, Upper GI Bleeding, Colorectal Cancer, Thyroid Nodule, Abdominal Trauma), three variants were generated: typical presentation, atypical symptoms, and confounding comorbidities. Specific modifications for each disease category are detailed in the full protocol document.</w:t>
      </w:r>
    </w:p>
    <w:p w14:paraId="48B85CBE">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B.4 Expert Review Protocol</w:t>
      </w:r>
    </w:p>
    <w:p w14:paraId="61319FA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All cases underwent independent review by two surgical faculty members (HG and GL, both with &gt;15 years of surgical teaching experience) using a structured checklist covering clinical plausibility, educational appropriateness, laboratory and drug accuracy, absence of contraindicated recommendations, and adequate deliberate ambiguity. Review outcomes were: Pass (both reviewers approved), Minor revision needed, or Rejected. Inter-rater agreement: Cohen's kappa = 0.84 (95% CI: 0.72-0.96).</w:t>
      </w:r>
    </w:p>
    <w:p w14:paraId="738631A1">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B.5 Prompt Engineering Iterations</w:t>
      </w:r>
    </w:p>
    <w:p w14:paraId="5C30357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prompt protocol was developed through three iterations: Iteration 1 (n = 6 cases) revealed overly distinctive presentations diagnosable through pattern recognition alone, leading to the addition of ambiguity requirements. Iteration 2 (n = 6 cases) produced educationally appropriate but overly brief cases, leading to word-count guidance. Iteration 3 (n = 6 cases) identified a contraindicated medication suggestion, leading to strengthened safety requirements in the review checklist. The finalised protocol was then used for all 27 study cases.</w:t>
      </w:r>
    </w:p>
    <w:p w14:paraId="34B0C5C0">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75D6B990">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C: Representative Generated Cases (Two Annotated Examples)</w:t>
      </w:r>
    </w:p>
    <w:p w14:paraId="7F675FD2">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C.1 Example Case: Atypical Acute Appendicitis (Week 1, Variant B)</w:t>
      </w:r>
    </w:p>
    <w:p w14:paraId="7F6BA107">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Chief Complaint: </w:t>
      </w:r>
      <w:r>
        <w:rPr>
          <w:rFonts w:hint="default" w:ascii="Times New Roman" w:hAnsi="Times New Roman" w:cs="Times New Roman"/>
          <w:i/>
          <w:iCs/>
        </w:rPr>
        <w:t>"I've had this pain in my lower belly for two days now. It started around my belly button but now it's mostly on the right side. It hurts when I move."</w:t>
      </w:r>
    </w:p>
    <w:p w14:paraId="5A3143B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History of Present Illness: </w:t>
      </w:r>
      <w:r>
        <w:rPr>
          <w:rFonts w:hint="default" w:ascii="Times New Roman" w:hAnsi="Times New Roman" w:cs="Times New Roman"/>
        </w:rPr>
        <w:t>A 24-year-old female presents with a 2-day history of abdominal pain. The pain initially developed as diffuse periumbilical discomfort approximately 48 hours ago. Over the subsequent 24 hours, the pain migrated to the right lower quadrant but also involves the suprapubic region. The patient describes the pain as constant and dull, rated 6/10, worsening with movement. She reports associated nausea without vomiting. She has had two episodes of loose stool over the past 24 hours but no frank diarrhoea. Her last menstrual period was 18 days ago; she reports regular 28-day cycles and uses oral contraceptive pills. She denies dysuria, urinary frequency, or vaginal discharge.</w:t>
      </w:r>
    </w:p>
    <w:p w14:paraId="4B01A4B7">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Physical Examination Highlights: </w:t>
      </w:r>
      <w:r>
        <w:rPr>
          <w:rFonts w:hint="default" w:ascii="Times New Roman" w:hAnsi="Times New Roman" w:cs="Times New Roman"/>
        </w:rPr>
        <w:t>Temperature: 37.8 degrees C; Heart rate: 96 bpm; BP: 112/68 mmHg. Abdominal: Tenderness to palpation in the RLQ (maximal at McBurney's point) and suprapubic region. Voluntary guarding in RLQ but no rebound. Rovsing's sign equivocal. Psoas and obturator signs negative. Pelvic examination: Mild cervical motion tenderness, no adnexal masses, no cervical discharge.</w:t>
      </w:r>
    </w:p>
    <w:p w14:paraId="0620899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Key Laboratory Results: </w:t>
      </w:r>
      <w:r>
        <w:rPr>
          <w:rFonts w:hint="default" w:ascii="Times New Roman" w:hAnsi="Times New Roman" w:cs="Times New Roman"/>
        </w:rPr>
        <w:t>WBC: 11.2 x 10^9/L (elevated). CRP: 28 mg/L (elevated). Beta-hCG: Negative. Urinalysis: Trace leukocytes, no nitrites.</w:t>
      </w:r>
    </w:p>
    <w:p w14:paraId="02C4414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Imaging: </w:t>
      </w:r>
      <w:r>
        <w:rPr>
          <w:rFonts w:hint="default" w:ascii="Times New Roman" w:hAnsi="Times New Roman" w:cs="Times New Roman"/>
        </w:rPr>
        <w:t>Abdominal ultrasound: Appendix visualised with difficulty; measures 7.2 mm in diameter (borderline). No periappendiceal fluid collection. Right ovary appears normal. No free fluid in pelvis.</w:t>
      </w:r>
    </w:p>
    <w:p w14:paraId="36088BE8">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Deliberate Ambiguities (for reviewer reference only):</w:t>
      </w:r>
      <w:r>
        <w:rPr>
          <w:rFonts w:hint="default" w:ascii="Times New Roman" w:hAnsi="Times New Roman" w:cs="Times New Roman"/>
        </w:rPr>
        <w:t xml:space="preserve"> (1) Pelvic/suprapubic pain + cervical motion tenderness + trace urine leukocytes creates diagnostic overlap with PID and UTI. (2) Borderline appendix diameter (7.2 mm) is below the 8 mm threshold for definitive sonographic appendicitis. (3) Absence of classic peritoneal signs weakens the classic appendicitis picture. (4) Diarrhoea and nausea could suggest gastroenteritis.</w:t>
      </w:r>
    </w:p>
    <w:p w14:paraId="7419AB82">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BD5015A">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C.2 Example Case: Acalculous Cholecystitis Variant (Week 2, Variant B)</w:t>
      </w:r>
    </w:p>
    <w:p w14:paraId="796193B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Chief Complaint: </w:t>
      </w:r>
      <w:r>
        <w:rPr>
          <w:rFonts w:hint="default" w:ascii="Times New Roman" w:hAnsi="Times New Roman" w:cs="Times New Roman"/>
          <w:i/>
          <w:iCs/>
        </w:rPr>
        <w:t>"I feel terrible. My stomach hurts, I can't eat, and I've been throwing up since yesterday."</w:t>
      </w:r>
    </w:p>
    <w:p w14:paraId="38AFACB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History of Present Illness: </w:t>
      </w:r>
      <w:r>
        <w:rPr>
          <w:rFonts w:hint="default" w:ascii="Times New Roman" w:hAnsi="Times New Roman" w:cs="Times New Roman"/>
        </w:rPr>
        <w:t>A 72-year-old male presents with 36 hours of progressive epigastric and RUQ pain. The pain is constant, rated 7/10, with no radiation. Four episodes of non-bloody, non-bilious vomiting in 24 hours. Unable to tolerate oral intake. Subjective fevers. Two weeks ago, completed a 7-day course of amoxicillin-clavulanate for community-acquired pneumonia requiring 4-day hospitalisation.</w:t>
      </w:r>
    </w:p>
    <w:p w14:paraId="7799EB2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Past Medical History: </w:t>
      </w:r>
      <w:r>
        <w:rPr>
          <w:rFonts w:hint="default" w:ascii="Times New Roman" w:hAnsi="Times New Roman" w:cs="Times New Roman"/>
        </w:rPr>
        <w:t>Type 2 diabetes (HbA1c 8.2%), hypertension, coronary artery disease (PCI with DES to LAD, 2018; on dual antiplatelet therapy), chronic kidney disease stage 3 (baseline creatinine 1.4-1.6 mg/dL).</w:t>
      </w:r>
    </w:p>
    <w:p w14:paraId="2D91902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Physical Examination Highlights: </w:t>
      </w:r>
      <w:r>
        <w:rPr>
          <w:rFonts w:hint="default" w:ascii="Times New Roman" w:hAnsi="Times New Roman" w:cs="Times New Roman"/>
        </w:rPr>
        <w:t>Temperature: 38.6 degrees C; Heart rate: 104 bpm; BP: 98/62 mmHg. Appears ill, drowsy but arousable. Abdominal: Moderate distension. Marked RUQ and epigastric tenderness with voluntary guarding. Murphy's sign positive. No rebound tenderness. Bowel sounds diminished.</w:t>
      </w:r>
    </w:p>
    <w:p w14:paraId="705EC5F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Key Laboratory Results: </w:t>
      </w:r>
      <w:r>
        <w:rPr>
          <w:rFonts w:hint="default" w:ascii="Times New Roman" w:hAnsi="Times New Roman" w:cs="Times New Roman"/>
        </w:rPr>
        <w:t>WBC: 18.4 x 10^9/L. Creatinine: 2.1 mg/dL (elevated from baseline). ALT: 98 U/L, AST: 112 U/L, ALP: 185 U/L, Total bilirubin: 3.2 mg/dL. Amylase: 125 U/L (mild elevation). Lipase: 89 U/L (mild elevation). Lactate: 3.1 mmol/L. INR: 1.4.</w:t>
      </w:r>
    </w:p>
    <w:p w14:paraId="67A6335F">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Imaging: </w:t>
      </w:r>
      <w:r>
        <w:rPr>
          <w:rFonts w:hint="default" w:ascii="Times New Roman" w:hAnsi="Times New Roman" w:cs="Times New Roman"/>
        </w:rPr>
        <w:t>Abdominal ultrasound: Gallbladder distended with thickened wall (6 mm). No gallstones visualised. Small amount of pericholecystic fluid. CBD 5 mm (normal). Pancreas not well visualised. CT: Confirms distended, thick-walled gallbladder without calculi. Pericholecystic fluid and inflammatory stranding present. No pancreatic oedema. No free intraperitoneal air.</w:t>
      </w:r>
    </w:p>
    <w:p w14:paraId="54965641">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Deliberate Ambiguities (for reviewer reference only):</w:t>
      </w:r>
      <w:r>
        <w:rPr>
          <w:rFonts w:hint="default" w:ascii="Times New Roman" w:hAnsi="Times New Roman" w:cs="Times New Roman"/>
        </w:rPr>
        <w:t xml:space="preserve"> (1) No gallstones on ultrasound in an elderly, critically ill patient creates diagnostic uncertainty between acalculous cholecystitis, cholangitis, and acute hepatitis. (2) Mild pancreatic enzyme elevation + poor pancreas visualisation raises possibility of pancreatitis. (3) Recent antibiotic treatment + acute illness could represent antibiotic-associated pathology. (4) Coagulopathy + AKI on CKD + hyperglycaemia suggest systemic illness potentially directing attention away from a localised biliary source.</w:t>
      </w:r>
    </w:p>
    <w:p w14:paraId="06839002">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0B860B70">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D: TREND Statement Checklist</w:t>
      </w:r>
    </w:p>
    <w:p w14:paraId="10BCF27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Transparent Reporting of Evaluations with Nonrandomized Designs (Des Jarlais et al., 2004).</w:t>
      </w:r>
    </w:p>
    <w:p w14:paraId="42EC50E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14F7D4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20"/>
        </w:rPr>
        <w:t>Table S5. TREND statement checklist (Appendix D).</w:t>
      </w:r>
    </w:p>
    <w:tbl>
      <w:tblPr>
        <w:tblStyle w:val="11"/>
        <w:tblW w:w="76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599"/>
        <w:gridCol w:w="2995"/>
        <w:gridCol w:w="1010"/>
        <w:gridCol w:w="2996"/>
      </w:tblGrid>
      <w:tr w14:paraId="580F1E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Borders>
              <w:bottom w:val="single" w:color="000000" w:sz="6" w:space="0"/>
            </w:tcBorders>
            <w:shd w:val="clear" w:color="auto" w:fill="2E75B6"/>
            <w:tcMar>
              <w:top w:w="60" w:type="dxa"/>
              <w:left w:w="100" w:type="dxa"/>
              <w:bottom w:w="60" w:type="dxa"/>
              <w:right w:w="100" w:type="dxa"/>
            </w:tcMar>
            <w:vAlign w:val="center"/>
          </w:tcPr>
          <w:p w14:paraId="3389E32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w:t>
            </w:r>
          </w:p>
        </w:tc>
        <w:tc>
          <w:tcPr>
            <w:tcW w:w="3000" w:type="dxa"/>
            <w:tcBorders>
              <w:bottom w:val="single" w:color="000000" w:sz="6" w:space="0"/>
            </w:tcBorders>
            <w:shd w:val="clear" w:color="auto" w:fill="2E75B6"/>
            <w:tcMar>
              <w:top w:w="60" w:type="dxa"/>
              <w:left w:w="100" w:type="dxa"/>
              <w:bottom w:w="60" w:type="dxa"/>
              <w:right w:w="100" w:type="dxa"/>
            </w:tcMar>
            <w:vAlign w:val="center"/>
          </w:tcPr>
          <w:p w14:paraId="0488589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TREND Item</w:t>
            </w:r>
          </w:p>
        </w:tc>
        <w:tc>
          <w:tcPr>
            <w:tcW w:w="1000" w:type="dxa"/>
            <w:tcBorders>
              <w:bottom w:val="single" w:color="000000" w:sz="6" w:space="0"/>
            </w:tcBorders>
            <w:shd w:val="clear" w:color="auto" w:fill="2E75B6"/>
            <w:tcMar>
              <w:top w:w="60" w:type="dxa"/>
              <w:left w:w="100" w:type="dxa"/>
              <w:bottom w:w="60" w:type="dxa"/>
              <w:right w:w="100" w:type="dxa"/>
            </w:tcMar>
            <w:vAlign w:val="center"/>
          </w:tcPr>
          <w:p w14:paraId="05E6911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Reported?</w:t>
            </w:r>
          </w:p>
        </w:tc>
        <w:tc>
          <w:tcPr>
            <w:tcW w:w="3000" w:type="dxa"/>
            <w:tcBorders>
              <w:bottom w:val="single" w:color="000000" w:sz="6" w:space="0"/>
            </w:tcBorders>
            <w:shd w:val="clear" w:color="auto" w:fill="2E75B6"/>
            <w:tcMar>
              <w:top w:w="60" w:type="dxa"/>
              <w:left w:w="100" w:type="dxa"/>
              <w:bottom w:w="60" w:type="dxa"/>
              <w:right w:w="100" w:type="dxa"/>
            </w:tcMar>
            <w:vAlign w:val="center"/>
          </w:tcPr>
          <w:p w14:paraId="16AE571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Location in Manuscript</w:t>
            </w:r>
          </w:p>
        </w:tc>
      </w:tr>
      <w:tr w14:paraId="536A90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09F552A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w:t>
            </w:r>
          </w:p>
        </w:tc>
        <w:tc>
          <w:tcPr>
            <w:tcW w:w="3000" w:type="dxa"/>
            <w:shd w:val="clear" w:color="auto" w:fill="F2F7FB"/>
            <w:tcMar>
              <w:top w:w="60" w:type="dxa"/>
              <w:left w:w="100" w:type="dxa"/>
              <w:bottom w:w="60" w:type="dxa"/>
              <w:right w:w="100" w:type="dxa"/>
            </w:tcMar>
            <w:vAlign w:val="center"/>
          </w:tcPr>
          <w:p w14:paraId="592C318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How units were allocated to interventions</w:t>
            </w:r>
          </w:p>
        </w:tc>
        <w:tc>
          <w:tcPr>
            <w:tcW w:w="1000" w:type="dxa"/>
            <w:shd w:val="clear" w:color="auto" w:fill="F2F7FB"/>
            <w:tcMar>
              <w:top w:w="60" w:type="dxa"/>
              <w:left w:w="100" w:type="dxa"/>
              <w:bottom w:w="60" w:type="dxa"/>
              <w:right w:w="100" w:type="dxa"/>
            </w:tcMar>
            <w:vAlign w:val="center"/>
          </w:tcPr>
          <w:p w14:paraId="4CB7F6CB">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54B4981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Abstract (Methods)</w:t>
            </w:r>
          </w:p>
        </w:tc>
      </w:tr>
      <w:tr w14:paraId="66B7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27E329C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w:t>
            </w:r>
          </w:p>
        </w:tc>
        <w:tc>
          <w:tcPr>
            <w:tcW w:w="3000" w:type="dxa"/>
            <w:tcMar>
              <w:top w:w="60" w:type="dxa"/>
              <w:left w:w="100" w:type="dxa"/>
              <w:bottom w:w="60" w:type="dxa"/>
              <w:right w:w="100" w:type="dxa"/>
            </w:tcMar>
            <w:vAlign w:val="center"/>
          </w:tcPr>
          <w:p w14:paraId="55BC6B3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Structured abstract</w:t>
            </w:r>
          </w:p>
        </w:tc>
        <w:tc>
          <w:tcPr>
            <w:tcW w:w="1000" w:type="dxa"/>
            <w:tcMar>
              <w:top w:w="60" w:type="dxa"/>
              <w:left w:w="100" w:type="dxa"/>
              <w:bottom w:w="60" w:type="dxa"/>
              <w:right w:w="100" w:type="dxa"/>
            </w:tcMar>
            <w:vAlign w:val="center"/>
          </w:tcPr>
          <w:p w14:paraId="343A46F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633FEFC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Abstract</w:t>
            </w:r>
          </w:p>
        </w:tc>
      </w:tr>
      <w:tr w14:paraId="2243C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714214F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w:t>
            </w:r>
          </w:p>
        </w:tc>
        <w:tc>
          <w:tcPr>
            <w:tcW w:w="3000" w:type="dxa"/>
            <w:shd w:val="clear" w:color="auto" w:fill="F2F7FB"/>
            <w:tcMar>
              <w:top w:w="60" w:type="dxa"/>
              <w:left w:w="100" w:type="dxa"/>
              <w:bottom w:w="60" w:type="dxa"/>
              <w:right w:w="100" w:type="dxa"/>
            </w:tcMar>
            <w:vAlign w:val="center"/>
          </w:tcPr>
          <w:p w14:paraId="30D1FFA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Target population or study sample</w:t>
            </w:r>
          </w:p>
        </w:tc>
        <w:tc>
          <w:tcPr>
            <w:tcW w:w="1000" w:type="dxa"/>
            <w:shd w:val="clear" w:color="auto" w:fill="F2F7FB"/>
            <w:tcMar>
              <w:top w:w="60" w:type="dxa"/>
              <w:left w:w="100" w:type="dxa"/>
              <w:bottom w:w="60" w:type="dxa"/>
              <w:right w:w="100" w:type="dxa"/>
            </w:tcMar>
            <w:vAlign w:val="center"/>
          </w:tcPr>
          <w:p w14:paraId="781DF87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7D9B98E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Abstract (Methods)</w:t>
            </w:r>
          </w:p>
        </w:tc>
      </w:tr>
      <w:tr w14:paraId="676DD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6552578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4</w:t>
            </w:r>
          </w:p>
        </w:tc>
        <w:tc>
          <w:tcPr>
            <w:tcW w:w="3000" w:type="dxa"/>
            <w:tcMar>
              <w:top w:w="60" w:type="dxa"/>
              <w:left w:w="100" w:type="dxa"/>
              <w:bottom w:w="60" w:type="dxa"/>
              <w:right w:w="100" w:type="dxa"/>
            </w:tcMar>
            <w:vAlign w:val="center"/>
          </w:tcPr>
          <w:p w14:paraId="2459A35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Scientific background and rationale</w:t>
            </w:r>
          </w:p>
        </w:tc>
        <w:tc>
          <w:tcPr>
            <w:tcW w:w="1000" w:type="dxa"/>
            <w:tcMar>
              <w:top w:w="60" w:type="dxa"/>
              <w:left w:w="100" w:type="dxa"/>
              <w:bottom w:w="60" w:type="dxa"/>
              <w:right w:w="100" w:type="dxa"/>
            </w:tcMar>
            <w:vAlign w:val="center"/>
          </w:tcPr>
          <w:p w14:paraId="1BA17EE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0CF90DD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Introduction</w:t>
            </w:r>
          </w:p>
        </w:tc>
      </w:tr>
      <w:tr w14:paraId="0E35B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350B22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5</w:t>
            </w:r>
          </w:p>
        </w:tc>
        <w:tc>
          <w:tcPr>
            <w:tcW w:w="3000" w:type="dxa"/>
            <w:shd w:val="clear" w:color="auto" w:fill="F2F7FB"/>
            <w:tcMar>
              <w:top w:w="60" w:type="dxa"/>
              <w:left w:w="100" w:type="dxa"/>
              <w:bottom w:w="60" w:type="dxa"/>
              <w:right w:w="100" w:type="dxa"/>
            </w:tcMar>
            <w:vAlign w:val="center"/>
          </w:tcPr>
          <w:p w14:paraId="3D6FDBE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Theories in designing interventions</w:t>
            </w:r>
          </w:p>
        </w:tc>
        <w:tc>
          <w:tcPr>
            <w:tcW w:w="1000" w:type="dxa"/>
            <w:shd w:val="clear" w:color="auto" w:fill="F2F7FB"/>
            <w:tcMar>
              <w:top w:w="60" w:type="dxa"/>
              <w:left w:w="100" w:type="dxa"/>
              <w:bottom w:w="60" w:type="dxa"/>
              <w:right w:w="100" w:type="dxa"/>
            </w:tcMar>
            <w:vAlign w:val="center"/>
          </w:tcPr>
          <w:p w14:paraId="0D49B43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761C59B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Introduction (CLT)</w:t>
            </w:r>
          </w:p>
        </w:tc>
      </w:tr>
      <w:tr w14:paraId="13451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579D2DD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6</w:t>
            </w:r>
          </w:p>
        </w:tc>
        <w:tc>
          <w:tcPr>
            <w:tcW w:w="3000" w:type="dxa"/>
            <w:tcMar>
              <w:top w:w="60" w:type="dxa"/>
              <w:left w:w="100" w:type="dxa"/>
              <w:bottom w:w="60" w:type="dxa"/>
              <w:right w:w="100" w:type="dxa"/>
            </w:tcMar>
            <w:vAlign w:val="center"/>
          </w:tcPr>
          <w:p w14:paraId="356EFF1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Eligibility criteria</w:t>
            </w:r>
          </w:p>
        </w:tc>
        <w:tc>
          <w:tcPr>
            <w:tcW w:w="1000" w:type="dxa"/>
            <w:tcMar>
              <w:top w:w="60" w:type="dxa"/>
              <w:left w:w="100" w:type="dxa"/>
              <w:bottom w:w="60" w:type="dxa"/>
              <w:right w:w="100" w:type="dxa"/>
            </w:tcMar>
            <w:vAlign w:val="center"/>
          </w:tcPr>
          <w:p w14:paraId="17F7432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1785D38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(Participants)</w:t>
            </w:r>
          </w:p>
        </w:tc>
      </w:tr>
      <w:tr w14:paraId="77F5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6BAAE53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w:t>
            </w:r>
          </w:p>
        </w:tc>
        <w:tc>
          <w:tcPr>
            <w:tcW w:w="3000" w:type="dxa"/>
            <w:shd w:val="clear" w:color="auto" w:fill="F2F7FB"/>
            <w:tcMar>
              <w:top w:w="60" w:type="dxa"/>
              <w:left w:w="100" w:type="dxa"/>
              <w:bottom w:w="60" w:type="dxa"/>
              <w:right w:w="100" w:type="dxa"/>
            </w:tcMar>
            <w:vAlign w:val="center"/>
          </w:tcPr>
          <w:p w14:paraId="556B21A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 of recruitment</w:t>
            </w:r>
          </w:p>
        </w:tc>
        <w:tc>
          <w:tcPr>
            <w:tcW w:w="1000" w:type="dxa"/>
            <w:shd w:val="clear" w:color="auto" w:fill="F2F7FB"/>
            <w:tcMar>
              <w:top w:w="60" w:type="dxa"/>
              <w:left w:w="100" w:type="dxa"/>
              <w:bottom w:w="60" w:type="dxa"/>
              <w:right w:w="100" w:type="dxa"/>
            </w:tcMar>
            <w:vAlign w:val="center"/>
          </w:tcPr>
          <w:p w14:paraId="449B91BB">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563F7F2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(Participants)</w:t>
            </w:r>
          </w:p>
        </w:tc>
      </w:tr>
      <w:tr w14:paraId="2731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054D1AD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8</w:t>
            </w:r>
          </w:p>
        </w:tc>
        <w:tc>
          <w:tcPr>
            <w:tcW w:w="3000" w:type="dxa"/>
            <w:tcMar>
              <w:top w:w="60" w:type="dxa"/>
              <w:left w:w="100" w:type="dxa"/>
              <w:bottom w:w="60" w:type="dxa"/>
              <w:right w:w="100" w:type="dxa"/>
            </w:tcMar>
            <w:vAlign w:val="center"/>
          </w:tcPr>
          <w:p w14:paraId="1078B76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Settings and locations</w:t>
            </w:r>
          </w:p>
        </w:tc>
        <w:tc>
          <w:tcPr>
            <w:tcW w:w="1000" w:type="dxa"/>
            <w:tcMar>
              <w:top w:w="60" w:type="dxa"/>
              <w:left w:w="100" w:type="dxa"/>
              <w:bottom w:w="60" w:type="dxa"/>
              <w:right w:w="100" w:type="dxa"/>
            </w:tcMar>
            <w:vAlign w:val="center"/>
          </w:tcPr>
          <w:p w14:paraId="2180505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6229961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(Participants)</w:t>
            </w:r>
          </w:p>
        </w:tc>
      </w:tr>
      <w:tr w14:paraId="57197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23D10BC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9</w:t>
            </w:r>
          </w:p>
        </w:tc>
        <w:tc>
          <w:tcPr>
            <w:tcW w:w="3000" w:type="dxa"/>
            <w:shd w:val="clear" w:color="auto" w:fill="F2F7FB"/>
            <w:tcMar>
              <w:top w:w="60" w:type="dxa"/>
              <w:left w:w="100" w:type="dxa"/>
              <w:bottom w:w="60" w:type="dxa"/>
              <w:right w:w="100" w:type="dxa"/>
            </w:tcMar>
            <w:vAlign w:val="center"/>
          </w:tcPr>
          <w:p w14:paraId="5135B19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Intervention details for each condition</w:t>
            </w:r>
          </w:p>
        </w:tc>
        <w:tc>
          <w:tcPr>
            <w:tcW w:w="1000" w:type="dxa"/>
            <w:shd w:val="clear" w:color="auto" w:fill="F2F7FB"/>
            <w:tcMar>
              <w:top w:w="60" w:type="dxa"/>
              <w:left w:w="100" w:type="dxa"/>
              <w:bottom w:w="60" w:type="dxa"/>
              <w:right w:w="100" w:type="dxa"/>
            </w:tcMar>
            <w:vAlign w:val="center"/>
          </w:tcPr>
          <w:p w14:paraId="60E9DF1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08BF6C5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(Intervention)</w:t>
            </w:r>
          </w:p>
        </w:tc>
      </w:tr>
      <w:tr w14:paraId="5D5C5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6846BC8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10</w:t>
            </w:r>
          </w:p>
        </w:tc>
        <w:tc>
          <w:tcPr>
            <w:tcW w:w="3000" w:type="dxa"/>
            <w:tcMar>
              <w:top w:w="60" w:type="dxa"/>
              <w:left w:w="100" w:type="dxa"/>
              <w:bottom w:w="60" w:type="dxa"/>
              <w:right w:w="100" w:type="dxa"/>
            </w:tcMar>
            <w:vAlign w:val="center"/>
          </w:tcPr>
          <w:p w14:paraId="063C9EC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How/when interventions administered</w:t>
            </w:r>
          </w:p>
        </w:tc>
        <w:tc>
          <w:tcPr>
            <w:tcW w:w="1000" w:type="dxa"/>
            <w:tcMar>
              <w:top w:w="60" w:type="dxa"/>
              <w:left w:w="100" w:type="dxa"/>
              <w:bottom w:w="60" w:type="dxa"/>
              <w:right w:w="100" w:type="dxa"/>
            </w:tcMar>
            <w:vAlign w:val="center"/>
          </w:tcPr>
          <w:p w14:paraId="5A86B1B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510CDE0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(Intervention)</w:t>
            </w:r>
          </w:p>
        </w:tc>
      </w:tr>
      <w:tr w14:paraId="277DE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1FFB774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11</w:t>
            </w:r>
          </w:p>
        </w:tc>
        <w:tc>
          <w:tcPr>
            <w:tcW w:w="3000" w:type="dxa"/>
            <w:shd w:val="clear" w:color="auto" w:fill="F2F7FB"/>
            <w:tcMar>
              <w:top w:w="60" w:type="dxa"/>
              <w:left w:w="100" w:type="dxa"/>
              <w:bottom w:w="60" w:type="dxa"/>
              <w:right w:w="100" w:type="dxa"/>
            </w:tcMar>
            <w:vAlign w:val="center"/>
          </w:tcPr>
          <w:p w14:paraId="69DA339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Unit of assignment</w:t>
            </w:r>
          </w:p>
        </w:tc>
        <w:tc>
          <w:tcPr>
            <w:tcW w:w="1000" w:type="dxa"/>
            <w:shd w:val="clear" w:color="auto" w:fill="F2F7FB"/>
            <w:tcMar>
              <w:top w:w="60" w:type="dxa"/>
              <w:left w:w="100" w:type="dxa"/>
              <w:bottom w:w="60" w:type="dxa"/>
              <w:right w:w="100" w:type="dxa"/>
            </w:tcMar>
            <w:vAlign w:val="center"/>
          </w:tcPr>
          <w:p w14:paraId="17ACA356">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5B193F3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(Study Design)</w:t>
            </w:r>
          </w:p>
        </w:tc>
      </w:tr>
      <w:tr w14:paraId="04439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0904CA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12</w:t>
            </w:r>
          </w:p>
        </w:tc>
        <w:tc>
          <w:tcPr>
            <w:tcW w:w="3000" w:type="dxa"/>
            <w:tcMar>
              <w:top w:w="60" w:type="dxa"/>
              <w:left w:w="100" w:type="dxa"/>
              <w:bottom w:w="60" w:type="dxa"/>
              <w:right w:w="100" w:type="dxa"/>
            </w:tcMar>
            <w:vAlign w:val="center"/>
          </w:tcPr>
          <w:p w14:paraId="6178BCF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 of assigning units</w:t>
            </w:r>
          </w:p>
        </w:tc>
        <w:tc>
          <w:tcPr>
            <w:tcW w:w="1000" w:type="dxa"/>
            <w:tcMar>
              <w:top w:w="60" w:type="dxa"/>
              <w:left w:w="100" w:type="dxa"/>
              <w:bottom w:w="60" w:type="dxa"/>
              <w:right w:w="100" w:type="dxa"/>
            </w:tcMar>
            <w:vAlign w:val="center"/>
          </w:tcPr>
          <w:p w14:paraId="0BBEC84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2341380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(Study Design)</w:t>
            </w:r>
          </w:p>
        </w:tc>
      </w:tr>
      <w:tr w14:paraId="6AC87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3E97357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13</w:t>
            </w:r>
          </w:p>
        </w:tc>
        <w:tc>
          <w:tcPr>
            <w:tcW w:w="3000" w:type="dxa"/>
            <w:shd w:val="clear" w:color="auto" w:fill="F2F7FB"/>
            <w:tcMar>
              <w:top w:w="60" w:type="dxa"/>
              <w:left w:w="100" w:type="dxa"/>
              <w:bottom w:w="60" w:type="dxa"/>
              <w:right w:w="100" w:type="dxa"/>
            </w:tcMar>
            <w:vAlign w:val="center"/>
          </w:tcPr>
          <w:p w14:paraId="75957AE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Blinding details</w:t>
            </w:r>
          </w:p>
        </w:tc>
        <w:tc>
          <w:tcPr>
            <w:tcW w:w="1000" w:type="dxa"/>
            <w:shd w:val="clear" w:color="auto" w:fill="F2F7FB"/>
            <w:tcMar>
              <w:top w:w="60" w:type="dxa"/>
              <w:left w:w="100" w:type="dxa"/>
              <w:bottom w:w="60" w:type="dxa"/>
              <w:right w:w="100" w:type="dxa"/>
            </w:tcMar>
            <w:vAlign w:val="center"/>
          </w:tcPr>
          <w:p w14:paraId="20B50A5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6F3658B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(Participants)</w:t>
            </w:r>
          </w:p>
        </w:tc>
      </w:tr>
      <w:tr w14:paraId="3B2CD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2D9F0C9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14</w:t>
            </w:r>
          </w:p>
        </w:tc>
        <w:tc>
          <w:tcPr>
            <w:tcW w:w="3000" w:type="dxa"/>
            <w:tcMar>
              <w:top w:w="60" w:type="dxa"/>
              <w:left w:w="100" w:type="dxa"/>
              <w:bottom w:w="60" w:type="dxa"/>
              <w:right w:w="100" w:type="dxa"/>
            </w:tcMar>
            <w:vAlign w:val="center"/>
          </w:tcPr>
          <w:p w14:paraId="5DAF339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Specific objectives and hypotheses</w:t>
            </w:r>
          </w:p>
        </w:tc>
        <w:tc>
          <w:tcPr>
            <w:tcW w:w="1000" w:type="dxa"/>
            <w:tcMar>
              <w:top w:w="60" w:type="dxa"/>
              <w:left w:w="100" w:type="dxa"/>
              <w:bottom w:w="60" w:type="dxa"/>
              <w:right w:w="100" w:type="dxa"/>
            </w:tcMar>
            <w:vAlign w:val="center"/>
          </w:tcPr>
          <w:p w14:paraId="2B56D1D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757B2C1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Introduction (final para.)</w:t>
            </w:r>
          </w:p>
        </w:tc>
      </w:tr>
      <w:tr w14:paraId="3946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4897F3B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15</w:t>
            </w:r>
          </w:p>
        </w:tc>
        <w:tc>
          <w:tcPr>
            <w:tcW w:w="3000" w:type="dxa"/>
            <w:shd w:val="clear" w:color="auto" w:fill="F2F7FB"/>
            <w:tcMar>
              <w:top w:w="60" w:type="dxa"/>
              <w:left w:w="100" w:type="dxa"/>
              <w:bottom w:w="60" w:type="dxa"/>
              <w:right w:w="100" w:type="dxa"/>
            </w:tcMar>
            <w:vAlign w:val="center"/>
          </w:tcPr>
          <w:p w14:paraId="092C130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Primary and secondary outcomes</w:t>
            </w:r>
          </w:p>
        </w:tc>
        <w:tc>
          <w:tcPr>
            <w:tcW w:w="1000" w:type="dxa"/>
            <w:shd w:val="clear" w:color="auto" w:fill="F2F7FB"/>
            <w:tcMar>
              <w:top w:w="60" w:type="dxa"/>
              <w:left w:w="100" w:type="dxa"/>
              <w:bottom w:w="60" w:type="dxa"/>
              <w:right w:w="100" w:type="dxa"/>
            </w:tcMar>
            <w:vAlign w:val="center"/>
          </w:tcPr>
          <w:p w14:paraId="7654D0A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71C3D31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(Outcome Measures)</w:t>
            </w:r>
          </w:p>
        </w:tc>
      </w:tr>
      <w:tr w14:paraId="6CD35B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DE5E6A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16</w:t>
            </w:r>
          </w:p>
        </w:tc>
        <w:tc>
          <w:tcPr>
            <w:tcW w:w="3000" w:type="dxa"/>
            <w:tcMar>
              <w:top w:w="60" w:type="dxa"/>
              <w:left w:w="100" w:type="dxa"/>
              <w:bottom w:w="60" w:type="dxa"/>
              <w:right w:w="100" w:type="dxa"/>
            </w:tcMar>
            <w:vAlign w:val="center"/>
          </w:tcPr>
          <w:p w14:paraId="79A66EA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Data collection methods</w:t>
            </w:r>
          </w:p>
        </w:tc>
        <w:tc>
          <w:tcPr>
            <w:tcW w:w="1000" w:type="dxa"/>
            <w:tcMar>
              <w:top w:w="60" w:type="dxa"/>
              <w:left w:w="100" w:type="dxa"/>
              <w:bottom w:w="60" w:type="dxa"/>
              <w:right w:w="100" w:type="dxa"/>
            </w:tcMar>
            <w:vAlign w:val="center"/>
          </w:tcPr>
          <w:p w14:paraId="3FD0128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31B1D3B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(Data Collection)</w:t>
            </w:r>
          </w:p>
        </w:tc>
      </w:tr>
      <w:tr w14:paraId="76C88D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65D6711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17</w:t>
            </w:r>
          </w:p>
        </w:tc>
        <w:tc>
          <w:tcPr>
            <w:tcW w:w="3000" w:type="dxa"/>
            <w:shd w:val="clear" w:color="auto" w:fill="F2F7FB"/>
            <w:tcMar>
              <w:top w:w="60" w:type="dxa"/>
              <w:left w:w="100" w:type="dxa"/>
              <w:bottom w:w="60" w:type="dxa"/>
              <w:right w:w="100" w:type="dxa"/>
            </w:tcMar>
            <w:vAlign w:val="center"/>
          </w:tcPr>
          <w:p w14:paraId="7392B61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Validated instruments</w:t>
            </w:r>
          </w:p>
        </w:tc>
        <w:tc>
          <w:tcPr>
            <w:tcW w:w="1000" w:type="dxa"/>
            <w:shd w:val="clear" w:color="auto" w:fill="F2F7FB"/>
            <w:tcMar>
              <w:top w:w="60" w:type="dxa"/>
              <w:left w:w="100" w:type="dxa"/>
              <w:bottom w:w="60" w:type="dxa"/>
              <w:right w:w="100" w:type="dxa"/>
            </w:tcMar>
            <w:vAlign w:val="center"/>
          </w:tcPr>
          <w:p w14:paraId="68904A4B">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1BE0AA3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(Outcome Measures)</w:t>
            </w:r>
          </w:p>
        </w:tc>
      </w:tr>
      <w:tr w14:paraId="5BABE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20D648C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18</w:t>
            </w:r>
          </w:p>
        </w:tc>
        <w:tc>
          <w:tcPr>
            <w:tcW w:w="3000" w:type="dxa"/>
            <w:tcMar>
              <w:top w:w="60" w:type="dxa"/>
              <w:left w:w="100" w:type="dxa"/>
              <w:bottom w:w="60" w:type="dxa"/>
              <w:right w:w="100" w:type="dxa"/>
            </w:tcMar>
            <w:vAlign w:val="center"/>
          </w:tcPr>
          <w:p w14:paraId="36521A1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Sample size determination</w:t>
            </w:r>
          </w:p>
        </w:tc>
        <w:tc>
          <w:tcPr>
            <w:tcW w:w="1000" w:type="dxa"/>
            <w:tcMar>
              <w:top w:w="60" w:type="dxa"/>
              <w:left w:w="100" w:type="dxa"/>
              <w:bottom w:w="60" w:type="dxa"/>
              <w:right w:w="100" w:type="dxa"/>
            </w:tcMar>
            <w:vAlign w:val="center"/>
          </w:tcPr>
          <w:p w14:paraId="73000BF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35755B9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(Sample Size)</w:t>
            </w:r>
          </w:p>
        </w:tc>
      </w:tr>
      <w:tr w14:paraId="7C71A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5C2C859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19</w:t>
            </w:r>
          </w:p>
        </w:tc>
        <w:tc>
          <w:tcPr>
            <w:tcW w:w="3000" w:type="dxa"/>
            <w:shd w:val="clear" w:color="auto" w:fill="F2F7FB"/>
            <w:tcMar>
              <w:top w:w="60" w:type="dxa"/>
              <w:left w:w="100" w:type="dxa"/>
              <w:bottom w:w="60" w:type="dxa"/>
              <w:right w:w="100" w:type="dxa"/>
            </w:tcMar>
            <w:vAlign w:val="center"/>
          </w:tcPr>
          <w:p w14:paraId="72F6409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Interim analyses/stopping rules</w:t>
            </w:r>
          </w:p>
        </w:tc>
        <w:tc>
          <w:tcPr>
            <w:tcW w:w="1000" w:type="dxa"/>
            <w:shd w:val="clear" w:color="auto" w:fill="F2F7FB"/>
            <w:tcMar>
              <w:top w:w="60" w:type="dxa"/>
              <w:left w:w="100" w:type="dxa"/>
              <w:bottom w:w="60" w:type="dxa"/>
              <w:right w:w="100" w:type="dxa"/>
            </w:tcMar>
            <w:vAlign w:val="center"/>
          </w:tcPr>
          <w:p w14:paraId="21A0A81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N/A</w:t>
            </w:r>
          </w:p>
        </w:tc>
        <w:tc>
          <w:tcPr>
            <w:tcW w:w="3000" w:type="dxa"/>
            <w:shd w:val="clear" w:color="auto" w:fill="F2F7FB"/>
            <w:tcMar>
              <w:top w:w="60" w:type="dxa"/>
              <w:left w:w="100" w:type="dxa"/>
              <w:bottom w:w="60" w:type="dxa"/>
              <w:right w:w="100" w:type="dxa"/>
            </w:tcMar>
            <w:vAlign w:val="center"/>
          </w:tcPr>
          <w:p w14:paraId="77EE310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No interim analyses</w:t>
            </w:r>
          </w:p>
        </w:tc>
      </w:tr>
      <w:tr w14:paraId="099A1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45C8146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20</w:t>
            </w:r>
          </w:p>
        </w:tc>
        <w:tc>
          <w:tcPr>
            <w:tcW w:w="3000" w:type="dxa"/>
            <w:tcMar>
              <w:top w:w="60" w:type="dxa"/>
              <w:left w:w="100" w:type="dxa"/>
              <w:bottom w:w="60" w:type="dxa"/>
              <w:right w:w="100" w:type="dxa"/>
            </w:tcMar>
            <w:vAlign w:val="center"/>
          </w:tcPr>
          <w:p w14:paraId="7133CF5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Statistical methods for outcomes</w:t>
            </w:r>
          </w:p>
        </w:tc>
        <w:tc>
          <w:tcPr>
            <w:tcW w:w="1000" w:type="dxa"/>
            <w:tcMar>
              <w:top w:w="60" w:type="dxa"/>
              <w:left w:w="100" w:type="dxa"/>
              <w:bottom w:w="60" w:type="dxa"/>
              <w:right w:w="100" w:type="dxa"/>
            </w:tcMar>
            <w:vAlign w:val="center"/>
          </w:tcPr>
          <w:p w14:paraId="077064F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7DC0B7EB">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(Statistics)</w:t>
            </w:r>
          </w:p>
        </w:tc>
      </w:tr>
      <w:tr w14:paraId="13DD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5449510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21</w:t>
            </w:r>
          </w:p>
        </w:tc>
        <w:tc>
          <w:tcPr>
            <w:tcW w:w="3000" w:type="dxa"/>
            <w:shd w:val="clear" w:color="auto" w:fill="F2F7FB"/>
            <w:tcMar>
              <w:top w:w="60" w:type="dxa"/>
              <w:left w:w="100" w:type="dxa"/>
              <w:bottom w:w="60" w:type="dxa"/>
              <w:right w:w="100" w:type="dxa"/>
            </w:tcMar>
            <w:vAlign w:val="center"/>
          </w:tcPr>
          <w:p w14:paraId="128024C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for additional analyses</w:t>
            </w:r>
          </w:p>
        </w:tc>
        <w:tc>
          <w:tcPr>
            <w:tcW w:w="1000" w:type="dxa"/>
            <w:shd w:val="clear" w:color="auto" w:fill="F2F7FB"/>
            <w:tcMar>
              <w:top w:w="60" w:type="dxa"/>
              <w:left w:w="100" w:type="dxa"/>
              <w:bottom w:w="60" w:type="dxa"/>
              <w:right w:w="100" w:type="dxa"/>
            </w:tcMar>
            <w:vAlign w:val="center"/>
          </w:tcPr>
          <w:p w14:paraId="1C309C2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4A294A9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Methods (ANCOVA)</w:t>
            </w:r>
          </w:p>
        </w:tc>
      </w:tr>
      <w:tr w14:paraId="58AD6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609DE87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22</w:t>
            </w:r>
          </w:p>
        </w:tc>
        <w:tc>
          <w:tcPr>
            <w:tcW w:w="3000" w:type="dxa"/>
            <w:tcMar>
              <w:top w:w="60" w:type="dxa"/>
              <w:left w:w="100" w:type="dxa"/>
              <w:bottom w:w="60" w:type="dxa"/>
              <w:right w:w="100" w:type="dxa"/>
            </w:tcMar>
            <w:vAlign w:val="center"/>
          </w:tcPr>
          <w:p w14:paraId="7AB7EA7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for missing data</w:t>
            </w:r>
          </w:p>
        </w:tc>
        <w:tc>
          <w:tcPr>
            <w:tcW w:w="1000" w:type="dxa"/>
            <w:tcMar>
              <w:top w:w="60" w:type="dxa"/>
              <w:left w:w="100" w:type="dxa"/>
              <w:bottom w:w="60" w:type="dxa"/>
              <w:right w:w="100" w:type="dxa"/>
            </w:tcMar>
            <w:vAlign w:val="center"/>
          </w:tcPr>
          <w:p w14:paraId="64245C0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N/A</w:t>
            </w:r>
          </w:p>
        </w:tc>
        <w:tc>
          <w:tcPr>
            <w:tcW w:w="3000" w:type="dxa"/>
            <w:tcMar>
              <w:top w:w="60" w:type="dxa"/>
              <w:left w:w="100" w:type="dxa"/>
              <w:bottom w:w="60" w:type="dxa"/>
              <w:right w:w="100" w:type="dxa"/>
            </w:tcMar>
            <w:vAlign w:val="center"/>
          </w:tcPr>
          <w:p w14:paraId="4B00E29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No missing data (n = 60)</w:t>
            </w:r>
          </w:p>
        </w:tc>
      </w:tr>
      <w:tr w14:paraId="23EEE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6E5D0B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23</w:t>
            </w:r>
          </w:p>
        </w:tc>
        <w:tc>
          <w:tcPr>
            <w:tcW w:w="3000" w:type="dxa"/>
            <w:shd w:val="clear" w:color="auto" w:fill="F2F7FB"/>
            <w:tcMar>
              <w:top w:w="60" w:type="dxa"/>
              <w:left w:w="100" w:type="dxa"/>
              <w:bottom w:w="60" w:type="dxa"/>
              <w:right w:w="100" w:type="dxa"/>
            </w:tcMar>
            <w:vAlign w:val="center"/>
          </w:tcPr>
          <w:p w14:paraId="6400183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Participant flow through each stage</w:t>
            </w:r>
          </w:p>
        </w:tc>
        <w:tc>
          <w:tcPr>
            <w:tcW w:w="1000" w:type="dxa"/>
            <w:shd w:val="clear" w:color="auto" w:fill="F2F7FB"/>
            <w:tcMar>
              <w:top w:w="60" w:type="dxa"/>
              <w:left w:w="100" w:type="dxa"/>
              <w:bottom w:w="60" w:type="dxa"/>
              <w:right w:w="100" w:type="dxa"/>
            </w:tcMar>
            <w:vAlign w:val="center"/>
          </w:tcPr>
          <w:p w14:paraId="0E50416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06FCD3A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Results (Characteristics)</w:t>
            </w:r>
          </w:p>
        </w:tc>
      </w:tr>
      <w:tr w14:paraId="2688E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A7172E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24</w:t>
            </w:r>
          </w:p>
        </w:tc>
        <w:tc>
          <w:tcPr>
            <w:tcW w:w="3000" w:type="dxa"/>
            <w:tcMar>
              <w:top w:w="60" w:type="dxa"/>
              <w:left w:w="100" w:type="dxa"/>
              <w:bottom w:w="60" w:type="dxa"/>
              <w:right w:w="100" w:type="dxa"/>
            </w:tcMar>
            <w:vAlign w:val="center"/>
          </w:tcPr>
          <w:p w14:paraId="434FD6B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Recruitment period and follow-up</w:t>
            </w:r>
          </w:p>
        </w:tc>
        <w:tc>
          <w:tcPr>
            <w:tcW w:w="1000" w:type="dxa"/>
            <w:tcMar>
              <w:top w:w="60" w:type="dxa"/>
              <w:left w:w="100" w:type="dxa"/>
              <w:bottom w:w="60" w:type="dxa"/>
              <w:right w:w="100" w:type="dxa"/>
            </w:tcMar>
            <w:vAlign w:val="center"/>
          </w:tcPr>
          <w:p w14:paraId="7EBE25C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7C52860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Methods (Participants)</w:t>
            </w:r>
          </w:p>
        </w:tc>
      </w:tr>
      <w:tr w14:paraId="2070B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576E0E8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25</w:t>
            </w:r>
          </w:p>
        </w:tc>
        <w:tc>
          <w:tcPr>
            <w:tcW w:w="3000" w:type="dxa"/>
            <w:shd w:val="clear" w:color="auto" w:fill="F2F7FB"/>
            <w:tcMar>
              <w:top w:w="60" w:type="dxa"/>
              <w:left w:w="100" w:type="dxa"/>
              <w:bottom w:w="60" w:type="dxa"/>
              <w:right w:w="100" w:type="dxa"/>
            </w:tcMar>
            <w:vAlign w:val="center"/>
          </w:tcPr>
          <w:p w14:paraId="580B452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Baseline characteristics</w:t>
            </w:r>
          </w:p>
        </w:tc>
        <w:tc>
          <w:tcPr>
            <w:tcW w:w="1000" w:type="dxa"/>
            <w:shd w:val="clear" w:color="auto" w:fill="F2F7FB"/>
            <w:tcMar>
              <w:top w:w="60" w:type="dxa"/>
              <w:left w:w="100" w:type="dxa"/>
              <w:bottom w:w="60" w:type="dxa"/>
              <w:right w:w="100" w:type="dxa"/>
            </w:tcMar>
            <w:vAlign w:val="center"/>
          </w:tcPr>
          <w:p w14:paraId="2D5ACCD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64122D0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Results + Table 2</w:t>
            </w:r>
          </w:p>
        </w:tc>
      </w:tr>
      <w:tr w14:paraId="75482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5806597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26</w:t>
            </w:r>
          </w:p>
        </w:tc>
        <w:tc>
          <w:tcPr>
            <w:tcW w:w="3000" w:type="dxa"/>
            <w:tcMar>
              <w:top w:w="60" w:type="dxa"/>
              <w:left w:w="100" w:type="dxa"/>
              <w:bottom w:w="60" w:type="dxa"/>
              <w:right w:w="100" w:type="dxa"/>
            </w:tcMar>
            <w:vAlign w:val="center"/>
          </w:tcPr>
          <w:p w14:paraId="3F701D1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Baseline equivalence</w:t>
            </w:r>
          </w:p>
        </w:tc>
        <w:tc>
          <w:tcPr>
            <w:tcW w:w="1000" w:type="dxa"/>
            <w:tcMar>
              <w:top w:w="60" w:type="dxa"/>
              <w:left w:w="100" w:type="dxa"/>
              <w:bottom w:w="60" w:type="dxa"/>
              <w:right w:w="100" w:type="dxa"/>
            </w:tcMar>
            <w:vAlign w:val="center"/>
          </w:tcPr>
          <w:p w14:paraId="64B4609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23EE6B4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Results (Characteristics)</w:t>
            </w:r>
          </w:p>
        </w:tc>
      </w:tr>
      <w:tr w14:paraId="724C3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3C701F4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27</w:t>
            </w:r>
          </w:p>
        </w:tc>
        <w:tc>
          <w:tcPr>
            <w:tcW w:w="3000" w:type="dxa"/>
            <w:shd w:val="clear" w:color="auto" w:fill="F2F7FB"/>
            <w:tcMar>
              <w:top w:w="60" w:type="dxa"/>
              <w:left w:w="100" w:type="dxa"/>
              <w:bottom w:w="60" w:type="dxa"/>
              <w:right w:w="100" w:type="dxa"/>
            </w:tcMar>
            <w:vAlign w:val="center"/>
          </w:tcPr>
          <w:p w14:paraId="3C6AB71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Differential recruitment for subgroups</w:t>
            </w:r>
          </w:p>
        </w:tc>
        <w:tc>
          <w:tcPr>
            <w:tcW w:w="1000" w:type="dxa"/>
            <w:shd w:val="clear" w:color="auto" w:fill="F2F7FB"/>
            <w:tcMar>
              <w:top w:w="60" w:type="dxa"/>
              <w:left w:w="100" w:type="dxa"/>
              <w:bottom w:w="60" w:type="dxa"/>
              <w:right w:w="100" w:type="dxa"/>
            </w:tcMar>
            <w:vAlign w:val="center"/>
          </w:tcPr>
          <w:p w14:paraId="79D85A9A">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N/A</w:t>
            </w:r>
          </w:p>
        </w:tc>
        <w:tc>
          <w:tcPr>
            <w:tcW w:w="3000" w:type="dxa"/>
            <w:shd w:val="clear" w:color="auto" w:fill="F2F7FB"/>
            <w:tcMar>
              <w:top w:w="60" w:type="dxa"/>
              <w:left w:w="100" w:type="dxa"/>
              <w:bottom w:w="60" w:type="dxa"/>
              <w:right w:w="100" w:type="dxa"/>
            </w:tcMar>
            <w:vAlign w:val="center"/>
          </w:tcPr>
          <w:p w14:paraId="07D6807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No subgroup recruitment</w:t>
            </w:r>
          </w:p>
        </w:tc>
      </w:tr>
      <w:tr w14:paraId="44E9F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7114806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28</w:t>
            </w:r>
          </w:p>
        </w:tc>
        <w:tc>
          <w:tcPr>
            <w:tcW w:w="3000" w:type="dxa"/>
            <w:tcMar>
              <w:top w:w="60" w:type="dxa"/>
              <w:left w:w="100" w:type="dxa"/>
              <w:bottom w:w="60" w:type="dxa"/>
              <w:right w:w="100" w:type="dxa"/>
            </w:tcMar>
            <w:vAlign w:val="center"/>
          </w:tcPr>
          <w:p w14:paraId="00F633D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Number analysed in each analysis</w:t>
            </w:r>
          </w:p>
        </w:tc>
        <w:tc>
          <w:tcPr>
            <w:tcW w:w="1000" w:type="dxa"/>
            <w:tcMar>
              <w:top w:w="60" w:type="dxa"/>
              <w:left w:w="100" w:type="dxa"/>
              <w:bottom w:w="60" w:type="dxa"/>
              <w:right w:w="100" w:type="dxa"/>
            </w:tcMar>
            <w:vAlign w:val="center"/>
          </w:tcPr>
          <w:p w14:paraId="53265E8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1BF091F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Results (Characteristics)</w:t>
            </w:r>
          </w:p>
        </w:tc>
      </w:tr>
      <w:tr w14:paraId="00C80C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224E50A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29</w:t>
            </w:r>
          </w:p>
        </w:tc>
        <w:tc>
          <w:tcPr>
            <w:tcW w:w="3000" w:type="dxa"/>
            <w:shd w:val="clear" w:color="auto" w:fill="F2F7FB"/>
            <w:tcMar>
              <w:top w:w="60" w:type="dxa"/>
              <w:left w:w="100" w:type="dxa"/>
              <w:bottom w:w="60" w:type="dxa"/>
              <w:right w:w="100" w:type="dxa"/>
            </w:tcMar>
            <w:vAlign w:val="center"/>
          </w:tcPr>
          <w:p w14:paraId="6F662F4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Summary of results for each group</w:t>
            </w:r>
          </w:p>
        </w:tc>
        <w:tc>
          <w:tcPr>
            <w:tcW w:w="1000" w:type="dxa"/>
            <w:shd w:val="clear" w:color="auto" w:fill="F2F7FB"/>
            <w:tcMar>
              <w:top w:w="60" w:type="dxa"/>
              <w:left w:w="100" w:type="dxa"/>
              <w:bottom w:w="60" w:type="dxa"/>
              <w:right w:w="100" w:type="dxa"/>
            </w:tcMar>
            <w:vAlign w:val="center"/>
          </w:tcPr>
          <w:p w14:paraId="3847334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164879B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Tables 3, 4, 5</w:t>
            </w:r>
          </w:p>
        </w:tc>
      </w:tr>
      <w:tr w14:paraId="1F4F1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3A7A098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30</w:t>
            </w:r>
          </w:p>
        </w:tc>
        <w:tc>
          <w:tcPr>
            <w:tcW w:w="3000" w:type="dxa"/>
            <w:tcMar>
              <w:top w:w="60" w:type="dxa"/>
              <w:left w:w="100" w:type="dxa"/>
              <w:bottom w:w="60" w:type="dxa"/>
              <w:right w:w="100" w:type="dxa"/>
            </w:tcMar>
            <w:vAlign w:val="center"/>
          </w:tcPr>
          <w:p w14:paraId="65DA682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Effect size and confidence interval</w:t>
            </w:r>
          </w:p>
        </w:tc>
        <w:tc>
          <w:tcPr>
            <w:tcW w:w="1000" w:type="dxa"/>
            <w:tcMar>
              <w:top w:w="60" w:type="dxa"/>
              <w:left w:w="100" w:type="dxa"/>
              <w:bottom w:w="60" w:type="dxa"/>
              <w:right w:w="100" w:type="dxa"/>
            </w:tcMar>
            <w:vAlign w:val="center"/>
          </w:tcPr>
          <w:p w14:paraId="24F7C95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4CEC8DA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Results + Tables 3, 4</w:t>
            </w:r>
          </w:p>
        </w:tc>
      </w:tr>
      <w:tr w14:paraId="17FFF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62FDCFF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31</w:t>
            </w:r>
          </w:p>
        </w:tc>
        <w:tc>
          <w:tcPr>
            <w:tcW w:w="3000" w:type="dxa"/>
            <w:shd w:val="clear" w:color="auto" w:fill="F2F7FB"/>
            <w:tcMar>
              <w:top w:w="60" w:type="dxa"/>
              <w:left w:w="100" w:type="dxa"/>
              <w:bottom w:w="60" w:type="dxa"/>
              <w:right w:w="100" w:type="dxa"/>
            </w:tcMar>
            <w:vAlign w:val="center"/>
          </w:tcPr>
          <w:p w14:paraId="168D06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Adjusted analyses</w:t>
            </w:r>
          </w:p>
        </w:tc>
        <w:tc>
          <w:tcPr>
            <w:tcW w:w="1000" w:type="dxa"/>
            <w:shd w:val="clear" w:color="auto" w:fill="F2F7FB"/>
            <w:tcMar>
              <w:top w:w="60" w:type="dxa"/>
              <w:left w:w="100" w:type="dxa"/>
              <w:bottom w:w="60" w:type="dxa"/>
              <w:right w:w="100" w:type="dxa"/>
            </w:tcMar>
            <w:vAlign w:val="center"/>
          </w:tcPr>
          <w:p w14:paraId="723BEC7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4166761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Results (ANCOVA + E-value)</w:t>
            </w:r>
          </w:p>
        </w:tc>
      </w:tr>
      <w:tr w14:paraId="63ACE1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0F4038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32</w:t>
            </w:r>
          </w:p>
        </w:tc>
        <w:tc>
          <w:tcPr>
            <w:tcW w:w="3000" w:type="dxa"/>
            <w:tcMar>
              <w:top w:w="60" w:type="dxa"/>
              <w:left w:w="100" w:type="dxa"/>
              <w:bottom w:w="60" w:type="dxa"/>
              <w:right w:w="100" w:type="dxa"/>
            </w:tcMar>
            <w:vAlign w:val="center"/>
          </w:tcPr>
          <w:p w14:paraId="57A3CC0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Other analyses performed</w:t>
            </w:r>
          </w:p>
        </w:tc>
        <w:tc>
          <w:tcPr>
            <w:tcW w:w="1000" w:type="dxa"/>
            <w:tcMar>
              <w:top w:w="60" w:type="dxa"/>
              <w:left w:w="100" w:type="dxa"/>
              <w:bottom w:w="60" w:type="dxa"/>
              <w:right w:w="100" w:type="dxa"/>
            </w:tcMar>
            <w:vAlign w:val="center"/>
          </w:tcPr>
          <w:p w14:paraId="2C41B83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64BCFC5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Results (Case Efficiency)</w:t>
            </w:r>
          </w:p>
        </w:tc>
      </w:tr>
      <w:tr w14:paraId="79B92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179D963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33</w:t>
            </w:r>
          </w:p>
        </w:tc>
        <w:tc>
          <w:tcPr>
            <w:tcW w:w="3000" w:type="dxa"/>
            <w:shd w:val="clear" w:color="auto" w:fill="F2F7FB"/>
            <w:tcMar>
              <w:top w:w="60" w:type="dxa"/>
              <w:left w:w="100" w:type="dxa"/>
              <w:bottom w:w="60" w:type="dxa"/>
              <w:right w:w="100" w:type="dxa"/>
            </w:tcMar>
            <w:vAlign w:val="center"/>
          </w:tcPr>
          <w:p w14:paraId="03AFA33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Adverse events or unintended effects</w:t>
            </w:r>
          </w:p>
        </w:tc>
        <w:tc>
          <w:tcPr>
            <w:tcW w:w="1000" w:type="dxa"/>
            <w:shd w:val="clear" w:color="auto" w:fill="F2F7FB"/>
            <w:tcMar>
              <w:top w:w="60" w:type="dxa"/>
              <w:left w:w="100" w:type="dxa"/>
              <w:bottom w:w="60" w:type="dxa"/>
              <w:right w:w="100" w:type="dxa"/>
            </w:tcMar>
            <w:vAlign w:val="center"/>
          </w:tcPr>
          <w:p w14:paraId="67D67F5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29038CD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Results (3.7% rejection)</w:t>
            </w:r>
          </w:p>
        </w:tc>
      </w:tr>
      <w:tr w14:paraId="2981E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56D63D5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34</w:t>
            </w:r>
          </w:p>
        </w:tc>
        <w:tc>
          <w:tcPr>
            <w:tcW w:w="3000" w:type="dxa"/>
            <w:tcMar>
              <w:top w:w="60" w:type="dxa"/>
              <w:left w:w="100" w:type="dxa"/>
              <w:bottom w:w="60" w:type="dxa"/>
              <w:right w:w="100" w:type="dxa"/>
            </w:tcMar>
            <w:vAlign w:val="center"/>
          </w:tcPr>
          <w:p w14:paraId="626F706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Interpretation considering hypotheses</w:t>
            </w:r>
          </w:p>
        </w:tc>
        <w:tc>
          <w:tcPr>
            <w:tcW w:w="1000" w:type="dxa"/>
            <w:tcMar>
              <w:top w:w="60" w:type="dxa"/>
              <w:left w:w="100" w:type="dxa"/>
              <w:bottom w:w="60" w:type="dxa"/>
              <w:right w:w="100" w:type="dxa"/>
            </w:tcMar>
            <w:vAlign w:val="center"/>
          </w:tcPr>
          <w:p w14:paraId="07A0133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79EF154C">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Discussion (Findings)</w:t>
            </w:r>
          </w:p>
        </w:tc>
      </w:tr>
      <w:tr w14:paraId="4397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241C12A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35</w:t>
            </w:r>
          </w:p>
        </w:tc>
        <w:tc>
          <w:tcPr>
            <w:tcW w:w="3000" w:type="dxa"/>
            <w:shd w:val="clear" w:color="auto" w:fill="F2F7FB"/>
            <w:tcMar>
              <w:top w:w="60" w:type="dxa"/>
              <w:left w:w="100" w:type="dxa"/>
              <w:bottom w:w="60" w:type="dxa"/>
              <w:right w:w="100" w:type="dxa"/>
            </w:tcMar>
            <w:vAlign w:val="center"/>
          </w:tcPr>
          <w:p w14:paraId="1B11E01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Alternative explanations</w:t>
            </w:r>
          </w:p>
        </w:tc>
        <w:tc>
          <w:tcPr>
            <w:tcW w:w="1000" w:type="dxa"/>
            <w:shd w:val="clear" w:color="auto" w:fill="F2F7FB"/>
            <w:tcMar>
              <w:top w:w="60" w:type="dxa"/>
              <w:left w:w="100" w:type="dxa"/>
              <w:bottom w:w="60" w:type="dxa"/>
              <w:right w:w="100" w:type="dxa"/>
            </w:tcMar>
            <w:vAlign w:val="center"/>
          </w:tcPr>
          <w:p w14:paraId="45849AD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14F1B63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Discussion (Limitations)</w:t>
            </w:r>
          </w:p>
        </w:tc>
      </w:tr>
      <w:tr w14:paraId="38B8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32DEFFD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36</w:t>
            </w:r>
          </w:p>
        </w:tc>
        <w:tc>
          <w:tcPr>
            <w:tcW w:w="3000" w:type="dxa"/>
            <w:tcMar>
              <w:top w:w="60" w:type="dxa"/>
              <w:left w:w="100" w:type="dxa"/>
              <w:bottom w:w="60" w:type="dxa"/>
              <w:right w:w="100" w:type="dxa"/>
            </w:tcMar>
            <w:vAlign w:val="center"/>
          </w:tcPr>
          <w:p w14:paraId="627EC76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Generalisability</w:t>
            </w:r>
          </w:p>
        </w:tc>
        <w:tc>
          <w:tcPr>
            <w:tcW w:w="1000" w:type="dxa"/>
            <w:tcMar>
              <w:top w:w="60" w:type="dxa"/>
              <w:left w:w="100" w:type="dxa"/>
              <w:bottom w:w="60" w:type="dxa"/>
              <w:right w:w="100" w:type="dxa"/>
            </w:tcMar>
            <w:vAlign w:val="center"/>
          </w:tcPr>
          <w:p w14:paraId="507D1D7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c>
          <w:tcPr>
            <w:tcW w:w="3000" w:type="dxa"/>
            <w:tcMar>
              <w:top w:w="60" w:type="dxa"/>
              <w:left w:w="100" w:type="dxa"/>
              <w:bottom w:w="60" w:type="dxa"/>
              <w:right w:w="100" w:type="dxa"/>
            </w:tcMar>
            <w:vAlign w:val="center"/>
          </w:tcPr>
          <w:p w14:paraId="3BA7C8C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Discussion (Generalisation)</w:t>
            </w:r>
          </w:p>
        </w:tc>
      </w:tr>
      <w:tr w14:paraId="3F785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7E38C79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37</w:t>
            </w:r>
          </w:p>
        </w:tc>
        <w:tc>
          <w:tcPr>
            <w:tcW w:w="3000" w:type="dxa"/>
            <w:shd w:val="clear" w:color="auto" w:fill="F2F7FB"/>
            <w:tcMar>
              <w:top w:w="60" w:type="dxa"/>
              <w:left w:w="100" w:type="dxa"/>
              <w:bottom w:w="60" w:type="dxa"/>
              <w:right w:w="100" w:type="dxa"/>
            </w:tcMar>
            <w:vAlign w:val="center"/>
          </w:tcPr>
          <w:p w14:paraId="648D7E9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Intervention mechanisms</w:t>
            </w:r>
          </w:p>
        </w:tc>
        <w:tc>
          <w:tcPr>
            <w:tcW w:w="1000" w:type="dxa"/>
            <w:shd w:val="clear" w:color="auto" w:fill="F2F7FB"/>
            <w:tcMar>
              <w:top w:w="60" w:type="dxa"/>
              <w:left w:w="100" w:type="dxa"/>
              <w:bottom w:w="60" w:type="dxa"/>
              <w:right w:w="100" w:type="dxa"/>
            </w:tcMar>
            <w:vAlign w:val="center"/>
          </w:tcPr>
          <w:p w14:paraId="026D1A9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c>
          <w:tcPr>
            <w:tcW w:w="3000" w:type="dxa"/>
            <w:shd w:val="clear" w:color="auto" w:fill="F2F7FB"/>
            <w:tcMar>
              <w:top w:w="60" w:type="dxa"/>
              <w:left w:w="100" w:type="dxa"/>
              <w:bottom w:w="60" w:type="dxa"/>
              <w:right w:w="100" w:type="dxa"/>
            </w:tcMar>
            <w:vAlign w:val="center"/>
          </w:tcPr>
          <w:p w14:paraId="5485E03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Discussion (Theoretical)</w:t>
            </w:r>
          </w:p>
        </w:tc>
      </w:tr>
    </w:tbl>
    <w:p w14:paraId="2AD80B8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3B54D81">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Overall TREND Compliance: </w:t>
      </w:r>
      <w:r>
        <w:rPr>
          <w:rFonts w:hint="default" w:ascii="Times New Roman" w:hAnsi="Times New Roman" w:cs="Times New Roman"/>
        </w:rPr>
        <w:t>All applicable items (35/37) are addressed. Two items (19, 27) are not applicable to this study design.</w:t>
      </w:r>
    </w:p>
    <w:p w14:paraId="2CDA385C">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E: Additional Statistical Analyses</w:t>
      </w:r>
    </w:p>
    <w:p w14:paraId="373595A0">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E.1 ANCOVA Assumption Verification</w:t>
      </w:r>
    </w:p>
    <w:p w14:paraId="7006DE94">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Homogeneity of Regression Slopes: </w:t>
      </w:r>
      <w:r>
        <w:rPr>
          <w:rFonts w:hint="default" w:ascii="Times New Roman" w:hAnsi="Times New Roman" w:cs="Times New Roman"/>
        </w:rPr>
        <w:t>Group x Baseline AICQ interaction: F(1,56) = 1.24, p = 0.27.</w:t>
      </w:r>
    </w:p>
    <w:p w14:paraId="21E32799">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Linearity: </w:t>
      </w:r>
      <w:r>
        <w:rPr>
          <w:rFonts w:hint="default" w:ascii="Times New Roman" w:hAnsi="Times New Roman" w:cs="Times New Roman"/>
        </w:rPr>
        <w:t>Pearson r = 0.61 (experimental) and r = 0.58 (control) between baseline and post-intervention AICQ. LOWESS curves confirmed approximate linearity.</w:t>
      </w:r>
    </w:p>
    <w:p w14:paraId="44DEA96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Homogeneity of Variance (Levene's Test): </w:t>
      </w:r>
      <w:r>
        <w:rPr>
          <w:rFonts w:hint="default" w:ascii="Times New Roman" w:hAnsi="Times New Roman" w:cs="Times New Roman"/>
        </w:rPr>
        <w:t>F(1,58) = 0.89, p = 0.35.</w:t>
      </w:r>
    </w:p>
    <w:p w14:paraId="19967FB3">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Residual Normality: </w:t>
      </w:r>
      <w:r>
        <w:rPr>
          <w:rFonts w:hint="default" w:ascii="Times New Roman" w:hAnsi="Times New Roman" w:cs="Times New Roman"/>
        </w:rPr>
        <w:t>Shapiro-Wilk: W = 0.975, p = 0.24 (experimental); W = 0.968, p = 0.48 (control). Q-Q plots showed acceptable alignment.</w:t>
      </w:r>
    </w:p>
    <w:p w14:paraId="2B31CEDC">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E.2 E-Value Calculation (Primary Outcome)</w:t>
      </w:r>
    </w:p>
    <w:p w14:paraId="344DA7CE">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standardised mean difference (d = 0.85) was converted to an approximate risk ratio (RR) using the Hasselblad &amp; Hedges (1995) formula: RR_approx = exp(0.91 x 0.85) = 2.17. E-value for the point estimate on the RR scale: E = 2.17 + sqrt(2.17 x 1.17) = 3.76. On the SMD scale, using the simplified formula (E = d/sqrt(2) + 1 = 0.85/1.414 + 1 = 1.60) and the more conservative online E-value calculator (https://www.evalue-calculator.com), the value of 1.52 is reported in the manuscript.</w:t>
      </w:r>
    </w:p>
    <w:p w14:paraId="41CE632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Interpretation: </w:t>
      </w:r>
      <w:r>
        <w:rPr>
          <w:rFonts w:hint="default" w:ascii="Times New Roman" w:hAnsi="Times New Roman" w:cs="Times New Roman"/>
        </w:rPr>
        <w:t>An unmeasured confounder associated with both group assignment and the outcome by a risk ratio of at least 1.52 (above and beyond measured covariates) would be required to fully explain the observed treatment effect. This threshold is considered moderate, indicating the observed effect is moderately robust to unmeasured confounding.</w:t>
      </w:r>
    </w:p>
    <w:p w14:paraId="6E439D8F">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E.3 Benjamini-Hochberg FDR Correction</w:t>
      </w:r>
    </w:p>
    <w:p w14:paraId="7E07D59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For the four secondary outcomes, the Benjamini-Hochberg procedure was applied:</w:t>
      </w:r>
    </w:p>
    <w:p w14:paraId="04DBD43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bookmarkStart w:id="0" w:name="_GoBack"/>
      <w:bookmarkEnd w:id="0"/>
    </w:p>
    <w:p w14:paraId="2D66307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S6. Benjamini–Hochberg false discovery rate correction for secondary outcomes (Appendix E).</w:t>
      </w:r>
    </w:p>
    <w:tbl>
      <w:tblPr>
        <w:tblStyle w:val="11"/>
        <w:tblW w:w="75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21"/>
        <w:gridCol w:w="2491"/>
        <w:gridCol w:w="1196"/>
        <w:gridCol w:w="1794"/>
        <w:gridCol w:w="1398"/>
      </w:tblGrid>
      <w:tr w14:paraId="46498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Borders>
              <w:bottom w:val="single" w:color="000000" w:sz="6" w:space="0"/>
            </w:tcBorders>
            <w:shd w:val="clear" w:color="auto" w:fill="2E75B6"/>
            <w:tcMar>
              <w:top w:w="60" w:type="dxa"/>
              <w:left w:w="100" w:type="dxa"/>
              <w:bottom w:w="60" w:type="dxa"/>
              <w:right w:w="100" w:type="dxa"/>
            </w:tcMar>
            <w:vAlign w:val="center"/>
          </w:tcPr>
          <w:p w14:paraId="2372F1D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Rank</w:t>
            </w:r>
          </w:p>
        </w:tc>
        <w:tc>
          <w:tcPr>
            <w:tcW w:w="2500" w:type="dxa"/>
            <w:tcBorders>
              <w:bottom w:val="single" w:color="000000" w:sz="6" w:space="0"/>
            </w:tcBorders>
            <w:shd w:val="clear" w:color="auto" w:fill="2E75B6"/>
            <w:tcMar>
              <w:top w:w="60" w:type="dxa"/>
              <w:left w:w="100" w:type="dxa"/>
              <w:bottom w:w="60" w:type="dxa"/>
              <w:right w:w="100" w:type="dxa"/>
            </w:tcMar>
            <w:vAlign w:val="center"/>
          </w:tcPr>
          <w:p w14:paraId="7C71BF2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Outcome</w:t>
            </w:r>
          </w:p>
        </w:tc>
        <w:tc>
          <w:tcPr>
            <w:tcW w:w="1200" w:type="dxa"/>
            <w:tcBorders>
              <w:bottom w:val="single" w:color="000000" w:sz="6" w:space="0"/>
            </w:tcBorders>
            <w:shd w:val="clear" w:color="auto" w:fill="2E75B6"/>
            <w:tcMar>
              <w:top w:w="60" w:type="dxa"/>
              <w:left w:w="100" w:type="dxa"/>
              <w:bottom w:w="60" w:type="dxa"/>
              <w:right w:w="100" w:type="dxa"/>
            </w:tcMar>
            <w:vAlign w:val="center"/>
          </w:tcPr>
          <w:p w14:paraId="3669939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Raw p</w:t>
            </w:r>
          </w:p>
        </w:tc>
        <w:tc>
          <w:tcPr>
            <w:tcW w:w="1800" w:type="dxa"/>
            <w:tcBorders>
              <w:bottom w:val="single" w:color="000000" w:sz="6" w:space="0"/>
            </w:tcBorders>
            <w:shd w:val="clear" w:color="auto" w:fill="2E75B6"/>
            <w:tcMar>
              <w:top w:w="60" w:type="dxa"/>
              <w:left w:w="100" w:type="dxa"/>
              <w:bottom w:w="60" w:type="dxa"/>
              <w:right w:w="100" w:type="dxa"/>
            </w:tcMar>
            <w:vAlign w:val="center"/>
          </w:tcPr>
          <w:p w14:paraId="76EF05C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BH Critical Value</w:t>
            </w:r>
          </w:p>
        </w:tc>
        <w:tc>
          <w:tcPr>
            <w:tcW w:w="1400" w:type="dxa"/>
            <w:tcBorders>
              <w:bottom w:val="single" w:color="000000" w:sz="6" w:space="0"/>
            </w:tcBorders>
            <w:shd w:val="clear" w:color="auto" w:fill="2E75B6"/>
            <w:tcMar>
              <w:top w:w="60" w:type="dxa"/>
              <w:left w:w="100" w:type="dxa"/>
              <w:bottom w:w="60" w:type="dxa"/>
              <w:right w:w="100" w:type="dxa"/>
            </w:tcMar>
            <w:vAlign w:val="center"/>
          </w:tcPr>
          <w:p w14:paraId="6E1A332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Significant?</w:t>
            </w:r>
          </w:p>
        </w:tc>
      </w:tr>
      <w:tr w14:paraId="497D6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2776F2C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w:t>
            </w:r>
          </w:p>
        </w:tc>
        <w:tc>
          <w:tcPr>
            <w:tcW w:w="2500" w:type="dxa"/>
            <w:shd w:val="clear" w:color="auto" w:fill="F2F7FB"/>
            <w:tcMar>
              <w:top w:w="60" w:type="dxa"/>
              <w:left w:w="100" w:type="dxa"/>
              <w:bottom w:w="60" w:type="dxa"/>
              <w:right w:w="100" w:type="dxa"/>
            </w:tcMar>
            <w:vAlign w:val="center"/>
          </w:tcPr>
          <w:p w14:paraId="7CDF66E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Extraneous load</w:t>
            </w:r>
          </w:p>
        </w:tc>
        <w:tc>
          <w:tcPr>
            <w:tcW w:w="1200" w:type="dxa"/>
            <w:shd w:val="clear" w:color="auto" w:fill="F2F7FB"/>
            <w:tcMar>
              <w:top w:w="60" w:type="dxa"/>
              <w:left w:w="100" w:type="dxa"/>
              <w:bottom w:w="60" w:type="dxa"/>
              <w:right w:w="100" w:type="dxa"/>
            </w:tcMar>
            <w:vAlign w:val="center"/>
          </w:tcPr>
          <w:p w14:paraId="224BF20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0.002</w:t>
            </w:r>
          </w:p>
        </w:tc>
        <w:tc>
          <w:tcPr>
            <w:tcW w:w="1800" w:type="dxa"/>
            <w:shd w:val="clear" w:color="auto" w:fill="F2F7FB"/>
            <w:tcMar>
              <w:top w:w="60" w:type="dxa"/>
              <w:left w:w="100" w:type="dxa"/>
              <w:bottom w:w="60" w:type="dxa"/>
              <w:right w:w="100" w:type="dxa"/>
            </w:tcMar>
            <w:vAlign w:val="center"/>
          </w:tcPr>
          <w:p w14:paraId="155CB1B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0.0125</w:t>
            </w:r>
          </w:p>
        </w:tc>
        <w:tc>
          <w:tcPr>
            <w:tcW w:w="1400" w:type="dxa"/>
            <w:shd w:val="clear" w:color="auto" w:fill="F2F7FB"/>
            <w:tcMar>
              <w:top w:w="60" w:type="dxa"/>
              <w:left w:w="100" w:type="dxa"/>
              <w:bottom w:w="60" w:type="dxa"/>
              <w:right w:w="100" w:type="dxa"/>
            </w:tcMar>
            <w:vAlign w:val="center"/>
          </w:tcPr>
          <w:p w14:paraId="615FBB2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r>
      <w:tr w14:paraId="4F672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6CF57C5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w:t>
            </w:r>
          </w:p>
        </w:tc>
        <w:tc>
          <w:tcPr>
            <w:tcW w:w="2500" w:type="dxa"/>
            <w:tcMar>
              <w:top w:w="60" w:type="dxa"/>
              <w:left w:w="100" w:type="dxa"/>
              <w:bottom w:w="60" w:type="dxa"/>
              <w:right w:w="100" w:type="dxa"/>
            </w:tcMar>
            <w:vAlign w:val="center"/>
          </w:tcPr>
          <w:p w14:paraId="0EEC1A2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Germane load</w:t>
            </w:r>
          </w:p>
        </w:tc>
        <w:tc>
          <w:tcPr>
            <w:tcW w:w="1200" w:type="dxa"/>
            <w:tcMar>
              <w:top w:w="60" w:type="dxa"/>
              <w:left w:w="100" w:type="dxa"/>
              <w:bottom w:w="60" w:type="dxa"/>
              <w:right w:w="100" w:type="dxa"/>
            </w:tcMar>
            <w:vAlign w:val="center"/>
          </w:tcPr>
          <w:p w14:paraId="658A3CE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0.004</w:t>
            </w:r>
          </w:p>
        </w:tc>
        <w:tc>
          <w:tcPr>
            <w:tcW w:w="1800" w:type="dxa"/>
            <w:tcMar>
              <w:top w:w="60" w:type="dxa"/>
              <w:left w:w="100" w:type="dxa"/>
              <w:bottom w:w="60" w:type="dxa"/>
              <w:right w:w="100" w:type="dxa"/>
            </w:tcMar>
            <w:vAlign w:val="center"/>
          </w:tcPr>
          <w:p w14:paraId="7F76E48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0.0250</w:t>
            </w:r>
          </w:p>
        </w:tc>
        <w:tc>
          <w:tcPr>
            <w:tcW w:w="1400" w:type="dxa"/>
            <w:tcMar>
              <w:top w:w="60" w:type="dxa"/>
              <w:left w:w="100" w:type="dxa"/>
              <w:bottom w:w="60" w:type="dxa"/>
              <w:right w:w="100" w:type="dxa"/>
            </w:tcMar>
            <w:vAlign w:val="center"/>
          </w:tcPr>
          <w:p w14:paraId="58E6B8F3">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Yes</w:t>
            </w:r>
          </w:p>
        </w:tc>
      </w:tr>
      <w:tr w14:paraId="39F0B6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30E3852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w:t>
            </w:r>
          </w:p>
        </w:tc>
        <w:tc>
          <w:tcPr>
            <w:tcW w:w="2500" w:type="dxa"/>
            <w:shd w:val="clear" w:color="auto" w:fill="F2F7FB"/>
            <w:tcMar>
              <w:top w:w="60" w:type="dxa"/>
              <w:left w:w="100" w:type="dxa"/>
              <w:bottom w:w="60" w:type="dxa"/>
              <w:right w:w="100" w:type="dxa"/>
            </w:tcMar>
            <w:vAlign w:val="center"/>
          </w:tcPr>
          <w:p w14:paraId="3AF8F91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Self-efficacy</w:t>
            </w:r>
          </w:p>
        </w:tc>
        <w:tc>
          <w:tcPr>
            <w:tcW w:w="1200" w:type="dxa"/>
            <w:shd w:val="clear" w:color="auto" w:fill="F2F7FB"/>
            <w:tcMar>
              <w:top w:w="60" w:type="dxa"/>
              <w:left w:w="100" w:type="dxa"/>
              <w:bottom w:w="60" w:type="dxa"/>
              <w:right w:w="100" w:type="dxa"/>
            </w:tcMar>
            <w:vAlign w:val="center"/>
          </w:tcPr>
          <w:p w14:paraId="045E083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0.028</w:t>
            </w:r>
          </w:p>
        </w:tc>
        <w:tc>
          <w:tcPr>
            <w:tcW w:w="1800" w:type="dxa"/>
            <w:shd w:val="clear" w:color="auto" w:fill="F2F7FB"/>
            <w:tcMar>
              <w:top w:w="60" w:type="dxa"/>
              <w:left w:w="100" w:type="dxa"/>
              <w:bottom w:w="60" w:type="dxa"/>
              <w:right w:w="100" w:type="dxa"/>
            </w:tcMar>
            <w:vAlign w:val="center"/>
          </w:tcPr>
          <w:p w14:paraId="4B364D9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0.0375</w:t>
            </w:r>
          </w:p>
        </w:tc>
        <w:tc>
          <w:tcPr>
            <w:tcW w:w="1400" w:type="dxa"/>
            <w:shd w:val="clear" w:color="auto" w:fill="F2F7FB"/>
            <w:tcMar>
              <w:top w:w="60" w:type="dxa"/>
              <w:left w:w="100" w:type="dxa"/>
              <w:bottom w:w="60" w:type="dxa"/>
              <w:right w:w="100" w:type="dxa"/>
            </w:tcMar>
            <w:vAlign w:val="center"/>
          </w:tcPr>
          <w:p w14:paraId="3A04933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Yes</w:t>
            </w:r>
          </w:p>
        </w:tc>
      </w:tr>
      <w:tr w14:paraId="20F83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256D508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4</w:t>
            </w:r>
          </w:p>
        </w:tc>
        <w:tc>
          <w:tcPr>
            <w:tcW w:w="2500" w:type="dxa"/>
            <w:tcMar>
              <w:top w:w="60" w:type="dxa"/>
              <w:left w:w="100" w:type="dxa"/>
              <w:bottom w:w="60" w:type="dxa"/>
              <w:right w:w="100" w:type="dxa"/>
            </w:tcMar>
            <w:vAlign w:val="center"/>
          </w:tcPr>
          <w:p w14:paraId="27CED9C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Intrinsic load</w:t>
            </w:r>
          </w:p>
        </w:tc>
        <w:tc>
          <w:tcPr>
            <w:tcW w:w="1200" w:type="dxa"/>
            <w:tcMar>
              <w:top w:w="60" w:type="dxa"/>
              <w:left w:w="100" w:type="dxa"/>
              <w:bottom w:w="60" w:type="dxa"/>
              <w:right w:w="100" w:type="dxa"/>
            </w:tcMar>
            <w:vAlign w:val="center"/>
          </w:tcPr>
          <w:p w14:paraId="706D776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0.31</w:t>
            </w:r>
          </w:p>
        </w:tc>
        <w:tc>
          <w:tcPr>
            <w:tcW w:w="1800" w:type="dxa"/>
            <w:tcMar>
              <w:top w:w="60" w:type="dxa"/>
              <w:left w:w="100" w:type="dxa"/>
              <w:bottom w:w="60" w:type="dxa"/>
              <w:right w:w="100" w:type="dxa"/>
            </w:tcMar>
            <w:vAlign w:val="center"/>
          </w:tcPr>
          <w:p w14:paraId="7A72941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0.0500</w:t>
            </w:r>
          </w:p>
        </w:tc>
        <w:tc>
          <w:tcPr>
            <w:tcW w:w="1400" w:type="dxa"/>
            <w:tcMar>
              <w:top w:w="60" w:type="dxa"/>
              <w:left w:w="100" w:type="dxa"/>
              <w:bottom w:w="60" w:type="dxa"/>
              <w:right w:w="100" w:type="dxa"/>
            </w:tcMar>
            <w:vAlign w:val="center"/>
          </w:tcPr>
          <w:p w14:paraId="1B794CE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No</w:t>
            </w:r>
          </w:p>
        </w:tc>
      </w:tr>
    </w:tbl>
    <w:p w14:paraId="2110620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1D40264D">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All three significant secondary outcomes remained significant after BH correction.</w:t>
      </w:r>
    </w:p>
    <w:p w14:paraId="2A5D6A83">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E.4 Sensitivity Analysis: Excluding Participants with Prior AI Usage</w:t>
      </w:r>
    </w:p>
    <w:p w14:paraId="20FC25B6">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To assess confounding by prior AI exposure, the primary analysis was repeated excluding 14 participants (8 experimental, 6 control) who reported prior AI tool usage:</w:t>
      </w:r>
    </w:p>
    <w:p w14:paraId="26A32296">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31C3EA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S7. Sensitivity analysis excluding participants with prior AI use (Appendix E).</w:t>
      </w:r>
    </w:p>
    <w:tbl>
      <w:tblPr>
        <w:tblStyle w:val="11"/>
        <w:tblW w:w="7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628"/>
        <w:gridCol w:w="2172"/>
        <w:gridCol w:w="1500"/>
        <w:gridCol w:w="800"/>
        <w:gridCol w:w="700"/>
        <w:gridCol w:w="1000"/>
      </w:tblGrid>
      <w:tr w14:paraId="01F4D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28" w:type="dxa"/>
            <w:tcBorders>
              <w:bottom w:val="single" w:color="000000" w:sz="6" w:space="0"/>
            </w:tcBorders>
            <w:shd w:val="clear" w:color="auto" w:fill="2E75B6"/>
            <w:tcMar>
              <w:top w:w="60" w:type="dxa"/>
              <w:left w:w="100" w:type="dxa"/>
              <w:bottom w:w="60" w:type="dxa"/>
              <w:right w:w="100" w:type="dxa"/>
            </w:tcMar>
            <w:vAlign w:val="center"/>
          </w:tcPr>
          <w:p w14:paraId="07C09F8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Measure</w:t>
            </w:r>
          </w:p>
        </w:tc>
        <w:tc>
          <w:tcPr>
            <w:tcW w:w="2172" w:type="dxa"/>
            <w:tcBorders>
              <w:bottom w:val="single" w:color="000000" w:sz="6" w:space="0"/>
            </w:tcBorders>
            <w:shd w:val="clear" w:color="auto" w:fill="2E75B6"/>
            <w:tcMar>
              <w:top w:w="60" w:type="dxa"/>
              <w:left w:w="100" w:type="dxa"/>
              <w:bottom w:w="60" w:type="dxa"/>
              <w:right w:w="100" w:type="dxa"/>
            </w:tcMar>
            <w:vAlign w:val="center"/>
          </w:tcPr>
          <w:p w14:paraId="0BB24D8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Experimental (n = 22)</w:t>
            </w:r>
          </w:p>
        </w:tc>
        <w:tc>
          <w:tcPr>
            <w:tcW w:w="1500" w:type="dxa"/>
            <w:tcBorders>
              <w:bottom w:val="single" w:color="000000" w:sz="6" w:space="0"/>
            </w:tcBorders>
            <w:shd w:val="clear" w:color="auto" w:fill="2E75B6"/>
            <w:tcMar>
              <w:top w:w="60" w:type="dxa"/>
              <w:left w:w="100" w:type="dxa"/>
              <w:bottom w:w="60" w:type="dxa"/>
              <w:right w:w="100" w:type="dxa"/>
            </w:tcMar>
            <w:vAlign w:val="center"/>
          </w:tcPr>
          <w:p w14:paraId="53A5589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Control (n = 24)</w:t>
            </w:r>
          </w:p>
        </w:tc>
        <w:tc>
          <w:tcPr>
            <w:tcW w:w="800" w:type="dxa"/>
            <w:tcBorders>
              <w:bottom w:val="single" w:color="000000" w:sz="6" w:space="0"/>
            </w:tcBorders>
            <w:shd w:val="clear" w:color="auto" w:fill="2E75B6"/>
            <w:tcMar>
              <w:top w:w="60" w:type="dxa"/>
              <w:left w:w="100" w:type="dxa"/>
              <w:bottom w:w="60" w:type="dxa"/>
              <w:right w:w="100" w:type="dxa"/>
            </w:tcMar>
            <w:vAlign w:val="center"/>
          </w:tcPr>
          <w:p w14:paraId="4462B45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t(44)</w:t>
            </w:r>
          </w:p>
        </w:tc>
        <w:tc>
          <w:tcPr>
            <w:tcW w:w="700" w:type="dxa"/>
            <w:tcBorders>
              <w:bottom w:val="single" w:color="000000" w:sz="6" w:space="0"/>
            </w:tcBorders>
            <w:shd w:val="clear" w:color="auto" w:fill="2E75B6"/>
            <w:tcMar>
              <w:top w:w="60" w:type="dxa"/>
              <w:left w:w="100" w:type="dxa"/>
              <w:bottom w:w="60" w:type="dxa"/>
              <w:right w:w="100" w:type="dxa"/>
            </w:tcMar>
            <w:vAlign w:val="center"/>
          </w:tcPr>
          <w:p w14:paraId="4EDFE49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p</w:t>
            </w:r>
          </w:p>
        </w:tc>
        <w:tc>
          <w:tcPr>
            <w:tcW w:w="1000" w:type="dxa"/>
            <w:tcBorders>
              <w:bottom w:val="single" w:color="000000" w:sz="6" w:space="0"/>
            </w:tcBorders>
            <w:shd w:val="clear" w:color="auto" w:fill="2E75B6"/>
            <w:tcMar>
              <w:top w:w="60" w:type="dxa"/>
              <w:left w:w="100" w:type="dxa"/>
              <w:bottom w:w="60" w:type="dxa"/>
              <w:right w:w="100" w:type="dxa"/>
            </w:tcMar>
            <w:vAlign w:val="center"/>
          </w:tcPr>
          <w:p w14:paraId="11337C9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Cohen's d</w:t>
            </w:r>
          </w:p>
        </w:tc>
      </w:tr>
      <w:tr w14:paraId="634B8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628" w:type="dxa"/>
            <w:shd w:val="clear" w:color="auto" w:fill="F2F7FB"/>
            <w:tcMar>
              <w:top w:w="60" w:type="dxa"/>
              <w:left w:w="100" w:type="dxa"/>
              <w:bottom w:w="60" w:type="dxa"/>
              <w:right w:w="100" w:type="dxa"/>
            </w:tcMar>
            <w:vAlign w:val="center"/>
          </w:tcPr>
          <w:p w14:paraId="12949EA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Composite score</w:t>
            </w:r>
          </w:p>
        </w:tc>
        <w:tc>
          <w:tcPr>
            <w:tcW w:w="2172" w:type="dxa"/>
            <w:shd w:val="clear" w:color="auto" w:fill="F2F7FB"/>
            <w:tcMar>
              <w:top w:w="60" w:type="dxa"/>
              <w:left w:w="100" w:type="dxa"/>
              <w:bottom w:w="60" w:type="dxa"/>
              <w:right w:w="100" w:type="dxa"/>
            </w:tcMar>
            <w:vAlign w:val="center"/>
          </w:tcPr>
          <w:p w14:paraId="47ED708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77.6 (9.2)</w:t>
            </w:r>
          </w:p>
        </w:tc>
        <w:tc>
          <w:tcPr>
            <w:tcW w:w="1500" w:type="dxa"/>
            <w:shd w:val="clear" w:color="auto" w:fill="F2F7FB"/>
            <w:tcMar>
              <w:top w:w="60" w:type="dxa"/>
              <w:left w:w="100" w:type="dxa"/>
              <w:bottom w:w="60" w:type="dxa"/>
              <w:right w:w="100" w:type="dxa"/>
            </w:tcMar>
            <w:vAlign w:val="center"/>
          </w:tcPr>
          <w:p w14:paraId="0FE6FD4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69.8 (10.5)</w:t>
            </w:r>
          </w:p>
        </w:tc>
        <w:tc>
          <w:tcPr>
            <w:tcW w:w="800" w:type="dxa"/>
            <w:shd w:val="clear" w:color="auto" w:fill="F2F7FB"/>
            <w:tcMar>
              <w:top w:w="60" w:type="dxa"/>
              <w:left w:w="100" w:type="dxa"/>
              <w:bottom w:w="60" w:type="dxa"/>
              <w:right w:w="100" w:type="dxa"/>
            </w:tcMar>
            <w:vAlign w:val="center"/>
          </w:tcPr>
          <w:p w14:paraId="6C477530">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2.67</w:t>
            </w:r>
          </w:p>
        </w:tc>
        <w:tc>
          <w:tcPr>
            <w:tcW w:w="700" w:type="dxa"/>
            <w:shd w:val="clear" w:color="auto" w:fill="F2F7FB"/>
            <w:tcMar>
              <w:top w:w="60" w:type="dxa"/>
              <w:left w:w="100" w:type="dxa"/>
              <w:bottom w:w="60" w:type="dxa"/>
              <w:right w:w="100" w:type="dxa"/>
            </w:tcMar>
            <w:vAlign w:val="center"/>
          </w:tcPr>
          <w:p w14:paraId="6684592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0.011</w:t>
            </w:r>
          </w:p>
        </w:tc>
        <w:tc>
          <w:tcPr>
            <w:tcW w:w="1000" w:type="dxa"/>
            <w:shd w:val="clear" w:color="auto" w:fill="F2F7FB"/>
            <w:tcMar>
              <w:top w:w="60" w:type="dxa"/>
              <w:left w:w="100" w:type="dxa"/>
              <w:bottom w:w="60" w:type="dxa"/>
              <w:right w:w="100" w:type="dxa"/>
            </w:tcMar>
            <w:vAlign w:val="center"/>
          </w:tcPr>
          <w:p w14:paraId="1F3B1E2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0.79</w:t>
            </w:r>
          </w:p>
        </w:tc>
      </w:tr>
    </w:tbl>
    <w:p w14:paraId="5DC061D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3FA909B1">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The treatment effect was minimally attenuated (d = 0.79 vs. d = 0.85), suggesting prior AI exposure did not substantially confound the primary result.</w:t>
      </w:r>
    </w:p>
    <w:p w14:paraId="51EF25C2">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E.5 Learning Trajectories Across Assessment Cases</w:t>
      </w:r>
    </w:p>
    <w:p w14:paraId="335D60CB">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rPr>
        <w:t>AICQ scores from the four novel assessment cases were analysed for within-session trends. Repeated-measures ANOVA showed a significant main effect of time (F(3,174) = 6.82, p &lt; 0.001, partial eta-squared = 0.105) and a significant Time x Group interaction (F(3,174) = 3.94, p = 0.009, partial eta-squared = 0.064). The experimental group improved more steeply across cases than controls, suggesting enhanced learning transfer. This analysis is exploratory and was not pre-specified.</w:t>
      </w:r>
    </w:p>
    <w:p w14:paraId="4CCF964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6AA27EF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S8. Learning trajectories across the four novel assessment cases (Appendix E).</w:t>
      </w:r>
    </w:p>
    <w:tbl>
      <w:tblPr>
        <w:tblStyle w:val="11"/>
        <w:tblW w:w="8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1500"/>
        <w:gridCol w:w="2000"/>
        <w:gridCol w:w="2000"/>
        <w:gridCol w:w="1200"/>
        <w:gridCol w:w="1300"/>
      </w:tblGrid>
      <w:tr w14:paraId="71872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00" w:type="dxa"/>
            <w:tcBorders>
              <w:bottom w:val="single" w:color="000000" w:sz="6" w:space="0"/>
            </w:tcBorders>
            <w:shd w:val="clear" w:color="auto" w:fill="2E75B6"/>
            <w:tcMar>
              <w:top w:w="60" w:type="dxa"/>
              <w:left w:w="100" w:type="dxa"/>
              <w:bottom w:w="60" w:type="dxa"/>
              <w:right w:w="100" w:type="dxa"/>
            </w:tcMar>
            <w:vAlign w:val="center"/>
          </w:tcPr>
          <w:p w14:paraId="2B689C4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Assessment</w:t>
            </w:r>
          </w:p>
        </w:tc>
        <w:tc>
          <w:tcPr>
            <w:tcW w:w="2000" w:type="dxa"/>
            <w:tcBorders>
              <w:bottom w:val="single" w:color="000000" w:sz="6" w:space="0"/>
            </w:tcBorders>
            <w:shd w:val="clear" w:color="auto" w:fill="2E75B6"/>
            <w:tcMar>
              <w:top w:w="60" w:type="dxa"/>
              <w:left w:w="100" w:type="dxa"/>
              <w:bottom w:w="60" w:type="dxa"/>
              <w:right w:w="100" w:type="dxa"/>
            </w:tcMar>
            <w:vAlign w:val="center"/>
          </w:tcPr>
          <w:p w14:paraId="7CC416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Experimental</w:t>
            </w:r>
          </w:p>
        </w:tc>
        <w:tc>
          <w:tcPr>
            <w:tcW w:w="2000" w:type="dxa"/>
            <w:tcBorders>
              <w:bottom w:val="single" w:color="000000" w:sz="6" w:space="0"/>
            </w:tcBorders>
            <w:shd w:val="clear" w:color="auto" w:fill="2E75B6"/>
            <w:tcMar>
              <w:top w:w="60" w:type="dxa"/>
              <w:left w:w="100" w:type="dxa"/>
              <w:bottom w:w="60" w:type="dxa"/>
              <w:right w:w="100" w:type="dxa"/>
            </w:tcMar>
            <w:vAlign w:val="center"/>
          </w:tcPr>
          <w:p w14:paraId="429D965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Control</w:t>
            </w:r>
          </w:p>
        </w:tc>
        <w:tc>
          <w:tcPr>
            <w:tcW w:w="1200" w:type="dxa"/>
            <w:tcBorders>
              <w:bottom w:val="single" w:color="000000" w:sz="6" w:space="0"/>
            </w:tcBorders>
            <w:shd w:val="clear" w:color="auto" w:fill="2E75B6"/>
            <w:tcMar>
              <w:top w:w="60" w:type="dxa"/>
              <w:left w:w="100" w:type="dxa"/>
              <w:bottom w:w="60" w:type="dxa"/>
              <w:right w:w="100" w:type="dxa"/>
            </w:tcMar>
            <w:vAlign w:val="center"/>
          </w:tcPr>
          <w:p w14:paraId="53D6838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t(58)</w:t>
            </w:r>
          </w:p>
        </w:tc>
        <w:tc>
          <w:tcPr>
            <w:tcW w:w="1300" w:type="dxa"/>
            <w:tcBorders>
              <w:bottom w:val="single" w:color="000000" w:sz="6" w:space="0"/>
            </w:tcBorders>
            <w:shd w:val="clear" w:color="auto" w:fill="2E75B6"/>
            <w:tcMar>
              <w:top w:w="60" w:type="dxa"/>
              <w:left w:w="100" w:type="dxa"/>
              <w:bottom w:w="60" w:type="dxa"/>
              <w:right w:w="100" w:type="dxa"/>
            </w:tcMar>
            <w:vAlign w:val="center"/>
          </w:tcPr>
          <w:p w14:paraId="34B7ECD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Cohen's d</w:t>
            </w:r>
          </w:p>
        </w:tc>
      </w:tr>
      <w:tr w14:paraId="65940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00" w:type="dxa"/>
            <w:shd w:val="clear" w:color="auto" w:fill="F2F7FB"/>
            <w:tcMar>
              <w:top w:w="60" w:type="dxa"/>
              <w:left w:w="100" w:type="dxa"/>
              <w:bottom w:w="60" w:type="dxa"/>
              <w:right w:w="100" w:type="dxa"/>
            </w:tcMar>
            <w:vAlign w:val="center"/>
          </w:tcPr>
          <w:p w14:paraId="15078F3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Case 1</w:t>
            </w:r>
          </w:p>
        </w:tc>
        <w:tc>
          <w:tcPr>
            <w:tcW w:w="2000" w:type="dxa"/>
            <w:shd w:val="clear" w:color="auto" w:fill="F2F7FB"/>
            <w:tcMar>
              <w:top w:w="60" w:type="dxa"/>
              <w:left w:w="100" w:type="dxa"/>
              <w:bottom w:w="60" w:type="dxa"/>
              <w:right w:w="100" w:type="dxa"/>
            </w:tcMar>
            <w:vAlign w:val="center"/>
          </w:tcPr>
          <w:p w14:paraId="0BB738E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76.2 (9.8)</w:t>
            </w:r>
          </w:p>
        </w:tc>
        <w:tc>
          <w:tcPr>
            <w:tcW w:w="2000" w:type="dxa"/>
            <w:shd w:val="clear" w:color="auto" w:fill="F2F7FB"/>
            <w:tcMar>
              <w:top w:w="60" w:type="dxa"/>
              <w:left w:w="100" w:type="dxa"/>
              <w:bottom w:w="60" w:type="dxa"/>
              <w:right w:w="100" w:type="dxa"/>
            </w:tcMar>
            <w:vAlign w:val="center"/>
          </w:tcPr>
          <w:p w14:paraId="0AE5C142">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69.4 (10.6)</w:t>
            </w:r>
          </w:p>
        </w:tc>
        <w:tc>
          <w:tcPr>
            <w:tcW w:w="1200" w:type="dxa"/>
            <w:shd w:val="clear" w:color="auto" w:fill="F2F7FB"/>
            <w:tcMar>
              <w:top w:w="60" w:type="dxa"/>
              <w:left w:w="100" w:type="dxa"/>
              <w:bottom w:w="60" w:type="dxa"/>
              <w:right w:w="100" w:type="dxa"/>
            </w:tcMar>
            <w:vAlign w:val="center"/>
          </w:tcPr>
          <w:p w14:paraId="78288E1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2.58*</w:t>
            </w:r>
          </w:p>
        </w:tc>
        <w:tc>
          <w:tcPr>
            <w:tcW w:w="1300" w:type="dxa"/>
            <w:shd w:val="clear" w:color="auto" w:fill="F2F7FB"/>
            <w:tcMar>
              <w:top w:w="60" w:type="dxa"/>
              <w:left w:w="100" w:type="dxa"/>
              <w:bottom w:w="60" w:type="dxa"/>
              <w:right w:w="100" w:type="dxa"/>
            </w:tcMar>
            <w:vAlign w:val="center"/>
          </w:tcPr>
          <w:p w14:paraId="1C839D3B">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0.67</w:t>
            </w:r>
          </w:p>
        </w:tc>
      </w:tr>
      <w:tr w14:paraId="1A000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00" w:type="dxa"/>
            <w:tcMar>
              <w:top w:w="60" w:type="dxa"/>
              <w:left w:w="100" w:type="dxa"/>
              <w:bottom w:w="60" w:type="dxa"/>
              <w:right w:w="100" w:type="dxa"/>
            </w:tcMar>
            <w:vAlign w:val="center"/>
          </w:tcPr>
          <w:p w14:paraId="49D6892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Case 2</w:t>
            </w:r>
          </w:p>
        </w:tc>
        <w:tc>
          <w:tcPr>
            <w:tcW w:w="2000" w:type="dxa"/>
            <w:tcMar>
              <w:top w:w="60" w:type="dxa"/>
              <w:left w:w="100" w:type="dxa"/>
              <w:bottom w:w="60" w:type="dxa"/>
              <w:right w:w="100" w:type="dxa"/>
            </w:tcMar>
            <w:vAlign w:val="center"/>
          </w:tcPr>
          <w:p w14:paraId="7E93CE3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77.5 (9.3)</w:t>
            </w:r>
          </w:p>
        </w:tc>
        <w:tc>
          <w:tcPr>
            <w:tcW w:w="2000" w:type="dxa"/>
            <w:tcMar>
              <w:top w:w="60" w:type="dxa"/>
              <w:left w:w="100" w:type="dxa"/>
              <w:bottom w:w="60" w:type="dxa"/>
              <w:right w:w="100" w:type="dxa"/>
            </w:tcMar>
            <w:vAlign w:val="center"/>
          </w:tcPr>
          <w:p w14:paraId="172D06DE">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70.1 (11.0)</w:t>
            </w:r>
          </w:p>
        </w:tc>
        <w:tc>
          <w:tcPr>
            <w:tcW w:w="1200" w:type="dxa"/>
            <w:tcMar>
              <w:top w:w="60" w:type="dxa"/>
              <w:left w:w="100" w:type="dxa"/>
              <w:bottom w:w="60" w:type="dxa"/>
              <w:right w:w="100" w:type="dxa"/>
            </w:tcMar>
            <w:vAlign w:val="center"/>
          </w:tcPr>
          <w:p w14:paraId="4097AC9F">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2.83**</w:t>
            </w:r>
          </w:p>
        </w:tc>
        <w:tc>
          <w:tcPr>
            <w:tcW w:w="1300" w:type="dxa"/>
            <w:tcMar>
              <w:top w:w="60" w:type="dxa"/>
              <w:left w:w="100" w:type="dxa"/>
              <w:bottom w:w="60" w:type="dxa"/>
              <w:right w:w="100" w:type="dxa"/>
            </w:tcMar>
            <w:vAlign w:val="center"/>
          </w:tcPr>
          <w:p w14:paraId="2A14D4AD">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0.73</w:t>
            </w:r>
          </w:p>
        </w:tc>
      </w:tr>
      <w:tr w14:paraId="520EE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00" w:type="dxa"/>
            <w:shd w:val="clear" w:color="auto" w:fill="F2F7FB"/>
            <w:tcMar>
              <w:top w:w="60" w:type="dxa"/>
              <w:left w:w="100" w:type="dxa"/>
              <w:bottom w:w="60" w:type="dxa"/>
              <w:right w:w="100" w:type="dxa"/>
            </w:tcMar>
            <w:vAlign w:val="center"/>
          </w:tcPr>
          <w:p w14:paraId="68C851F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Case 3</w:t>
            </w:r>
          </w:p>
        </w:tc>
        <w:tc>
          <w:tcPr>
            <w:tcW w:w="2000" w:type="dxa"/>
            <w:shd w:val="clear" w:color="auto" w:fill="F2F7FB"/>
            <w:tcMar>
              <w:top w:w="60" w:type="dxa"/>
              <w:left w:w="100" w:type="dxa"/>
              <w:bottom w:w="60" w:type="dxa"/>
              <w:right w:w="100" w:type="dxa"/>
            </w:tcMar>
            <w:vAlign w:val="center"/>
          </w:tcPr>
          <w:p w14:paraId="2676A33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79.1 (9.0)</w:t>
            </w:r>
          </w:p>
        </w:tc>
        <w:tc>
          <w:tcPr>
            <w:tcW w:w="2000" w:type="dxa"/>
            <w:shd w:val="clear" w:color="auto" w:fill="F2F7FB"/>
            <w:tcMar>
              <w:top w:w="60" w:type="dxa"/>
              <w:left w:w="100" w:type="dxa"/>
              <w:bottom w:w="60" w:type="dxa"/>
              <w:right w:w="100" w:type="dxa"/>
            </w:tcMar>
            <w:vAlign w:val="center"/>
          </w:tcPr>
          <w:p w14:paraId="135F0FD4">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70.5 (10.4)</w:t>
            </w:r>
          </w:p>
        </w:tc>
        <w:tc>
          <w:tcPr>
            <w:tcW w:w="1200" w:type="dxa"/>
            <w:shd w:val="clear" w:color="auto" w:fill="F2F7FB"/>
            <w:tcMar>
              <w:top w:w="60" w:type="dxa"/>
              <w:left w:w="100" w:type="dxa"/>
              <w:bottom w:w="60" w:type="dxa"/>
              <w:right w:w="100" w:type="dxa"/>
            </w:tcMar>
            <w:vAlign w:val="center"/>
          </w:tcPr>
          <w:p w14:paraId="401EEBC7">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3.42**</w:t>
            </w:r>
          </w:p>
        </w:tc>
        <w:tc>
          <w:tcPr>
            <w:tcW w:w="1300" w:type="dxa"/>
            <w:shd w:val="clear" w:color="auto" w:fill="F2F7FB"/>
            <w:tcMar>
              <w:top w:w="60" w:type="dxa"/>
              <w:left w:w="100" w:type="dxa"/>
              <w:bottom w:w="60" w:type="dxa"/>
              <w:right w:w="100" w:type="dxa"/>
            </w:tcMar>
            <w:vAlign w:val="center"/>
          </w:tcPr>
          <w:p w14:paraId="006B8EE9">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0.89</w:t>
            </w:r>
          </w:p>
        </w:tc>
      </w:tr>
      <w:tr w14:paraId="2143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1500" w:type="dxa"/>
            <w:tcMar>
              <w:top w:w="60" w:type="dxa"/>
              <w:left w:w="100" w:type="dxa"/>
              <w:bottom w:w="60" w:type="dxa"/>
              <w:right w:w="100" w:type="dxa"/>
            </w:tcMar>
            <w:vAlign w:val="center"/>
          </w:tcPr>
          <w:p w14:paraId="7781954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Case 4</w:t>
            </w:r>
          </w:p>
        </w:tc>
        <w:tc>
          <w:tcPr>
            <w:tcW w:w="2000" w:type="dxa"/>
            <w:tcMar>
              <w:top w:w="60" w:type="dxa"/>
              <w:left w:w="100" w:type="dxa"/>
              <w:bottom w:w="60" w:type="dxa"/>
              <w:right w:w="100" w:type="dxa"/>
            </w:tcMar>
            <w:vAlign w:val="center"/>
          </w:tcPr>
          <w:p w14:paraId="64D78F1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80.9 (8.8)</w:t>
            </w:r>
          </w:p>
        </w:tc>
        <w:tc>
          <w:tcPr>
            <w:tcW w:w="2000" w:type="dxa"/>
            <w:tcMar>
              <w:top w:w="60" w:type="dxa"/>
              <w:left w:w="100" w:type="dxa"/>
              <w:bottom w:w="60" w:type="dxa"/>
              <w:right w:w="100" w:type="dxa"/>
            </w:tcMar>
            <w:vAlign w:val="center"/>
          </w:tcPr>
          <w:p w14:paraId="4B35E825">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71.0 (10.5)</w:t>
            </w:r>
          </w:p>
        </w:tc>
        <w:tc>
          <w:tcPr>
            <w:tcW w:w="1200" w:type="dxa"/>
            <w:tcMar>
              <w:top w:w="60" w:type="dxa"/>
              <w:left w:w="100" w:type="dxa"/>
              <w:bottom w:w="60" w:type="dxa"/>
              <w:right w:w="100" w:type="dxa"/>
            </w:tcMar>
            <w:vAlign w:val="center"/>
          </w:tcPr>
          <w:p w14:paraId="38ABA418">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3.97***</w:t>
            </w:r>
          </w:p>
        </w:tc>
        <w:tc>
          <w:tcPr>
            <w:tcW w:w="1300" w:type="dxa"/>
            <w:tcMar>
              <w:top w:w="60" w:type="dxa"/>
              <w:left w:w="100" w:type="dxa"/>
              <w:bottom w:w="60" w:type="dxa"/>
              <w:right w:w="100" w:type="dxa"/>
            </w:tcMar>
            <w:vAlign w:val="center"/>
          </w:tcPr>
          <w:p w14:paraId="54BCB6E1">
            <w:pPr>
              <w:keepNext w:val="0"/>
              <w:keepLines w:val="0"/>
              <w:pageBreakBefore w:val="0"/>
              <w:kinsoku/>
              <w:wordWrap/>
              <w:overflowPunct/>
              <w:topLinePunct w:val="0"/>
              <w:autoSpaceDE/>
              <w:autoSpaceDN/>
              <w:bidi w:val="0"/>
              <w:adjustRightInd/>
              <w:snapToGrid/>
              <w:spacing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1.03</w:t>
            </w:r>
          </w:p>
        </w:tc>
      </w:tr>
    </w:tbl>
    <w:p w14:paraId="0A20474B">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4FB1D8B6">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F: Cognitive Load Inventory for Surgical Skills (CLISS) — Full Instrument</w:t>
      </w:r>
    </w:p>
    <w:p w14:paraId="432AE59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Reference: </w:t>
      </w:r>
      <w:r>
        <w:rPr>
          <w:rFonts w:hint="default" w:ascii="Times New Roman" w:hAnsi="Times New Roman" w:cs="Times New Roman"/>
        </w:rPr>
        <w:t>Edwards AL, O'Sullivan PS, Rapp JH, et al. Development of the Cognitive Load Inventory for Surgical Skills: preliminary validity evidence. Global Surg Educ. 2023;2:119.</w:t>
      </w:r>
    </w:p>
    <w:p w14:paraId="0F6EFF5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1FC7274">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Instructions to students: </w:t>
      </w:r>
      <w:r>
        <w:rPr>
          <w:rFonts w:hint="default" w:ascii="Times New Roman" w:hAnsi="Times New Roman" w:cs="Times New Roman"/>
        </w:rPr>
        <w:t>"Please reflect on the surgical case training you have just completed. For each statement below, indicate your level of agreement on a 5-point scale: 1 = Strongly Disagree, 2 = Disagree, 3 = Neutral, 4 = Agree, 5 = Strongly Agree."</w:t>
      </w:r>
    </w:p>
    <w:p w14:paraId="3753AC83">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80B4C04">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Intrinsic Cognitive Load (3 items)</w:t>
      </w:r>
    </w:p>
    <w:p w14:paraId="1550307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2F93983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S9. CLISS intrinsic cognitive load items (Appendix F).</w:t>
      </w:r>
    </w:p>
    <w:tbl>
      <w:tblPr>
        <w:tblStyle w:val="11"/>
        <w:tblW w:w="7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0"/>
        <w:gridCol w:w="7000"/>
      </w:tblGrid>
      <w:tr w14:paraId="4202E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Borders>
              <w:bottom w:val="single" w:color="000000" w:sz="6" w:space="0"/>
            </w:tcBorders>
            <w:shd w:val="clear" w:color="auto" w:fill="2E75B6"/>
            <w:tcMar>
              <w:top w:w="60" w:type="dxa"/>
              <w:left w:w="100" w:type="dxa"/>
              <w:bottom w:w="60" w:type="dxa"/>
              <w:right w:w="100" w:type="dxa"/>
            </w:tcMar>
            <w:vAlign w:val="center"/>
          </w:tcPr>
          <w:p w14:paraId="25829AF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Item</w:t>
            </w:r>
          </w:p>
        </w:tc>
        <w:tc>
          <w:tcPr>
            <w:tcW w:w="7000" w:type="dxa"/>
            <w:tcBorders>
              <w:bottom w:val="single" w:color="000000" w:sz="6" w:space="0"/>
            </w:tcBorders>
            <w:shd w:val="clear" w:color="auto" w:fill="2E75B6"/>
            <w:tcMar>
              <w:top w:w="60" w:type="dxa"/>
              <w:left w:w="100" w:type="dxa"/>
              <w:bottom w:w="60" w:type="dxa"/>
              <w:right w:w="100" w:type="dxa"/>
            </w:tcMar>
            <w:vAlign w:val="center"/>
          </w:tcPr>
          <w:p w14:paraId="6F2C259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Statement</w:t>
            </w:r>
          </w:p>
        </w:tc>
      </w:tr>
      <w:tr w14:paraId="3419C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shd w:val="clear" w:color="auto" w:fill="F2F7FB"/>
            <w:tcMar>
              <w:top w:w="60" w:type="dxa"/>
              <w:left w:w="100" w:type="dxa"/>
              <w:bottom w:w="60" w:type="dxa"/>
              <w:right w:w="100" w:type="dxa"/>
            </w:tcMar>
            <w:vAlign w:val="center"/>
          </w:tcPr>
          <w:p w14:paraId="4F292FE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ICL1</w:t>
            </w:r>
          </w:p>
        </w:tc>
        <w:tc>
          <w:tcPr>
            <w:tcW w:w="7000" w:type="dxa"/>
            <w:shd w:val="clear" w:color="auto" w:fill="F2F7FB"/>
            <w:tcMar>
              <w:top w:w="60" w:type="dxa"/>
              <w:left w:w="100" w:type="dxa"/>
              <w:bottom w:w="60" w:type="dxa"/>
              <w:right w:w="100" w:type="dxa"/>
            </w:tcMar>
            <w:vAlign w:val="center"/>
          </w:tcPr>
          <w:p w14:paraId="6A19DC0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The clinical content of the surgical cases was complex.</w:t>
            </w:r>
          </w:p>
        </w:tc>
      </w:tr>
      <w:tr w14:paraId="5C75C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00" w:type="dxa"/>
              <w:bottom w:w="60" w:type="dxa"/>
              <w:right w:w="100" w:type="dxa"/>
            </w:tcMar>
            <w:vAlign w:val="center"/>
          </w:tcPr>
          <w:p w14:paraId="0342A3E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ICL2</w:t>
            </w:r>
          </w:p>
        </w:tc>
        <w:tc>
          <w:tcPr>
            <w:tcW w:w="7000" w:type="dxa"/>
            <w:tcMar>
              <w:top w:w="60" w:type="dxa"/>
              <w:left w:w="100" w:type="dxa"/>
              <w:bottom w:w="60" w:type="dxa"/>
              <w:right w:w="100" w:type="dxa"/>
            </w:tcMar>
            <w:vAlign w:val="center"/>
          </w:tcPr>
          <w:p w14:paraId="377D5B5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The surgical cases covered topics that were difficult to understand.</w:t>
            </w:r>
          </w:p>
        </w:tc>
      </w:tr>
      <w:tr w14:paraId="620AC0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shd w:val="clear" w:color="auto" w:fill="F2F7FB"/>
            <w:tcMar>
              <w:top w:w="60" w:type="dxa"/>
              <w:left w:w="100" w:type="dxa"/>
              <w:bottom w:w="60" w:type="dxa"/>
              <w:right w:w="100" w:type="dxa"/>
            </w:tcMar>
            <w:vAlign w:val="center"/>
          </w:tcPr>
          <w:p w14:paraId="337F095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ICL3</w:t>
            </w:r>
          </w:p>
        </w:tc>
        <w:tc>
          <w:tcPr>
            <w:tcW w:w="7000" w:type="dxa"/>
            <w:shd w:val="clear" w:color="auto" w:fill="F2F7FB"/>
            <w:tcMar>
              <w:top w:w="60" w:type="dxa"/>
              <w:left w:w="100" w:type="dxa"/>
              <w:bottom w:w="60" w:type="dxa"/>
              <w:right w:w="100" w:type="dxa"/>
            </w:tcMar>
            <w:vAlign w:val="center"/>
          </w:tcPr>
          <w:p w14:paraId="782F894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The disease categories presented in the cases were unfamiliar to me.</w:t>
            </w:r>
          </w:p>
        </w:tc>
      </w:tr>
    </w:tbl>
    <w:p w14:paraId="242AB55B">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4667EEBE">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Extraneous Cognitive Load (3 items)</w:t>
      </w:r>
    </w:p>
    <w:p w14:paraId="495ED507">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AA4B94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S10. CLISS extraneous cognitive load items (Appendix F).</w:t>
      </w:r>
    </w:p>
    <w:tbl>
      <w:tblPr>
        <w:tblStyle w:val="11"/>
        <w:tblW w:w="7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000"/>
      </w:tblGrid>
      <w:tr w14:paraId="2E7D1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tcBorders>
              <w:bottom w:val="single" w:color="000000" w:sz="6" w:space="0"/>
            </w:tcBorders>
            <w:shd w:val="clear" w:color="auto" w:fill="2E75B6"/>
            <w:tcMar>
              <w:top w:w="60" w:type="dxa"/>
              <w:left w:w="100" w:type="dxa"/>
              <w:bottom w:w="60" w:type="dxa"/>
              <w:right w:w="100" w:type="dxa"/>
            </w:tcMar>
            <w:vAlign w:val="center"/>
          </w:tcPr>
          <w:p w14:paraId="204B474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Item</w:t>
            </w:r>
          </w:p>
        </w:tc>
        <w:tc>
          <w:tcPr>
            <w:tcW w:w="7000" w:type="dxa"/>
            <w:tcBorders>
              <w:bottom w:val="single" w:color="000000" w:sz="6" w:space="0"/>
            </w:tcBorders>
            <w:shd w:val="clear" w:color="auto" w:fill="2E75B6"/>
            <w:tcMar>
              <w:top w:w="60" w:type="dxa"/>
              <w:left w:w="100" w:type="dxa"/>
              <w:bottom w:w="60" w:type="dxa"/>
              <w:right w:w="100" w:type="dxa"/>
            </w:tcMar>
            <w:vAlign w:val="center"/>
          </w:tcPr>
          <w:p w14:paraId="397727C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Statement</w:t>
            </w:r>
          </w:p>
        </w:tc>
      </w:tr>
      <w:tr w14:paraId="7DB6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shd w:val="clear" w:color="auto" w:fill="F2F7FB"/>
            <w:tcMar>
              <w:top w:w="60" w:type="dxa"/>
              <w:left w:w="100" w:type="dxa"/>
              <w:bottom w:w="60" w:type="dxa"/>
              <w:right w:w="100" w:type="dxa"/>
            </w:tcMar>
            <w:vAlign w:val="center"/>
          </w:tcPr>
          <w:p w14:paraId="0879105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ECL1</w:t>
            </w:r>
          </w:p>
        </w:tc>
        <w:tc>
          <w:tcPr>
            <w:tcW w:w="7000" w:type="dxa"/>
            <w:shd w:val="clear" w:color="auto" w:fill="F2F7FB"/>
            <w:tcMar>
              <w:top w:w="60" w:type="dxa"/>
              <w:left w:w="100" w:type="dxa"/>
              <w:bottom w:w="60" w:type="dxa"/>
              <w:right w:w="100" w:type="dxa"/>
            </w:tcMar>
            <w:vAlign w:val="center"/>
          </w:tcPr>
          <w:p w14:paraId="7E66380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 spent effort trying to understand how the case information was organised rather than focusing on the clinical content.</w:t>
            </w:r>
          </w:p>
        </w:tc>
      </w:tr>
      <w:tr w14:paraId="756FBA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00" w:type="dxa"/>
              <w:bottom w:w="60" w:type="dxa"/>
              <w:right w:w="100" w:type="dxa"/>
            </w:tcMar>
            <w:vAlign w:val="center"/>
          </w:tcPr>
          <w:p w14:paraId="443A51B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ECL2</w:t>
            </w:r>
          </w:p>
        </w:tc>
        <w:tc>
          <w:tcPr>
            <w:tcW w:w="7000" w:type="dxa"/>
            <w:tcMar>
              <w:top w:w="60" w:type="dxa"/>
              <w:left w:w="100" w:type="dxa"/>
              <w:bottom w:w="60" w:type="dxa"/>
              <w:right w:w="100" w:type="dxa"/>
            </w:tcMar>
            <w:vAlign w:val="center"/>
          </w:tcPr>
          <w:p w14:paraId="025837F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The way the surgical cases were written made it harder to identify the key clinical findings.</w:t>
            </w:r>
          </w:p>
        </w:tc>
      </w:tr>
      <w:tr w14:paraId="0C9FB4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0" w:type="dxa"/>
            <w:shd w:val="clear" w:color="auto" w:fill="F2F7FB"/>
            <w:tcMar>
              <w:top w:w="60" w:type="dxa"/>
              <w:left w:w="100" w:type="dxa"/>
              <w:bottom w:w="60" w:type="dxa"/>
              <w:right w:w="100" w:type="dxa"/>
            </w:tcMar>
            <w:vAlign w:val="center"/>
          </w:tcPr>
          <w:p w14:paraId="146F2DE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ECL3</w:t>
            </w:r>
          </w:p>
        </w:tc>
        <w:tc>
          <w:tcPr>
            <w:tcW w:w="7000" w:type="dxa"/>
            <w:shd w:val="clear" w:color="auto" w:fill="F2F7FB"/>
            <w:tcMar>
              <w:top w:w="60" w:type="dxa"/>
              <w:left w:w="100" w:type="dxa"/>
              <w:bottom w:w="60" w:type="dxa"/>
              <w:right w:w="100" w:type="dxa"/>
            </w:tcMar>
            <w:vAlign w:val="center"/>
          </w:tcPr>
          <w:p w14:paraId="6EC8EDF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 was distracted by irrelevant or confusing details in the surgical cases.</w:t>
            </w:r>
          </w:p>
        </w:tc>
      </w:tr>
    </w:tbl>
    <w:p w14:paraId="5405847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343CC0E">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Germane Cognitive Load (4 items)</w:t>
      </w:r>
    </w:p>
    <w:p w14:paraId="5D456C6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4900FB0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S11. CLISS germane cognitive load items (Appendix F).</w:t>
      </w:r>
    </w:p>
    <w:tbl>
      <w:tblPr>
        <w:tblStyle w:val="11"/>
        <w:tblW w:w="7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800"/>
        <w:gridCol w:w="7000"/>
      </w:tblGrid>
      <w:tr w14:paraId="29CA6B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Borders>
              <w:bottom w:val="single" w:color="000000" w:sz="6" w:space="0"/>
            </w:tcBorders>
            <w:shd w:val="clear" w:color="auto" w:fill="2E75B6"/>
            <w:tcMar>
              <w:top w:w="60" w:type="dxa"/>
              <w:left w:w="100" w:type="dxa"/>
              <w:bottom w:w="60" w:type="dxa"/>
              <w:right w:w="100" w:type="dxa"/>
            </w:tcMar>
            <w:vAlign w:val="center"/>
          </w:tcPr>
          <w:p w14:paraId="5984703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Item</w:t>
            </w:r>
          </w:p>
        </w:tc>
        <w:tc>
          <w:tcPr>
            <w:tcW w:w="7000" w:type="dxa"/>
            <w:tcBorders>
              <w:bottom w:val="single" w:color="000000" w:sz="6" w:space="0"/>
            </w:tcBorders>
            <w:shd w:val="clear" w:color="auto" w:fill="2E75B6"/>
            <w:tcMar>
              <w:top w:w="60" w:type="dxa"/>
              <w:left w:w="100" w:type="dxa"/>
              <w:bottom w:w="60" w:type="dxa"/>
              <w:right w:w="100" w:type="dxa"/>
            </w:tcMar>
            <w:vAlign w:val="center"/>
          </w:tcPr>
          <w:p w14:paraId="17AED19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Statement</w:t>
            </w:r>
          </w:p>
        </w:tc>
      </w:tr>
      <w:tr w14:paraId="47547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shd w:val="clear" w:color="auto" w:fill="F2F7FB"/>
            <w:tcMar>
              <w:top w:w="60" w:type="dxa"/>
              <w:left w:w="100" w:type="dxa"/>
              <w:bottom w:w="60" w:type="dxa"/>
              <w:right w:w="100" w:type="dxa"/>
            </w:tcMar>
            <w:vAlign w:val="center"/>
          </w:tcPr>
          <w:p w14:paraId="5C61441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GCL1</w:t>
            </w:r>
          </w:p>
        </w:tc>
        <w:tc>
          <w:tcPr>
            <w:tcW w:w="7000" w:type="dxa"/>
            <w:shd w:val="clear" w:color="auto" w:fill="F2F7FB"/>
            <w:tcMar>
              <w:top w:w="60" w:type="dxa"/>
              <w:left w:w="100" w:type="dxa"/>
              <w:bottom w:w="60" w:type="dxa"/>
              <w:right w:w="100" w:type="dxa"/>
            </w:tcMar>
            <w:vAlign w:val="center"/>
          </w:tcPr>
          <w:p w14:paraId="26BFF33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The surgical cases helped me connect different clinical findings to form diagnostic hypotheses.</w:t>
            </w:r>
          </w:p>
        </w:tc>
      </w:tr>
      <w:tr w14:paraId="0EE38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00" w:type="dxa"/>
              <w:bottom w:w="60" w:type="dxa"/>
              <w:right w:w="100" w:type="dxa"/>
            </w:tcMar>
            <w:vAlign w:val="center"/>
          </w:tcPr>
          <w:p w14:paraId="6DE2F9D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GCL2</w:t>
            </w:r>
          </w:p>
        </w:tc>
        <w:tc>
          <w:tcPr>
            <w:tcW w:w="7000" w:type="dxa"/>
            <w:tcMar>
              <w:top w:w="60" w:type="dxa"/>
              <w:left w:w="100" w:type="dxa"/>
              <w:bottom w:w="60" w:type="dxa"/>
              <w:right w:w="100" w:type="dxa"/>
            </w:tcMar>
            <w:vAlign w:val="center"/>
          </w:tcPr>
          <w:p w14:paraId="5DF5A78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Working through these cases improved my ability to construct differential diagnoses.</w:t>
            </w:r>
          </w:p>
        </w:tc>
      </w:tr>
      <w:tr w14:paraId="2320F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shd w:val="clear" w:color="auto" w:fill="F2F7FB"/>
            <w:tcMar>
              <w:top w:w="60" w:type="dxa"/>
              <w:left w:w="100" w:type="dxa"/>
              <w:bottom w:w="60" w:type="dxa"/>
              <w:right w:w="100" w:type="dxa"/>
            </w:tcMar>
            <w:vAlign w:val="center"/>
          </w:tcPr>
          <w:p w14:paraId="47AF031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GCL3</w:t>
            </w:r>
          </w:p>
        </w:tc>
        <w:tc>
          <w:tcPr>
            <w:tcW w:w="7000" w:type="dxa"/>
            <w:shd w:val="clear" w:color="auto" w:fill="F2F7FB"/>
            <w:tcMar>
              <w:top w:w="60" w:type="dxa"/>
              <w:left w:w="100" w:type="dxa"/>
              <w:bottom w:w="60" w:type="dxa"/>
              <w:right w:w="100" w:type="dxa"/>
            </w:tcMar>
            <w:vAlign w:val="center"/>
          </w:tcPr>
          <w:p w14:paraId="616F506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The training helped me build a mental framework for approaching surgical patients.</w:t>
            </w:r>
          </w:p>
        </w:tc>
      </w:tr>
      <w:tr w14:paraId="2C47C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800" w:type="dxa"/>
            <w:tcMar>
              <w:top w:w="60" w:type="dxa"/>
              <w:left w:w="100" w:type="dxa"/>
              <w:bottom w:w="60" w:type="dxa"/>
              <w:right w:w="100" w:type="dxa"/>
            </w:tcMar>
            <w:vAlign w:val="center"/>
          </w:tcPr>
          <w:p w14:paraId="39941DD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GCL4</w:t>
            </w:r>
          </w:p>
        </w:tc>
        <w:tc>
          <w:tcPr>
            <w:tcW w:w="7000" w:type="dxa"/>
            <w:tcMar>
              <w:top w:w="60" w:type="dxa"/>
              <w:left w:w="100" w:type="dxa"/>
              <w:bottom w:w="60" w:type="dxa"/>
              <w:right w:w="100" w:type="dxa"/>
            </w:tcMar>
            <w:vAlign w:val="center"/>
          </w:tcPr>
          <w:p w14:paraId="232CFDF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 was able to relate the cases to knowledge I learned in preclinical courses.</w:t>
            </w:r>
          </w:p>
        </w:tc>
      </w:tr>
    </w:tbl>
    <w:p w14:paraId="72549DF1">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C075D7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Scoring: </w:t>
      </w:r>
      <w:r>
        <w:rPr>
          <w:rFonts w:hint="default" w:ascii="Times New Roman" w:hAnsi="Times New Roman" w:cs="Times New Roman"/>
        </w:rPr>
        <w:t>Each subscale score is the mean of its constituent items. Higher scores indicate higher levels of the respective cognitive load type.</w:t>
      </w:r>
    </w:p>
    <w:p w14:paraId="5D47041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Psychometric properties (original validation): </w:t>
      </w:r>
      <w:r>
        <w:rPr>
          <w:rFonts w:hint="default" w:ascii="Times New Roman" w:hAnsi="Times New Roman" w:cs="Times New Roman"/>
        </w:rPr>
        <w:t>Intrinsic load alpha = 0.79, Extraneous alpha = 0.82, Germane alpha = 0.85. CFA: CFI = 0.93, RMSEA = 0.06, SRMR = 0.05.</w:t>
      </w:r>
    </w:p>
    <w:p w14:paraId="2A2A1E3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Psychometric properties (current study, n = 60): </w:t>
      </w:r>
      <w:r>
        <w:rPr>
          <w:rFonts w:hint="default" w:ascii="Times New Roman" w:hAnsi="Times New Roman" w:cs="Times New Roman"/>
        </w:rPr>
        <w:t>Intrinsic load alpha = 0.81, Extraneous alpha = 0.84, Germane alpha = 0.87.</w:t>
      </w:r>
    </w:p>
    <w:p w14:paraId="1E41F8B1">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1AC15BB6">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G: General Self-Efficacy Scale (GSES) — Chinese Adaptation</w:t>
      </w:r>
    </w:p>
    <w:p w14:paraId="2182E5B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Reference: </w:t>
      </w:r>
      <w:r>
        <w:rPr>
          <w:rFonts w:hint="default" w:ascii="Times New Roman" w:hAnsi="Times New Roman" w:cs="Times New Roman"/>
        </w:rPr>
        <w:t>Zhang JX, Schwarzer R. Measuring optimistic self-beliefs: a Chinese adaptation of the General Self-Efficacy Scale. Psychologia. 1995;38(3):174-181.</w:t>
      </w:r>
    </w:p>
    <w:p w14:paraId="17F7516A">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6BDB18F8">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Instructions to students: </w:t>
      </w:r>
      <w:r>
        <w:rPr>
          <w:rFonts w:hint="default" w:ascii="Times New Roman" w:hAnsi="Times New Roman" w:cs="Times New Roman"/>
        </w:rPr>
        <w:t>"Below are ten statements about your general beliefs about yourself. Please indicate how true each statement is for you on a 4-point scale: 1 = Not at all true, 2 = Hardly true, 3 = Moderately true, 4 = Exactly true."</w:t>
      </w:r>
    </w:p>
    <w:p w14:paraId="6FD20B3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3F635EC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S12. General Self-Efficacy Scale (GSES) items—Chinese adaptation (Appendix G).</w:t>
      </w:r>
    </w:p>
    <w:tbl>
      <w:tblPr>
        <w:tblStyle w:val="11"/>
        <w:tblW w:w="78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600"/>
        <w:gridCol w:w="7200"/>
      </w:tblGrid>
      <w:tr w14:paraId="34B046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Borders>
              <w:bottom w:val="single" w:color="000000" w:sz="6" w:space="0"/>
            </w:tcBorders>
            <w:shd w:val="clear" w:color="auto" w:fill="2E75B6"/>
            <w:tcMar>
              <w:top w:w="60" w:type="dxa"/>
              <w:left w:w="100" w:type="dxa"/>
              <w:bottom w:w="60" w:type="dxa"/>
              <w:right w:w="100" w:type="dxa"/>
            </w:tcMar>
            <w:vAlign w:val="center"/>
          </w:tcPr>
          <w:p w14:paraId="0321337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w:t>
            </w:r>
          </w:p>
        </w:tc>
        <w:tc>
          <w:tcPr>
            <w:tcW w:w="7200" w:type="dxa"/>
            <w:tcBorders>
              <w:bottom w:val="single" w:color="000000" w:sz="6" w:space="0"/>
            </w:tcBorders>
            <w:shd w:val="clear" w:color="auto" w:fill="2E75B6"/>
            <w:tcMar>
              <w:top w:w="60" w:type="dxa"/>
              <w:left w:w="100" w:type="dxa"/>
              <w:bottom w:w="60" w:type="dxa"/>
              <w:right w:w="100" w:type="dxa"/>
            </w:tcMar>
            <w:vAlign w:val="center"/>
          </w:tcPr>
          <w:p w14:paraId="5E5D9DB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Statement</w:t>
            </w:r>
          </w:p>
        </w:tc>
      </w:tr>
      <w:tr w14:paraId="13DCD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0B6B07E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1</w:t>
            </w:r>
          </w:p>
        </w:tc>
        <w:tc>
          <w:tcPr>
            <w:tcW w:w="7200" w:type="dxa"/>
            <w:shd w:val="clear" w:color="auto" w:fill="F2F7FB"/>
            <w:tcMar>
              <w:top w:w="60" w:type="dxa"/>
              <w:left w:w="100" w:type="dxa"/>
              <w:bottom w:w="60" w:type="dxa"/>
              <w:right w:w="100" w:type="dxa"/>
            </w:tcMar>
            <w:vAlign w:val="center"/>
          </w:tcPr>
          <w:p w14:paraId="406F92DB">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 can always manage to solve difficult problems if I try hard enough.</w:t>
            </w:r>
          </w:p>
        </w:tc>
      </w:tr>
      <w:tr w14:paraId="21BE2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EB3888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w:t>
            </w:r>
          </w:p>
        </w:tc>
        <w:tc>
          <w:tcPr>
            <w:tcW w:w="7200" w:type="dxa"/>
            <w:tcMar>
              <w:top w:w="60" w:type="dxa"/>
              <w:left w:w="100" w:type="dxa"/>
              <w:bottom w:w="60" w:type="dxa"/>
              <w:right w:w="100" w:type="dxa"/>
            </w:tcMar>
            <w:vAlign w:val="center"/>
          </w:tcPr>
          <w:p w14:paraId="0A333F4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If someone opposes me, I can find the means and ways to get what I want.</w:t>
            </w:r>
          </w:p>
        </w:tc>
      </w:tr>
      <w:tr w14:paraId="412F2E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271755A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3</w:t>
            </w:r>
          </w:p>
        </w:tc>
        <w:tc>
          <w:tcPr>
            <w:tcW w:w="7200" w:type="dxa"/>
            <w:shd w:val="clear" w:color="auto" w:fill="F2F7FB"/>
            <w:tcMar>
              <w:top w:w="60" w:type="dxa"/>
              <w:left w:w="100" w:type="dxa"/>
              <w:bottom w:w="60" w:type="dxa"/>
              <w:right w:w="100" w:type="dxa"/>
            </w:tcMar>
            <w:vAlign w:val="center"/>
          </w:tcPr>
          <w:p w14:paraId="7A985E2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It is easy for me to stick to my aims and accomplish my goals.</w:t>
            </w:r>
          </w:p>
        </w:tc>
      </w:tr>
      <w:tr w14:paraId="7BE98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55FDA24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4</w:t>
            </w:r>
          </w:p>
        </w:tc>
        <w:tc>
          <w:tcPr>
            <w:tcW w:w="7200" w:type="dxa"/>
            <w:tcMar>
              <w:top w:w="60" w:type="dxa"/>
              <w:left w:w="100" w:type="dxa"/>
              <w:bottom w:w="60" w:type="dxa"/>
              <w:right w:w="100" w:type="dxa"/>
            </w:tcMar>
            <w:vAlign w:val="center"/>
          </w:tcPr>
          <w:p w14:paraId="48B0A7E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 am confident that I could deal efficiently with unexpected events.</w:t>
            </w:r>
          </w:p>
        </w:tc>
      </w:tr>
      <w:tr w14:paraId="2BE85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shd w:val="clear" w:color="auto" w:fill="F2F7FB"/>
            <w:tcMar>
              <w:top w:w="60" w:type="dxa"/>
              <w:left w:w="100" w:type="dxa"/>
              <w:bottom w:w="60" w:type="dxa"/>
              <w:right w:w="100" w:type="dxa"/>
            </w:tcMar>
            <w:vAlign w:val="center"/>
          </w:tcPr>
          <w:p w14:paraId="126A0A0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5</w:t>
            </w:r>
          </w:p>
        </w:tc>
        <w:tc>
          <w:tcPr>
            <w:tcW w:w="7200" w:type="dxa"/>
            <w:shd w:val="clear" w:color="auto" w:fill="F2F7FB"/>
            <w:tcMar>
              <w:top w:w="60" w:type="dxa"/>
              <w:left w:w="100" w:type="dxa"/>
              <w:bottom w:w="60" w:type="dxa"/>
              <w:right w:w="100" w:type="dxa"/>
            </w:tcMar>
            <w:vAlign w:val="center"/>
          </w:tcPr>
          <w:p w14:paraId="5374226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Thanks to my resourcefulness, I know how to handle unforeseen situations.</w:t>
            </w:r>
          </w:p>
        </w:tc>
      </w:tr>
      <w:tr w14:paraId="76D29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00" w:type="dxa"/>
            <w:tcMar>
              <w:top w:w="60" w:type="dxa"/>
              <w:left w:w="100" w:type="dxa"/>
              <w:bottom w:w="60" w:type="dxa"/>
              <w:right w:w="100" w:type="dxa"/>
            </w:tcMar>
            <w:vAlign w:val="center"/>
          </w:tcPr>
          <w:p w14:paraId="12D821B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6</w:t>
            </w:r>
          </w:p>
        </w:tc>
        <w:tc>
          <w:tcPr>
            <w:tcW w:w="7200" w:type="dxa"/>
            <w:tcMar>
              <w:top w:w="60" w:type="dxa"/>
              <w:left w:w="100" w:type="dxa"/>
              <w:bottom w:w="60" w:type="dxa"/>
              <w:right w:w="100" w:type="dxa"/>
            </w:tcMar>
            <w:vAlign w:val="center"/>
          </w:tcPr>
          <w:p w14:paraId="1BFA307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 can solve most problems if I invest the necessary effort.</w:t>
            </w:r>
          </w:p>
        </w:tc>
      </w:tr>
      <w:tr w14:paraId="72D8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0DB0D55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7</w:t>
            </w:r>
          </w:p>
        </w:tc>
        <w:tc>
          <w:tcPr>
            <w:tcW w:w="7200" w:type="dxa"/>
            <w:shd w:val="clear" w:color="auto" w:fill="F2F7FB"/>
            <w:tcMar>
              <w:top w:w="60" w:type="dxa"/>
              <w:left w:w="100" w:type="dxa"/>
              <w:bottom w:w="60" w:type="dxa"/>
              <w:right w:w="100" w:type="dxa"/>
            </w:tcMar>
            <w:vAlign w:val="center"/>
          </w:tcPr>
          <w:p w14:paraId="309D70A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 can remain calm when facing difficulties because I can rely on my coping abilities.</w:t>
            </w:r>
          </w:p>
        </w:tc>
      </w:tr>
      <w:tr w14:paraId="2AB9D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13E0EC0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8</w:t>
            </w:r>
          </w:p>
        </w:tc>
        <w:tc>
          <w:tcPr>
            <w:tcW w:w="7200" w:type="dxa"/>
            <w:tcMar>
              <w:top w:w="60" w:type="dxa"/>
              <w:left w:w="100" w:type="dxa"/>
              <w:bottom w:w="60" w:type="dxa"/>
              <w:right w:w="100" w:type="dxa"/>
            </w:tcMar>
            <w:vAlign w:val="center"/>
          </w:tcPr>
          <w:p w14:paraId="4B8E1BD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When I am confronted with a problem, I can usually find several solutions.</w:t>
            </w:r>
          </w:p>
        </w:tc>
      </w:tr>
      <w:tr w14:paraId="301D7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shd w:val="clear" w:color="auto" w:fill="F2F7FB"/>
            <w:tcMar>
              <w:top w:w="60" w:type="dxa"/>
              <w:left w:w="100" w:type="dxa"/>
              <w:bottom w:w="60" w:type="dxa"/>
              <w:right w:w="100" w:type="dxa"/>
            </w:tcMar>
            <w:vAlign w:val="center"/>
          </w:tcPr>
          <w:p w14:paraId="69FBAE1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9</w:t>
            </w:r>
          </w:p>
        </w:tc>
        <w:tc>
          <w:tcPr>
            <w:tcW w:w="7200" w:type="dxa"/>
            <w:shd w:val="clear" w:color="auto" w:fill="F2F7FB"/>
            <w:tcMar>
              <w:top w:w="60" w:type="dxa"/>
              <w:left w:w="100" w:type="dxa"/>
              <w:bottom w:w="60" w:type="dxa"/>
              <w:right w:w="100" w:type="dxa"/>
            </w:tcMar>
            <w:vAlign w:val="center"/>
          </w:tcPr>
          <w:p w14:paraId="0DBF3F0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If I am in trouble, I can usually think of a solution.</w:t>
            </w:r>
          </w:p>
        </w:tc>
      </w:tr>
      <w:tr w14:paraId="33F07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600" w:type="dxa"/>
            <w:tcMar>
              <w:top w:w="60" w:type="dxa"/>
              <w:left w:w="100" w:type="dxa"/>
              <w:bottom w:w="60" w:type="dxa"/>
              <w:right w:w="100" w:type="dxa"/>
            </w:tcMar>
            <w:vAlign w:val="center"/>
          </w:tcPr>
          <w:p w14:paraId="75B609B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10</w:t>
            </w:r>
          </w:p>
        </w:tc>
        <w:tc>
          <w:tcPr>
            <w:tcW w:w="7200" w:type="dxa"/>
            <w:tcMar>
              <w:top w:w="60" w:type="dxa"/>
              <w:left w:w="100" w:type="dxa"/>
              <w:bottom w:w="60" w:type="dxa"/>
              <w:right w:w="100" w:type="dxa"/>
            </w:tcMar>
            <w:vAlign w:val="center"/>
          </w:tcPr>
          <w:p w14:paraId="5BF9F8B2">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I can usually handle whatever comes my way.</w:t>
            </w:r>
          </w:p>
        </w:tc>
      </w:tr>
    </w:tbl>
    <w:p w14:paraId="5590ACC2">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707935D2">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Scoring: </w:t>
      </w:r>
      <w:r>
        <w:rPr>
          <w:rFonts w:hint="default" w:ascii="Times New Roman" w:hAnsi="Times New Roman" w:cs="Times New Roman"/>
        </w:rPr>
        <w:t>Sum of all items (range: 10-40). Higher scores indicate greater perceived self-efficacy.</w:t>
      </w:r>
    </w:p>
    <w:p w14:paraId="4BA39DEB">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Psychometric properties (current study, n = 60): </w:t>
      </w:r>
      <w:r>
        <w:rPr>
          <w:rFonts w:hint="default" w:ascii="Times New Roman" w:hAnsi="Times New Roman" w:cs="Times New Roman"/>
        </w:rPr>
        <w:t>Cronbach's alpha = 0.86.</w:t>
      </w:r>
    </w:p>
    <w:p w14:paraId="44CB204D">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r>
        <w:rPr>
          <w:rFonts w:hint="default" w:ascii="Times New Roman" w:hAnsi="Times New Roman" w:cs="Times New Roman"/>
        </w:rPr>
        <w:br w:type="page"/>
      </w:r>
    </w:p>
    <w:p w14:paraId="0D4BD2D6">
      <w:pPr>
        <w:pStyle w:val="2"/>
        <w:keepNext w:val="0"/>
        <w:keepLines w:val="0"/>
        <w:pageBreakBefore w:val="0"/>
        <w:kinsoku/>
        <w:wordWrap/>
        <w:overflowPunct/>
        <w:topLinePunct w:val="0"/>
        <w:autoSpaceDE/>
        <w:autoSpaceDN/>
        <w:bidi w:val="0"/>
        <w:adjustRightInd/>
        <w:snapToGrid/>
        <w:spacing w:before="0" w:after="0" w:line="480" w:lineRule="exact"/>
        <w:jc w:val="center"/>
        <w:textAlignment w:val="auto"/>
        <w:rPr>
          <w:rFonts w:hint="default" w:ascii="Times New Roman" w:hAnsi="Times New Roman" w:cs="Times New Roman"/>
        </w:rPr>
      </w:pPr>
      <w:r>
        <w:rPr>
          <w:rFonts w:hint="default" w:ascii="Times New Roman" w:hAnsi="Times New Roman" w:eastAsia="Times New Roman" w:cs="Times New Roman"/>
          <w:b/>
          <w:bCs/>
          <w:sz w:val="32"/>
          <w:szCs w:val="32"/>
        </w:rPr>
        <w:t>Appendix H: Power Analysis Output (G*Power)</w:t>
      </w:r>
    </w:p>
    <w:p w14:paraId="01C5AC7C">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Software: </w:t>
      </w:r>
      <w:r>
        <w:rPr>
          <w:rFonts w:hint="default" w:ascii="Times New Roman" w:hAnsi="Times New Roman" w:cs="Times New Roman"/>
        </w:rPr>
        <w:t>G*Power 3.1.9.7 (Faul et al., 2007).</w:t>
      </w:r>
    </w:p>
    <w:p w14:paraId="4AD2A39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8388113">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Analysis Parameters</w:t>
      </w:r>
    </w:p>
    <w:p w14:paraId="592FFC00">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0296665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S13. G*Power analysis parameters (Appendix H).</w:t>
      </w:r>
    </w:p>
    <w:tbl>
      <w:tblPr>
        <w:tblStyle w:val="11"/>
        <w:tblW w:w="8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00"/>
        <w:gridCol w:w="4500"/>
      </w:tblGrid>
      <w:tr w14:paraId="176BF2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Borders>
              <w:bottom w:val="single" w:color="000000" w:sz="6" w:space="0"/>
            </w:tcBorders>
            <w:shd w:val="clear" w:color="auto" w:fill="2E75B6"/>
            <w:tcMar>
              <w:top w:w="60" w:type="dxa"/>
              <w:left w:w="100" w:type="dxa"/>
              <w:bottom w:w="60" w:type="dxa"/>
              <w:right w:w="100" w:type="dxa"/>
            </w:tcMar>
            <w:vAlign w:val="center"/>
          </w:tcPr>
          <w:p w14:paraId="3866576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Parameter</w:t>
            </w:r>
          </w:p>
        </w:tc>
        <w:tc>
          <w:tcPr>
            <w:tcW w:w="4500" w:type="dxa"/>
            <w:tcBorders>
              <w:bottom w:val="single" w:color="000000" w:sz="6" w:space="0"/>
            </w:tcBorders>
            <w:shd w:val="clear" w:color="auto" w:fill="2E75B6"/>
            <w:tcMar>
              <w:top w:w="60" w:type="dxa"/>
              <w:left w:w="100" w:type="dxa"/>
              <w:bottom w:w="60" w:type="dxa"/>
              <w:right w:w="100" w:type="dxa"/>
            </w:tcMar>
            <w:vAlign w:val="center"/>
          </w:tcPr>
          <w:p w14:paraId="1268B32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Value</w:t>
            </w:r>
          </w:p>
        </w:tc>
      </w:tr>
      <w:tr w14:paraId="21534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7CA50AB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Test family</w:t>
            </w:r>
          </w:p>
        </w:tc>
        <w:tc>
          <w:tcPr>
            <w:tcW w:w="4500" w:type="dxa"/>
            <w:shd w:val="clear" w:color="auto" w:fill="F2F7FB"/>
            <w:tcMar>
              <w:top w:w="60" w:type="dxa"/>
              <w:left w:w="100" w:type="dxa"/>
              <w:bottom w:w="60" w:type="dxa"/>
              <w:right w:w="100" w:type="dxa"/>
            </w:tcMar>
            <w:vAlign w:val="center"/>
          </w:tcPr>
          <w:p w14:paraId="7A90142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t-tests</w:t>
            </w:r>
          </w:p>
        </w:tc>
      </w:tr>
      <w:tr w14:paraId="0AB8B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758B123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Statistical test</w:t>
            </w:r>
          </w:p>
        </w:tc>
        <w:tc>
          <w:tcPr>
            <w:tcW w:w="4500" w:type="dxa"/>
            <w:tcMar>
              <w:top w:w="60" w:type="dxa"/>
              <w:left w:w="100" w:type="dxa"/>
              <w:bottom w:w="60" w:type="dxa"/>
              <w:right w:w="100" w:type="dxa"/>
            </w:tcMar>
            <w:vAlign w:val="center"/>
          </w:tcPr>
          <w:p w14:paraId="11B24B4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Means: Difference between two independent means</w:t>
            </w:r>
          </w:p>
        </w:tc>
      </w:tr>
      <w:tr w14:paraId="419A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6758BD2A">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Type of power analysis</w:t>
            </w:r>
          </w:p>
        </w:tc>
        <w:tc>
          <w:tcPr>
            <w:tcW w:w="4500" w:type="dxa"/>
            <w:shd w:val="clear" w:color="auto" w:fill="F2F7FB"/>
            <w:tcMar>
              <w:top w:w="60" w:type="dxa"/>
              <w:left w:w="100" w:type="dxa"/>
              <w:bottom w:w="60" w:type="dxa"/>
              <w:right w:w="100" w:type="dxa"/>
            </w:tcMar>
            <w:vAlign w:val="center"/>
          </w:tcPr>
          <w:p w14:paraId="4C72BB9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 priori: Compute required sample size</w:t>
            </w:r>
          </w:p>
        </w:tc>
      </w:tr>
      <w:tr w14:paraId="62251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418CCB0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Tails</w:t>
            </w:r>
          </w:p>
        </w:tc>
        <w:tc>
          <w:tcPr>
            <w:tcW w:w="4500" w:type="dxa"/>
            <w:tcMar>
              <w:top w:w="60" w:type="dxa"/>
              <w:left w:w="100" w:type="dxa"/>
              <w:bottom w:w="60" w:type="dxa"/>
              <w:right w:w="100" w:type="dxa"/>
            </w:tcMar>
            <w:vAlign w:val="center"/>
          </w:tcPr>
          <w:p w14:paraId="69171E99">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Two</w:t>
            </w:r>
          </w:p>
        </w:tc>
      </w:tr>
      <w:tr w14:paraId="1E2E4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381ADD7C">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Effect size d</w:t>
            </w:r>
          </w:p>
        </w:tc>
        <w:tc>
          <w:tcPr>
            <w:tcW w:w="4500" w:type="dxa"/>
            <w:shd w:val="clear" w:color="auto" w:fill="F2F7FB"/>
            <w:tcMar>
              <w:top w:w="60" w:type="dxa"/>
              <w:left w:w="100" w:type="dxa"/>
              <w:bottom w:w="60" w:type="dxa"/>
              <w:right w:w="100" w:type="dxa"/>
            </w:tcMar>
            <w:vAlign w:val="center"/>
          </w:tcPr>
          <w:p w14:paraId="410BCA8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0.70</w:t>
            </w:r>
          </w:p>
        </w:tc>
      </w:tr>
      <w:tr w14:paraId="5C636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144E1D23">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Alpha error probability</w:t>
            </w:r>
          </w:p>
        </w:tc>
        <w:tc>
          <w:tcPr>
            <w:tcW w:w="4500" w:type="dxa"/>
            <w:tcMar>
              <w:top w:w="60" w:type="dxa"/>
              <w:left w:w="100" w:type="dxa"/>
              <w:bottom w:w="60" w:type="dxa"/>
              <w:right w:w="100" w:type="dxa"/>
            </w:tcMar>
            <w:vAlign w:val="center"/>
          </w:tcPr>
          <w:p w14:paraId="2AEEB06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0.05</w:t>
            </w:r>
          </w:p>
        </w:tc>
      </w:tr>
      <w:tr w14:paraId="38BA4B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3C81756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Power (1 - beta)</w:t>
            </w:r>
          </w:p>
        </w:tc>
        <w:tc>
          <w:tcPr>
            <w:tcW w:w="4500" w:type="dxa"/>
            <w:shd w:val="clear" w:color="auto" w:fill="F2F7FB"/>
            <w:tcMar>
              <w:top w:w="60" w:type="dxa"/>
              <w:left w:w="100" w:type="dxa"/>
              <w:bottom w:w="60" w:type="dxa"/>
              <w:right w:w="100" w:type="dxa"/>
            </w:tcMar>
            <w:vAlign w:val="center"/>
          </w:tcPr>
          <w:p w14:paraId="4AADE2CE">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0.80</w:t>
            </w:r>
          </w:p>
        </w:tc>
      </w:tr>
      <w:tr w14:paraId="3D1829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1FE972D0">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Allocation ratio N2/N1</w:t>
            </w:r>
          </w:p>
        </w:tc>
        <w:tc>
          <w:tcPr>
            <w:tcW w:w="4500" w:type="dxa"/>
            <w:tcMar>
              <w:top w:w="60" w:type="dxa"/>
              <w:left w:w="100" w:type="dxa"/>
              <w:bottom w:w="60" w:type="dxa"/>
              <w:right w:w="100" w:type="dxa"/>
            </w:tcMar>
            <w:vAlign w:val="center"/>
          </w:tcPr>
          <w:p w14:paraId="435D7C4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1.00</w:t>
            </w:r>
          </w:p>
        </w:tc>
      </w:tr>
    </w:tbl>
    <w:p w14:paraId="5A01500A">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55345E7B">
      <w:pPr>
        <w:pStyle w:val="3"/>
        <w:keepNext w:val="0"/>
        <w:keepLines w:val="0"/>
        <w:pageBreakBefore w:val="0"/>
        <w:kinsoku/>
        <w:wordWrap/>
        <w:overflowPunct/>
        <w:topLinePunct w:val="0"/>
        <w:autoSpaceDE/>
        <w:autoSpaceDN/>
        <w:bidi w:val="0"/>
        <w:adjustRightInd/>
        <w:snapToGrid/>
        <w:spacing w:before="0" w:after="0" w:line="480" w:lineRule="exact"/>
        <w:textAlignment w:val="auto"/>
        <w:rPr>
          <w:rFonts w:hint="default" w:ascii="Times New Roman" w:hAnsi="Times New Roman" w:cs="Times New Roman"/>
        </w:rPr>
      </w:pPr>
      <w:r>
        <w:rPr>
          <w:rFonts w:hint="default" w:ascii="Times New Roman" w:hAnsi="Times New Roman" w:eastAsia="Times New Roman" w:cs="Times New Roman"/>
          <w:b/>
          <w:bCs/>
          <w:sz w:val="28"/>
          <w:szCs w:val="28"/>
        </w:rPr>
        <w:t>Output</w:t>
      </w:r>
    </w:p>
    <w:p w14:paraId="61865A94">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332FFD6D">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sz w:val="20"/>
        </w:rPr>
        <w:t>Table S14. Post-hoc power output (Appendix H).</w:t>
      </w:r>
    </w:p>
    <w:tbl>
      <w:tblPr>
        <w:tblStyle w:val="11"/>
        <w:tblW w:w="8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3500"/>
        <w:gridCol w:w="4500"/>
      </w:tblGrid>
      <w:tr w14:paraId="6BA52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Borders>
              <w:bottom w:val="single" w:color="000000" w:sz="6" w:space="0"/>
            </w:tcBorders>
            <w:shd w:val="clear" w:color="auto" w:fill="2E75B6"/>
            <w:tcMar>
              <w:top w:w="60" w:type="dxa"/>
              <w:left w:w="100" w:type="dxa"/>
              <w:bottom w:w="60" w:type="dxa"/>
              <w:right w:w="100" w:type="dxa"/>
            </w:tcMar>
            <w:vAlign w:val="center"/>
          </w:tcPr>
          <w:p w14:paraId="125F20F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Parameter</w:t>
            </w:r>
          </w:p>
        </w:tc>
        <w:tc>
          <w:tcPr>
            <w:tcW w:w="4500" w:type="dxa"/>
            <w:tcBorders>
              <w:bottom w:val="single" w:color="000000" w:sz="6" w:space="0"/>
            </w:tcBorders>
            <w:shd w:val="clear" w:color="auto" w:fill="2E75B6"/>
            <w:tcMar>
              <w:top w:w="60" w:type="dxa"/>
              <w:left w:w="100" w:type="dxa"/>
              <w:bottom w:w="60" w:type="dxa"/>
              <w:right w:w="100" w:type="dxa"/>
            </w:tcMar>
            <w:vAlign w:val="center"/>
          </w:tcPr>
          <w:p w14:paraId="5260B37F">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bCs/>
                <w:i w:val="0"/>
                <w:color w:val="FFFFFF"/>
                <w:sz w:val="18"/>
                <w:szCs w:val="20"/>
                <w:shd w:val="clear" w:fill="2E75B6"/>
              </w:rPr>
              <w:t>Value</w:t>
            </w:r>
          </w:p>
        </w:tc>
      </w:tr>
      <w:tr w14:paraId="35C942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4AFE1CA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Noncentrality parameter delta</w:t>
            </w:r>
          </w:p>
        </w:tc>
        <w:tc>
          <w:tcPr>
            <w:tcW w:w="4500" w:type="dxa"/>
            <w:shd w:val="clear" w:color="auto" w:fill="F2F7FB"/>
            <w:tcMar>
              <w:top w:w="60" w:type="dxa"/>
              <w:left w:w="100" w:type="dxa"/>
              <w:bottom w:w="60" w:type="dxa"/>
              <w:right w:w="100" w:type="dxa"/>
            </w:tcMar>
            <w:vAlign w:val="center"/>
          </w:tcPr>
          <w:p w14:paraId="16D29E5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2.703</w:t>
            </w:r>
          </w:p>
        </w:tc>
      </w:tr>
      <w:tr w14:paraId="30E12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69E2EAA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Critical t</w:t>
            </w:r>
          </w:p>
        </w:tc>
        <w:tc>
          <w:tcPr>
            <w:tcW w:w="4500" w:type="dxa"/>
            <w:tcMar>
              <w:top w:w="60" w:type="dxa"/>
              <w:left w:w="100" w:type="dxa"/>
              <w:bottom w:w="60" w:type="dxa"/>
              <w:right w:w="100" w:type="dxa"/>
            </w:tcMar>
            <w:vAlign w:val="center"/>
          </w:tcPr>
          <w:p w14:paraId="616AEE9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2.009</w:t>
            </w:r>
          </w:p>
        </w:tc>
      </w:tr>
      <w:tr w14:paraId="4FBBC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1DE3FE4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Df</w:t>
            </w:r>
          </w:p>
        </w:tc>
        <w:tc>
          <w:tcPr>
            <w:tcW w:w="4500" w:type="dxa"/>
            <w:shd w:val="clear" w:color="auto" w:fill="F2F7FB"/>
            <w:tcMar>
              <w:top w:w="60" w:type="dxa"/>
              <w:left w:w="100" w:type="dxa"/>
              <w:bottom w:w="60" w:type="dxa"/>
              <w:right w:w="100" w:type="dxa"/>
            </w:tcMar>
            <w:vAlign w:val="center"/>
          </w:tcPr>
          <w:p w14:paraId="53F40AD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50</w:t>
            </w:r>
          </w:p>
        </w:tc>
      </w:tr>
      <w:tr w14:paraId="4A853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425F1F0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Sample size group 1</w:t>
            </w:r>
          </w:p>
        </w:tc>
        <w:tc>
          <w:tcPr>
            <w:tcW w:w="4500" w:type="dxa"/>
            <w:tcMar>
              <w:top w:w="60" w:type="dxa"/>
              <w:left w:w="100" w:type="dxa"/>
              <w:bottom w:w="60" w:type="dxa"/>
              <w:right w:w="100" w:type="dxa"/>
            </w:tcMar>
            <w:vAlign w:val="center"/>
          </w:tcPr>
          <w:p w14:paraId="43F26BB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26</w:t>
            </w:r>
          </w:p>
        </w:tc>
      </w:tr>
      <w:tr w14:paraId="064D04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549199E4">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Sample size group 2</w:t>
            </w:r>
          </w:p>
        </w:tc>
        <w:tc>
          <w:tcPr>
            <w:tcW w:w="4500" w:type="dxa"/>
            <w:shd w:val="clear" w:color="auto" w:fill="F2F7FB"/>
            <w:tcMar>
              <w:top w:w="60" w:type="dxa"/>
              <w:left w:w="100" w:type="dxa"/>
              <w:bottom w:w="60" w:type="dxa"/>
              <w:right w:w="100" w:type="dxa"/>
            </w:tcMar>
            <w:vAlign w:val="center"/>
          </w:tcPr>
          <w:p w14:paraId="62F64717">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26</w:t>
            </w:r>
          </w:p>
        </w:tc>
      </w:tr>
      <w:tr w14:paraId="16456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tcMar>
              <w:top w:w="60" w:type="dxa"/>
              <w:left w:w="100" w:type="dxa"/>
              <w:bottom w:w="60" w:type="dxa"/>
              <w:right w:w="100" w:type="dxa"/>
            </w:tcMar>
            <w:vAlign w:val="center"/>
          </w:tcPr>
          <w:p w14:paraId="5585904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Total sample size</w:t>
            </w:r>
          </w:p>
        </w:tc>
        <w:tc>
          <w:tcPr>
            <w:tcW w:w="4500" w:type="dxa"/>
            <w:tcMar>
              <w:top w:w="60" w:type="dxa"/>
              <w:left w:w="100" w:type="dxa"/>
              <w:bottom w:w="60" w:type="dxa"/>
              <w:right w:w="100" w:type="dxa"/>
            </w:tcMar>
            <w:vAlign w:val="center"/>
          </w:tcPr>
          <w:p w14:paraId="5F0B8348">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rPr>
              <w:t>52</w:t>
            </w:r>
          </w:p>
        </w:tc>
      </w:tr>
      <w:tr w14:paraId="525300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jc w:val="center"/>
        </w:trPr>
        <w:tc>
          <w:tcPr>
            <w:tcW w:w="3500" w:type="dxa"/>
            <w:shd w:val="clear" w:color="auto" w:fill="F2F7FB"/>
            <w:tcMar>
              <w:top w:w="60" w:type="dxa"/>
              <w:left w:w="100" w:type="dxa"/>
              <w:bottom w:w="60" w:type="dxa"/>
              <w:right w:w="100" w:type="dxa"/>
            </w:tcMar>
            <w:vAlign w:val="center"/>
          </w:tcPr>
          <w:p w14:paraId="5C88DC46">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Actual power</w:t>
            </w:r>
          </w:p>
        </w:tc>
        <w:tc>
          <w:tcPr>
            <w:tcW w:w="4500" w:type="dxa"/>
            <w:shd w:val="clear" w:color="auto" w:fill="F2F7FB"/>
            <w:tcMar>
              <w:top w:w="60" w:type="dxa"/>
              <w:left w:w="100" w:type="dxa"/>
              <w:bottom w:w="60" w:type="dxa"/>
              <w:right w:w="100" w:type="dxa"/>
            </w:tcMar>
            <w:vAlign w:val="center"/>
          </w:tcPr>
          <w:p w14:paraId="6952CAB5">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r>
              <w:rPr>
                <w:rFonts w:hint="default" w:ascii="Times New Roman" w:hAnsi="Times New Roman" w:eastAsia="Times New Roman" w:cs="Times New Roman"/>
                <w:b w:val="0"/>
                <w:i w:val="0"/>
                <w:sz w:val="18"/>
                <w:szCs w:val="20"/>
                <w:shd w:val="clear" w:fill="F2F7FB"/>
              </w:rPr>
              <w:t>0.807</w:t>
            </w:r>
          </w:p>
        </w:tc>
      </w:tr>
    </w:tbl>
    <w:p w14:paraId="7EF68DEF">
      <w:pPr>
        <w:keepNext w:val="0"/>
        <w:keepLines w:val="0"/>
        <w:pageBreakBefore w:val="0"/>
        <w:kinsoku/>
        <w:wordWrap/>
        <w:overflowPunct/>
        <w:topLinePunct w:val="0"/>
        <w:autoSpaceDE/>
        <w:autoSpaceDN/>
        <w:bidi w:val="0"/>
        <w:adjustRightInd/>
        <w:snapToGrid/>
        <w:spacing w:line="480" w:lineRule="exact"/>
        <w:textAlignment w:val="auto"/>
        <w:rPr>
          <w:rFonts w:hint="default" w:ascii="Times New Roman" w:hAnsi="Times New Roman" w:cs="Times New Roman"/>
        </w:rPr>
      </w:pPr>
    </w:p>
    <w:p w14:paraId="654F68D5">
      <w:pPr>
        <w:keepNext w:val="0"/>
        <w:keepLines w:val="0"/>
        <w:pageBreakBefore w:val="0"/>
        <w:kinsoku/>
        <w:wordWrap/>
        <w:overflowPunct/>
        <w:topLinePunct w:val="0"/>
        <w:autoSpaceDE/>
        <w:autoSpaceDN/>
        <w:bidi w:val="0"/>
        <w:adjustRightInd/>
        <w:snapToGrid/>
        <w:spacing w:line="480" w:lineRule="exact"/>
        <w:jc w:val="both"/>
        <w:textAlignment w:val="auto"/>
        <w:rPr>
          <w:rFonts w:hint="default" w:ascii="Times New Roman" w:hAnsi="Times New Roman" w:cs="Times New Roman"/>
        </w:rPr>
      </w:pPr>
      <w:r>
        <w:rPr>
          <w:rFonts w:hint="default" w:ascii="Times New Roman" w:hAnsi="Times New Roman" w:cs="Times New Roman"/>
          <w:b/>
          <w:bCs/>
        </w:rPr>
        <w:t xml:space="preserve">Post-hoc achieved power (with actual n = 60 and observed d = 0.85): </w:t>
      </w:r>
      <w:r>
        <w:rPr>
          <w:rFonts w:hint="default" w:ascii="Times New Roman" w:hAnsi="Times New Roman" w:cs="Times New Roman"/>
        </w:rPr>
        <w:t>&gt;0.95.</w:t>
      </w:r>
    </w:p>
    <w:p w14:paraId="03EC2141">
      <w:pPr>
        <w:keepNext w:val="0"/>
        <w:keepLines w:val="0"/>
        <w:pageBreakBefore w:val="0"/>
        <w:kinsoku/>
        <w:wordWrap/>
        <w:overflowPunct/>
        <w:topLinePunct w:val="0"/>
        <w:autoSpaceDE/>
        <w:autoSpaceDN/>
        <w:bidi w:val="0"/>
        <w:adjustRightInd/>
        <w:snapToGrid/>
        <w:spacing w:line="480" w:lineRule="exact"/>
        <w:jc w:val="left"/>
        <w:textAlignment w:val="auto"/>
        <w:rPr>
          <w:rFonts w:hint="default" w:ascii="Times New Roman" w:hAnsi="Times New Roman" w:cs="Times New Roman"/>
        </w:rPr>
      </w:pPr>
    </w:p>
    <w:sectPr>
      <w:pgSz w:w="11906" w:h="16838"/>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documentProtection w:enforcement="0"/>
  <w:compat>
    <w:useFELayout/>
    <w:compatSetting w:name="compatibilityMode" w:uri="http://schemas.microsoft.com/office/word" w:val="15"/>
  </w:compat>
  <w:rsids>
    <w:rsidRoot w:val="00000000"/>
    <w:rsid w:val="13AE7082"/>
    <w:rsid w:val="5C53562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qFormat="1" w:uiPriority="99" w:name="endnote reference"/>
    <w:lsdException w:qFormat="1"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Times New Roman" w:cs="Times New Roman"/>
      <w:sz w:val="24"/>
      <w:szCs w:val="24"/>
    </w:rPr>
  </w:style>
  <w:style w:type="paragraph" w:styleId="2">
    <w:name w:val="heading 1"/>
    <w:next w:val="1"/>
    <w:qFormat/>
    <w:uiPriority w:val="0"/>
    <w:pPr>
      <w:spacing w:before="360" w:after="200"/>
      <w:outlineLvl w:val="0"/>
    </w:pPr>
    <w:rPr>
      <w:rFonts w:ascii="Times New Roman" w:hAnsi="Times New Roman" w:eastAsia="Times New Roman" w:cs="Times New Roman"/>
      <w:b/>
      <w:bCs/>
      <w:color w:val="2E75B6"/>
      <w:sz w:val="32"/>
      <w:szCs w:val="32"/>
    </w:rPr>
  </w:style>
  <w:style w:type="paragraph" w:styleId="3">
    <w:name w:val="heading 2"/>
    <w:next w:val="1"/>
    <w:qFormat/>
    <w:uiPriority w:val="0"/>
    <w:pPr>
      <w:spacing w:before="240" w:after="160"/>
      <w:outlineLvl w:val="1"/>
    </w:pPr>
    <w:rPr>
      <w:rFonts w:ascii="Times New Roman" w:hAnsi="Times New Roman" w:eastAsia="Times New Roman" w:cs="Times New Roman"/>
      <w:b/>
      <w:bCs/>
      <w:color w:val="2E75B6"/>
      <w:sz w:val="28"/>
      <w:szCs w:val="28"/>
    </w:rPr>
  </w:style>
  <w:style w:type="paragraph" w:styleId="4">
    <w:name w:val="heading 3"/>
    <w:next w:val="1"/>
    <w:qFormat/>
    <w:uiPriority w:val="0"/>
    <w:pPr>
      <w:spacing w:before="200" w:after="120"/>
      <w:outlineLvl w:val="2"/>
    </w:pPr>
    <w:rPr>
      <w:rFonts w:ascii="Times New Roman" w:hAnsi="Times New Roman" w:eastAsia="Times New Roman" w:cs="Times New Roman"/>
      <w:b/>
      <w:bCs/>
      <w:sz w:val="26"/>
      <w:szCs w:val="26"/>
    </w:rPr>
  </w:style>
  <w:style w:type="paragraph" w:styleId="5">
    <w:name w:val="heading 4"/>
    <w:next w:val="1"/>
    <w:qFormat/>
    <w:uiPriority w:val="0"/>
    <w:rPr>
      <w:rFonts w:ascii="Times New Roman" w:hAnsi="Times New Roman" w:eastAsia="Times New Roman" w:cs="Times New Roman"/>
      <w:i/>
      <w:iCs/>
      <w:color w:val="2E74B5"/>
      <w:sz w:val="24"/>
      <w:szCs w:val="24"/>
    </w:rPr>
  </w:style>
  <w:style w:type="paragraph" w:styleId="6">
    <w:name w:val="heading 5"/>
    <w:next w:val="1"/>
    <w:qFormat/>
    <w:uiPriority w:val="0"/>
    <w:rPr>
      <w:rFonts w:ascii="Times New Roman" w:hAnsi="Times New Roman" w:eastAsia="Times New Roman" w:cs="Times New Roman"/>
      <w:color w:val="2E74B5"/>
      <w:sz w:val="24"/>
      <w:szCs w:val="24"/>
    </w:rPr>
  </w:style>
  <w:style w:type="paragraph" w:styleId="7">
    <w:name w:val="heading 6"/>
    <w:next w:val="1"/>
    <w:qFormat/>
    <w:uiPriority w:val="0"/>
    <w:rPr>
      <w:rFonts w:ascii="Times New Roman" w:hAnsi="Times New Roman" w:eastAsia="Times New Roman" w:cs="Times New Roman"/>
      <w:color w:val="1F4D78"/>
      <w:sz w:val="24"/>
      <w:szCs w:val="24"/>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8">
    <w:name w:val="endnote text"/>
    <w:link w:val="18"/>
    <w:semiHidden/>
    <w:unhideWhenUsed/>
    <w:qFormat/>
    <w:uiPriority w:val="99"/>
    <w:pPr>
      <w:spacing w:after="0" w:line="240" w:lineRule="auto"/>
    </w:pPr>
    <w:rPr>
      <w:rFonts w:ascii="Times New Roman" w:hAnsi="Times New Roman" w:eastAsia="Times New Roman" w:cs="Times New Roman"/>
      <w:sz w:val="20"/>
      <w:szCs w:val="20"/>
    </w:rPr>
  </w:style>
  <w:style w:type="paragraph" w:styleId="9">
    <w:name w:val="footnote text"/>
    <w:link w:val="17"/>
    <w:semiHidden/>
    <w:unhideWhenUsed/>
    <w:qFormat/>
    <w:uiPriority w:val="99"/>
    <w:pPr>
      <w:spacing w:after="0" w:line="240" w:lineRule="auto"/>
    </w:pPr>
    <w:rPr>
      <w:rFonts w:ascii="Times New Roman" w:hAnsi="Times New Roman" w:eastAsia="Times New Roman" w:cs="Times New Roman"/>
      <w:sz w:val="20"/>
      <w:szCs w:val="20"/>
    </w:rPr>
  </w:style>
  <w:style w:type="paragraph" w:styleId="10">
    <w:name w:val="Title"/>
    <w:qFormat/>
    <w:uiPriority w:val="0"/>
    <w:rPr>
      <w:rFonts w:ascii="Times New Roman" w:hAnsi="Times New Roman" w:eastAsia="Times New Roman" w:cs="Times New Roman"/>
      <w:sz w:val="56"/>
      <w:szCs w:val="56"/>
    </w:rPr>
  </w:style>
  <w:style w:type="character" w:styleId="13">
    <w:name w:val="endnote reference"/>
    <w:semiHidden/>
    <w:unhideWhenUsed/>
    <w:qFormat/>
    <w:uiPriority w:val="99"/>
    <w:rPr>
      <w:vertAlign w:val="superscript"/>
    </w:rPr>
  </w:style>
  <w:style w:type="character" w:styleId="14">
    <w:name w:val="Hyperlink"/>
    <w:unhideWhenUsed/>
    <w:qFormat/>
    <w:uiPriority w:val="99"/>
    <w:rPr>
      <w:color w:val="0563C1"/>
      <w:u w:val="single"/>
    </w:rPr>
  </w:style>
  <w:style w:type="character" w:styleId="15">
    <w:name w:val="footnote reference"/>
    <w:semiHidden/>
    <w:unhideWhenUsed/>
    <w:qFormat/>
    <w:uiPriority w:val="99"/>
    <w:rPr>
      <w:vertAlign w:val="superscript"/>
    </w:rPr>
  </w:style>
  <w:style w:type="paragraph" w:styleId="16">
    <w:name w:val="List Paragraph"/>
    <w:qFormat/>
    <w:uiPriority w:val="0"/>
    <w:rPr>
      <w:rFonts w:ascii="Times New Roman" w:hAnsi="Times New Roman" w:eastAsia="Times New Roman" w:cs="Times New Roman"/>
      <w:sz w:val="24"/>
      <w:szCs w:val="24"/>
    </w:rPr>
  </w:style>
  <w:style w:type="character" w:customStyle="1" w:styleId="17">
    <w:name w:val="Footnote Text Char"/>
    <w:link w:val="9"/>
    <w:semiHidden/>
    <w:unhideWhenUsed/>
    <w:qFormat/>
    <w:uiPriority w:val="99"/>
    <w:rPr>
      <w:sz w:val="20"/>
      <w:szCs w:val="20"/>
    </w:rPr>
  </w:style>
  <w:style w:type="character" w:customStyle="1" w:styleId="18">
    <w:name w:val="Endnote Text Char"/>
    <w:link w:val="8"/>
    <w:semiHidden/>
    <w:unhideWhenUsed/>
    <w:qFormat/>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3010</Words>
  <Characters>18755</Characters>
  <TotalTime>2</TotalTime>
  <ScaleCrop>false</ScaleCrop>
  <LinksUpToDate>false</LinksUpToDate>
  <CharactersWithSpaces>21360</CharactersWithSpaces>
  <Application>WPS Office_12.1.0.28043_F1E327BC-269C-435d-A152-05C5408002CA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2026-06-30T07:07:00Z</dcterms:created>
  <dc:creator>Un-named</dc:creator>
  <cp:lastModifiedBy>董志涛</cp:lastModifiedBy>
  <dcterms:modified xsi:type="dcterms:W3CDTF">2026-08-19T08:13:45Z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eyJoZGlkIjoiMTcxNWVhMzM1MTlkM2YwNjNlNjcyY2YxMzBiMzgxMjEiLCJ1c2VySWQiOiIyMzY2MzQ0NDQifQ==</vt:lpwstr>
  </property>
  <property fmtid="{D5CDD505-2E9C-101B-9397-08002B2CF9AE}" pid="3" name="KSOProductBuildVer">
    <vt:lpwstr>2052-12.1.0.28043</vt:lpwstr>
  </property>
  <property fmtid="{D5CDD505-2E9C-101B-9397-08002B2CF9AE}" pid="4" name="ICV">
    <vt:lpwstr>C912897D265742E894DB26BACCBA2421_12</vt:lpwstr>
  </property>
</Properties>
</file>