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F1" w:rsidRPr="00E11997" w:rsidRDefault="00DC45F1" w:rsidP="00DC45F1">
      <w:pPr>
        <w:pStyle w:val="Caption"/>
        <w:keepNext/>
        <w:spacing w:line="480" w:lineRule="auto"/>
        <w:outlineLvl w:val="0"/>
        <w:rPr>
          <w:rFonts w:ascii="Arial" w:hAnsi="Arial" w:cs="Arial"/>
          <w:color w:val="auto"/>
          <w:sz w:val="24"/>
          <w:szCs w:val="24"/>
        </w:rPr>
      </w:pPr>
      <w:proofErr w:type="gramStart"/>
      <w:r>
        <w:rPr>
          <w:rFonts w:ascii="Arial" w:hAnsi="Arial" w:cs="Arial"/>
          <w:color w:val="auto"/>
          <w:sz w:val="24"/>
          <w:szCs w:val="24"/>
        </w:rPr>
        <w:t>Supplemental T</w:t>
      </w:r>
      <w:r w:rsidRPr="00E11997">
        <w:rPr>
          <w:rFonts w:ascii="Arial" w:hAnsi="Arial" w:cs="Arial"/>
          <w:color w:val="auto"/>
          <w:sz w:val="24"/>
          <w:szCs w:val="24"/>
        </w:rPr>
        <w:t xml:space="preserve">able </w:t>
      </w:r>
      <w:r>
        <w:rPr>
          <w:rFonts w:ascii="Arial" w:hAnsi="Arial" w:cs="Arial"/>
          <w:color w:val="auto"/>
          <w:sz w:val="24"/>
          <w:szCs w:val="24"/>
        </w:rPr>
        <w:t>2</w:t>
      </w:r>
      <w:r w:rsidRPr="00E11997">
        <w:rPr>
          <w:rFonts w:ascii="Arial" w:hAnsi="Arial" w:cs="Arial"/>
          <w:color w:val="auto"/>
          <w:sz w:val="24"/>
          <w:szCs w:val="24"/>
        </w:rPr>
        <w:t>.</w:t>
      </w:r>
      <w:proofErr w:type="gramEnd"/>
      <w:r w:rsidRPr="00E11997">
        <w:rPr>
          <w:rFonts w:ascii="Arial" w:hAnsi="Arial" w:cs="Arial"/>
          <w:color w:val="auto"/>
          <w:sz w:val="24"/>
          <w:szCs w:val="24"/>
        </w:rPr>
        <w:t xml:space="preserve">  </w:t>
      </w:r>
      <w:r>
        <w:rPr>
          <w:rFonts w:ascii="Arial" w:hAnsi="Arial" w:cs="Arial"/>
          <w:color w:val="auto"/>
          <w:sz w:val="24"/>
          <w:szCs w:val="24"/>
        </w:rPr>
        <w:t xml:space="preserve">Lab Values, </w:t>
      </w:r>
      <w:r w:rsidRPr="00E11997">
        <w:rPr>
          <w:rFonts w:ascii="Arial" w:hAnsi="Arial" w:cs="Arial"/>
          <w:color w:val="auto"/>
          <w:sz w:val="24"/>
          <w:szCs w:val="24"/>
        </w:rPr>
        <w:t>Illness</w:t>
      </w:r>
      <w:r>
        <w:rPr>
          <w:rFonts w:ascii="Arial" w:hAnsi="Arial" w:cs="Arial"/>
          <w:color w:val="auto"/>
          <w:sz w:val="24"/>
          <w:szCs w:val="24"/>
        </w:rPr>
        <w:t xml:space="preserve"> Characteristics and Therapy for Derivation Cohort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765"/>
        <w:gridCol w:w="830"/>
        <w:gridCol w:w="1110"/>
      </w:tblGrid>
      <w:tr w:rsidR="00DC45F1" w:rsidRPr="007B26E3" w:rsidTr="001A7346">
        <w:trPr>
          <w:trHeight w:hRule="exact" w:val="308"/>
        </w:trPr>
        <w:tc>
          <w:tcPr>
            <w:tcW w:w="0" w:type="auto"/>
            <w:shd w:val="clear" w:color="auto" w:fill="auto"/>
          </w:tcPr>
          <w:p w:rsidR="00DC45F1" w:rsidRPr="005D0A55" w:rsidRDefault="00DC45F1" w:rsidP="001A7346">
            <w:pPr>
              <w:spacing w:line="480" w:lineRule="auto"/>
              <w:rPr>
                <w:rFonts w:ascii="Arial" w:hAnsi="Arial"/>
                <w:b/>
              </w:rPr>
            </w:pPr>
            <w:r w:rsidRPr="005D0A55">
              <w:rPr>
                <w:rFonts w:ascii="Arial" w:hAnsi="Arial"/>
                <w:b/>
              </w:rPr>
              <w:t>Variable</w:t>
            </w:r>
          </w:p>
        </w:tc>
        <w:tc>
          <w:tcPr>
            <w:tcW w:w="0" w:type="auto"/>
            <w:shd w:val="clear" w:color="auto" w:fill="auto"/>
          </w:tcPr>
          <w:p w:rsidR="00DC45F1" w:rsidRPr="003002BD" w:rsidRDefault="00DC45F1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3002BD">
              <w:rPr>
                <w:rFonts w:ascii="Arial" w:hAnsi="Arial"/>
                <w:b/>
              </w:rPr>
              <w:t>Mean</w:t>
            </w:r>
          </w:p>
        </w:tc>
        <w:tc>
          <w:tcPr>
            <w:tcW w:w="0" w:type="auto"/>
            <w:shd w:val="clear" w:color="auto" w:fill="auto"/>
          </w:tcPr>
          <w:p w:rsidR="00DC45F1" w:rsidRPr="003002BD" w:rsidRDefault="00DC45F1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3002BD">
              <w:rPr>
                <w:rFonts w:ascii="Arial" w:hAnsi="Arial"/>
                <w:b/>
              </w:rPr>
              <w:t>Std Dev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A</w:t>
            </w:r>
            <w:r>
              <w:rPr>
                <w:rFonts w:ascii="Arial" w:hAnsi="Arial"/>
              </w:rPr>
              <w:t>PACHE</w:t>
            </w:r>
            <w:r w:rsidRPr="007B26E3">
              <w:rPr>
                <w:rFonts w:ascii="Arial" w:hAnsi="Arial"/>
              </w:rPr>
              <w:t xml:space="preserve"> II score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26.2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8.4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Heart rate (/min)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Core temperature (</w:t>
            </w:r>
            <w:r w:rsidRPr="00E8109C">
              <w:rPr>
                <w:rFonts w:ascii="Arial" w:hAnsi="Arial"/>
                <w:vertAlign w:val="superscript"/>
              </w:rPr>
              <w:t>o</w:t>
            </w:r>
            <w:r>
              <w:rPr>
                <w:rFonts w:ascii="Arial" w:hAnsi="Arial"/>
              </w:rPr>
              <w:t>C)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37.6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1.7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4757C6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4757C6">
              <w:rPr>
                <w:rFonts w:ascii="Arial" w:hAnsi="Arial"/>
                <w:b/>
              </w:rPr>
              <w:t>Blood assay on Day 1</w:t>
            </w:r>
          </w:p>
        </w:tc>
        <w:tc>
          <w:tcPr>
            <w:tcW w:w="0" w:type="auto"/>
            <w:shd w:val="clear" w:color="auto" w:fill="auto"/>
          </w:tcPr>
          <w:p w:rsidR="00DC45F1" w:rsidRPr="003002BD" w:rsidRDefault="00DC45F1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3002BD" w:rsidRDefault="00DC45F1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Creatinine</w:t>
            </w:r>
            <w:r>
              <w:rPr>
                <w:rFonts w:ascii="Arial" w:hAnsi="Arial"/>
              </w:rPr>
              <w:t xml:space="preserve"> (µmol/L)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143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Bilirubin</w:t>
            </w:r>
            <w:r>
              <w:rPr>
                <w:rFonts w:ascii="Arial" w:hAnsi="Arial"/>
              </w:rPr>
              <w:t xml:space="preserve"> (µmol/L)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87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Bicarbonate</w:t>
            </w:r>
            <w:r>
              <w:rPr>
                <w:rFonts w:ascii="Arial" w:hAnsi="Arial"/>
              </w:rPr>
              <w:t xml:space="preserve"> (mEq/L)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19.1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6.3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Lactate</w:t>
            </w:r>
            <w:r>
              <w:rPr>
                <w:rFonts w:ascii="Arial" w:hAnsi="Arial"/>
              </w:rPr>
              <w:t xml:space="preserve"> (mmol/L)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4.7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4.3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Platelets</w:t>
            </w:r>
            <w:r>
              <w:rPr>
                <w:rFonts w:ascii="Arial" w:hAnsi="Arial"/>
              </w:rPr>
              <w:t xml:space="preserve"> (X10</w:t>
            </w:r>
            <w:r w:rsidRPr="003002BD">
              <w:rPr>
                <w:rFonts w:ascii="Arial" w:hAnsi="Arial"/>
                <w:vertAlign w:val="superscript"/>
              </w:rPr>
              <w:t>9</w:t>
            </w:r>
            <w:r>
              <w:rPr>
                <w:rFonts w:ascii="Arial" w:hAnsi="Arial"/>
              </w:rPr>
              <w:t>/L)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146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 xml:space="preserve">INR 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1.8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>3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 xml:space="preserve">WBC </w:t>
            </w:r>
            <w:r>
              <w:rPr>
                <w:rFonts w:ascii="Arial" w:hAnsi="Arial"/>
              </w:rPr>
              <w:t>count (X10</w:t>
            </w:r>
            <w:r w:rsidRPr="003002BD">
              <w:rPr>
                <w:rFonts w:ascii="Arial" w:hAnsi="Arial"/>
                <w:vertAlign w:val="superscript"/>
              </w:rPr>
              <w:t>6</w:t>
            </w:r>
            <w:r>
              <w:rPr>
                <w:rFonts w:ascii="Arial" w:hAnsi="Arial"/>
              </w:rPr>
              <w:t>/L)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16.3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15.3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3002BD" w:rsidRDefault="00DC45F1" w:rsidP="001A7346">
            <w:pPr>
              <w:spacing w:line="480" w:lineRule="auto"/>
              <w:rPr>
                <w:rFonts w:ascii="Arial" w:hAnsi="Arial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3002BD">
              <w:rPr>
                <w:rFonts w:ascii="Arial" w:hAnsi="Arial"/>
                <w:b/>
              </w:rPr>
              <w:t>Infection characteristics</w:t>
            </w:r>
          </w:p>
        </w:tc>
        <w:tc>
          <w:tcPr>
            <w:tcW w:w="0" w:type="auto"/>
            <w:shd w:val="clear" w:color="auto" w:fill="auto"/>
          </w:tcPr>
          <w:p w:rsidR="00DC45F1" w:rsidRPr="004757C6" w:rsidRDefault="00DC45F1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4757C6">
              <w:rPr>
                <w:rFonts w:ascii="Arial" w:hAnsi="Arial"/>
                <w:b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DC45F1" w:rsidRPr="004757C6" w:rsidRDefault="00DC45F1" w:rsidP="001A7346">
            <w:pPr>
              <w:spacing w:line="480" w:lineRule="auto"/>
              <w:jc w:val="center"/>
              <w:rPr>
                <w:rFonts w:ascii="Arial" w:hAnsi="Arial"/>
                <w:b/>
              </w:rPr>
            </w:pPr>
            <w:r w:rsidRPr="004757C6">
              <w:rPr>
                <w:rFonts w:ascii="Arial" w:hAnsi="Arial"/>
                <w:b/>
              </w:rPr>
              <w:t>%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3002BD" w:rsidRDefault="00DC45F1" w:rsidP="001A7346">
            <w:pPr>
              <w:spacing w:line="48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Nosocomial acquisition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2402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44.4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Bacteremia</w:t>
            </w:r>
            <w:r>
              <w:rPr>
                <w:rFonts w:ascii="Arial" w:hAnsi="Arial"/>
              </w:rPr>
              <w:t>/fungemia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1885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34.9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rPr>
                <w:rFonts w:ascii="Arial" w:hAnsi="Arial"/>
              </w:rPr>
            </w:pPr>
            <w:r w:rsidRPr="007B26E3">
              <w:rPr>
                <w:rFonts w:ascii="Arial" w:hAnsi="Arial"/>
              </w:rPr>
              <w:t>Culture positive</w:t>
            </w:r>
          </w:p>
        </w:tc>
        <w:tc>
          <w:tcPr>
            <w:tcW w:w="0" w:type="auto"/>
            <w:shd w:val="clear" w:color="auto" w:fill="auto"/>
          </w:tcPr>
          <w:p w:rsidR="00DC45F1" w:rsidRPr="007B26E3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3822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70.7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Source control required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2291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42.3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Therapies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Drotrecogin-alfa (activated)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2.2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Low dose corticosteroids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1456</w:t>
            </w: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26.9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Default="00DC45F1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Primary Infection Site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C87A5B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C87A5B">
              <w:rPr>
                <w:rFonts w:ascii="Arial" w:hAnsi="Arial" w:cs="Arial"/>
                <w:b/>
              </w:rPr>
              <w:t>%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Pulmonary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2035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37</w:t>
            </w:r>
            <w:r w:rsidRPr="00C87A5B">
              <w:rPr>
                <w:rFonts w:ascii="Arial" w:hAnsi="Arial" w:cs="Arial"/>
                <w:color w:val="000000"/>
              </w:rPr>
              <w:t>.6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Abdominal/GI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1616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29.9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Urinary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573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10.6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Skin/Soft tissue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4</w:t>
            </w: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8.0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Central nervous system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1.0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Intravascular catheter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2.9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</w:rPr>
            </w:pPr>
            <w:r w:rsidRPr="00C87A5B">
              <w:rPr>
                <w:rFonts w:ascii="Arial" w:hAnsi="Arial" w:cs="Arial"/>
                <w:color w:val="000000"/>
              </w:rPr>
              <w:t>Primary bloodstream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272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5.0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Disseminated systemic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Bone and joint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Mediastinal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Infecting Organism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b/>
                <w:color w:val="000000"/>
              </w:rPr>
              <w:t>%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b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S. aureus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544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14.2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S. pneumoniae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285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7.5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Other streptococci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294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7.7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other gram +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4.0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E. coli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21.7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C87A5B">
              <w:rPr>
                <w:rFonts w:ascii="Arial" w:hAnsi="Arial" w:cs="Arial"/>
                <w:color w:val="000000"/>
              </w:rPr>
              <w:t>other enterobacteriaciae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589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15.4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Pseudomonas aeruginosa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269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7.0 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Other </w:t>
            </w:r>
            <w:r w:rsidRPr="00C87A5B">
              <w:rPr>
                <w:rFonts w:ascii="Arial" w:hAnsi="Arial" w:cs="Arial"/>
                <w:color w:val="000000"/>
              </w:rPr>
              <w:t>non-enterobacteriaciae gram - bacilli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2.4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candida/fungi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424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11.4</w:t>
            </w:r>
          </w:p>
        </w:tc>
      </w:tr>
      <w:tr w:rsidR="00DC45F1" w:rsidRPr="007B26E3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Other organisms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323</w:t>
            </w:r>
          </w:p>
        </w:tc>
        <w:tc>
          <w:tcPr>
            <w:tcW w:w="0" w:type="auto"/>
            <w:shd w:val="clear" w:color="auto" w:fill="auto"/>
          </w:tcPr>
          <w:p w:rsidR="00DC45F1" w:rsidRPr="00C87A5B" w:rsidRDefault="00DC45F1" w:rsidP="001A7346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8.7</w:t>
            </w:r>
          </w:p>
        </w:tc>
      </w:tr>
    </w:tbl>
    <w:p w:rsidR="00DC45F1" w:rsidRPr="003002BD" w:rsidRDefault="00DC45F1" w:rsidP="00DC45F1">
      <w:pPr>
        <w:rPr>
          <w:rFonts w:ascii="Arial" w:hAnsi="Arial" w:cs="Arial"/>
        </w:rPr>
      </w:pPr>
    </w:p>
    <w:p w:rsidR="00DC45F1" w:rsidRDefault="00DC45F1" w:rsidP="00DC45F1">
      <w:pPr>
        <w:pStyle w:val="Caption"/>
        <w:keepNext/>
        <w:outlineLvl w:val="0"/>
        <w:rPr>
          <w:rFonts w:ascii="Arial" w:hAnsi="Arial" w:cs="Arial"/>
          <w:b w:val="0"/>
          <w:color w:val="auto"/>
          <w:sz w:val="24"/>
          <w:szCs w:val="24"/>
        </w:rPr>
      </w:pPr>
      <w:r w:rsidRPr="003002BD">
        <w:rPr>
          <w:rFonts w:ascii="Arial" w:hAnsi="Arial" w:cs="Arial"/>
          <w:b w:val="0"/>
          <w:color w:val="auto"/>
          <w:sz w:val="24"/>
          <w:szCs w:val="24"/>
        </w:rPr>
        <w:t>APACHE = Acute Physiology and Chronic Health Evaluation</w:t>
      </w:r>
    </w:p>
    <w:p w:rsidR="00DC45F1" w:rsidRPr="003002BD" w:rsidRDefault="00DC45F1" w:rsidP="00DC45F1">
      <w:pPr>
        <w:pStyle w:val="Caption"/>
        <w:keepNext/>
        <w:rPr>
          <w:rFonts w:ascii="Arial" w:hAnsi="Arial" w:cs="Arial"/>
          <w:b w:val="0"/>
          <w:color w:val="auto"/>
          <w:sz w:val="24"/>
          <w:szCs w:val="24"/>
        </w:rPr>
      </w:pPr>
      <w:r w:rsidRPr="003002BD">
        <w:rPr>
          <w:rFonts w:ascii="Arial" w:hAnsi="Arial" w:cs="Arial"/>
          <w:b w:val="0"/>
          <w:color w:val="auto"/>
          <w:sz w:val="24"/>
          <w:szCs w:val="24"/>
        </w:rPr>
        <w:t>INR = International normalized ratio</w:t>
      </w:r>
    </w:p>
    <w:p w:rsidR="00DC45F1" w:rsidRDefault="00DC45F1" w:rsidP="00DC45F1">
      <w:pPr>
        <w:pStyle w:val="Caption"/>
        <w:keepNext/>
        <w:rPr>
          <w:rFonts w:ascii="Arial" w:hAnsi="Arial" w:cs="Arial"/>
          <w:b w:val="0"/>
          <w:color w:val="auto"/>
          <w:sz w:val="24"/>
          <w:szCs w:val="24"/>
        </w:rPr>
      </w:pPr>
      <w:r w:rsidRPr="003002BD">
        <w:rPr>
          <w:rFonts w:ascii="Arial" w:hAnsi="Arial" w:cs="Arial"/>
          <w:b w:val="0"/>
          <w:color w:val="auto"/>
          <w:sz w:val="24"/>
          <w:szCs w:val="24"/>
        </w:rPr>
        <w:t>WBC = White blood cell</w:t>
      </w:r>
    </w:p>
    <w:p w:rsidR="00176978" w:rsidRDefault="00DC45F1" w:rsidP="00DC45F1">
      <w:r>
        <w:rPr>
          <w:rFonts w:ascii="Arial" w:hAnsi="Arial" w:cs="Arial"/>
          <w:b/>
        </w:rPr>
        <w:t>Low dose corticosteroid dose (150-300 mg hydrocortisone daily equivalent)</w:t>
      </w:r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F1"/>
    <w:rsid w:val="00176978"/>
    <w:rsid w:val="005C6641"/>
    <w:rsid w:val="00BE21D1"/>
    <w:rsid w:val="00D12BB3"/>
    <w:rsid w:val="00DC45F1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5F1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45F1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C45F1"/>
    <w:pPr>
      <w:spacing w:after="200"/>
    </w:pPr>
    <w:rPr>
      <w:rFonts w:eastAsia="Times New Roman"/>
      <w:b/>
      <w:bCs/>
      <w:noProof w:val="0"/>
      <w:color w:val="4F81BD" w:themeColor="accent1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5F1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45F1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C45F1"/>
    <w:pPr>
      <w:spacing w:after="200"/>
    </w:pPr>
    <w:rPr>
      <w:rFonts w:eastAsia="Times New Roman"/>
      <w:b/>
      <w:bCs/>
      <w:noProof w:val="0"/>
      <w:color w:val="4F81BD" w:themeColor="accent1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2019-06-28T04:02:00Z</dcterms:created>
  <dcterms:modified xsi:type="dcterms:W3CDTF">2019-06-28T04:03:00Z</dcterms:modified>
</cp:coreProperties>
</file>