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Arial" w:hAnsi="Arial" w:eastAsia="Arial" w:cs="Arial"/>
          <w:b/>
          <w:sz w:val="32"/>
        </w:rPr>
        <w:t>Supplementary Appendix</w:t>
      </w:r>
    </w:p>
    <w:p>
      <w:r>
        <w:rPr>
          <w:rFonts w:ascii="Arial" w:hAnsi="Arial" w:eastAsia="Arial" w:cs="Arial"/>
        </w:rPr>
        <w:t>Risk Assessability and Recorded Organ-Protective Therapy Gaps in Type 2 Diabetes: A Five-Center Cross-Sectional Study</w:t>
      </w:r>
    </w:p>
    <w:p>
      <w:r>
        <w:rPr>
          <w:b w:val="0"/>
          <w:i/>
          <w:sz w:val="18"/>
        </w:rPr>
        <w:t>Authors: Wenxuan Li, Jinghan Zheng, Wenshan Lv, Lili Xu, Ke Si, Yuzhao Liu, Shuhui Hu, Shengli Wu, Yuancheng Dai, Qijuan Dong, Qidong Zheng, and Yangang Wang</w:t>
      </w:r>
    </w:p>
    <w:p>
      <w:r>
        <w:rPr>
          <w:rFonts w:ascii="Arial" w:hAnsi="Arial" w:eastAsia="Arial" w:cs="Arial"/>
        </w:rPr>
        <w:t>This appendix provides the definitions and concise robustness summaries needed to interpret the article. Full coefficients, center-period cells, center-year assessability, machine-readable numerators and denominators, imputation traces, and weighting diagnostics appear in Additional Files 2–4.</w:t>
      </w:r>
    </w:p>
    <w:p>
      <w:pPr>
        <w:pStyle w:val="Heading1"/>
      </w:pPr>
      <w:r>
        <w:rPr>
          <w:rFonts w:ascii="Arial" w:hAnsi="Arial" w:eastAsia="Arial" w:cs="Arial"/>
        </w:rPr>
        <w:t>Supplementary methods</w:t>
      </w:r>
    </w:p>
    <w:p>
      <w:r>
        <w:rPr>
          <w:rFonts w:ascii="Arial" w:hAnsi="Arial" w:eastAsia="Arial" w:cs="Arial"/>
        </w:rPr>
        <w:t>The analytic unit was one first eligible visit per center-specific adult. A definite type 2 diabetes record required age ≥18 years, a valid visit date, recorded sex, and either an explicit structured type 2 diabetes diagnosis or a diabetes-type field coded as type 2. Primary inference covered 2021–2025. We prespecified the 2021–2022 and 2023–2025 split as a pragmatic early-versus-later contemporary comparison with sufficient counts in every domain.</w:t>
      </w:r>
    </w:p>
    <w:p>
      <w:r>
        <w:rPr>
          <w:rFonts w:ascii="Arial" w:hAnsi="Arial" w:eastAsia="Arial" w:cs="Arial"/>
        </w:rPr>
        <w:t>Structured diagnoses and clinical values had been entered or reviewed during routine care before export and were accepted as source-of-record inputs. Participant identifiers were deduplicated within centers; cross-center linkage was unavailable.</w:t>
      </w:r>
    </w:p>
    <w:p>
      <w:r>
        <w:rPr>
          <w:rFonts w:ascii="Arial" w:hAnsi="Arial" w:eastAsia="Arial" w:cs="Arial"/>
        </w:rPr>
        <w:t>We classified medication status as current or plausibly current when the record indicated ongoing use, or when a start date was present without an end date or stop indicator. Fixed-dose combinations were resolved to their active ingredients. Unknown medication status remained separate from absence of therapy. Review of 1,978 raw center-specific names confirmed the analytical mapping.</w:t>
      </w:r>
    </w:p>
    <w:p>
      <w:r>
        <w:rPr>
          <w:rFonts w:ascii="Arial" w:hAnsi="Arial" w:eastAsia="Arial" w:cs="Arial"/>
        </w:rPr>
        <w:t>UACR was harmonized to mg/g. The technical review covered uncertain units, inequalities, parsing failures, values around 30 mg/g, extreme values, and routine center-stratified samples. All reviewed classifications agreed with the prespecified rules. Unresolved units remained unknown.</w:t>
      </w:r>
    </w:p>
    <w:p>
      <w:r>
        <w:rPr>
          <w:rFonts w:ascii="Arial" w:hAnsi="Arial" w:eastAsia="Arial" w:cs="Arial"/>
        </w:rPr>
        <w:t>Modified Poisson models with HC0 robust variance estimated PRs; logistic marginal standardization estimated adjusted probabilities and RDs. Fifty completed datasets came from five independently seeded chains, with 100 burn-in iterations and 20 updates between retained datasets. Outcomes, centers, periods, risk-defining variables, and medication assessability were not imputed. Separate stabilized weights addressed risk and medication assessability; propensities were bounded at 0.02 and 0.98, and weights were truncated at the 1st and 99th percentiles.</w:t>
      </w:r>
    </w:p>
    <w:p>
      <w:r>
        <w:rPr>
          <w:rFonts w:ascii="Arial" w:hAnsi="Arial" w:eastAsia="Arial" w:cs="Arial"/>
        </w:rPr>
        <w:t>The follow-up analysis used the first eligible later visit and remained exploratory. A first recorded appearance may reflect a new prescription, reconciliation, or delayed entry; it was not treated as proof of treatment initiation or as a causal endpoint.</w:t>
      </w:r>
    </w:p>
    <w:p>
      <w:pPr>
        <w:sectPr>
          <w:footerReference w:type="default" r:id="rId9"/>
          <w:headerReference w:type="default" r:id="rId10"/>
          <w:pgSz w:w="12240" w:h="15840"/>
          <w:pgMar w:top="1008" w:right="1008" w:bottom="1008" w:left="1008" w:header="648" w:footer="648" w:gutter="0"/>
          <w:cols w:space="720"/>
          <w:docGrid w:linePitch="360"/>
        </w:sectPr>
      </w:pPr>
    </w:p>
    <w:p>
      <w:pPr>
        <w:pStyle w:val="Heading1"/>
      </w:pPr>
      <w:r>
        <w:rPr>
          <w:rFonts w:ascii="Arial" w:hAnsi="Arial" w:eastAsia="Arial" w:cs="Arial"/>
        </w:rPr>
        <w:t>Supplementary Table S1. Cohort and risk–therapy definitions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2880"/>
        <w:gridCol w:w="7200"/>
      </w:tblGrid>
      <w:tr>
        <w:trPr>
          <w:tblHeader w:val="true"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6"/>
              </w:rPr>
              <w:t>Definition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6"/>
              </w:rPr>
              <w:t>Operational rule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Definite type 2 diabetes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Age ≥18 years; valid visit date; sex recorded; explicit structured type 2 diabetes diagnosis or type field coded as type 2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Primary index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First eligible visit per center-specific participant during 2021–2025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Kidney-risk signal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eGFR &lt;60 mL/min/1.73 m² or UACR ≥30 mg/g; SGLT2 inhibitor boundary also requires eGFR ≥20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Core ASCVD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Recorded coronary heart disease or stroke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Albuminuria-hypertension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UACR ≥30 mg/g plus a recorded hypertension diagnosis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Recorded therapy gap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Risk criterion and treatment boundary met; medication assessable; no aligned therapy record</w:t>
            </w:r>
          </w:p>
        </w:tc>
      </w:tr>
      <w:tr>
        <w:trPr>
          <w:cantSplit/>
        </w:trPr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Strict kidney chronicity</w:t>
            </w:r>
          </w:p>
        </w:tc>
        <w:tc>
          <w:tcPr>
            <w:tcW w:type="dxa" w:w="72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Two abnormal eGFR or UACR measurements 90–365 days apart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</w:rPr>
        <w:t>Supplementary Table S2. Medication and evidence-domain definitions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2520"/>
        <w:gridCol w:w="4680"/>
        <w:gridCol w:w="2880"/>
      </w:tblGrid>
      <w:tr>
        <w:trPr>
          <w:tblHeader w:val="true"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6"/>
              </w:rPr>
              <w:t>Medication set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6"/>
              </w:rPr>
              <w:t>Generic names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6"/>
              </w:rPr>
              <w:t>Analytic use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Kidney evidence-aligned SGLT2 inhibitor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Dapagliflozin; empagliflozin; canagliflozin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Kidney-risk/SGLT2 inhibitor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ASCVD evidence-aligned SGLT2 inhibitor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Empagliflozin; canagliflozin; dapagliflozin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ASCVD/newer agents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ASCVD evidence-aligned GLP-1 receptor agonist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Liraglutide; semaglutide; dulaglutide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ASCVD/newer agents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Statin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Atorvastatin; rosuvastatin; simvastatin; pitavastatin; pravastatin; fluvastatin; lovastatin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ASCVD/statin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ACE inhibitor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Benazepril; enalapril; perindopril; ramipril; fosinopril; captopril; lisinopril; imidapril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Albuminuria-hypertension/ACE inhibitor or ARB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ARB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Valsartan; irbesartan; losartan; telmisartan; olmesartan; candesartan; allisartan medoxomil; azilsartan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Albuminuria-hypertension/ACE inhibitor or ARB</w:t>
            </w:r>
          </w:p>
        </w:tc>
      </w:tr>
      <w:tr>
        <w:trPr>
          <w:cantSplit/>
        </w:trPr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6"/>
              </w:rPr>
              <w:t>ARNI exclusion</w:t>
            </w:r>
          </w:p>
        </w:tc>
        <w:tc>
          <w:tcPr>
            <w:tcW w:type="dxa" w:w="46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Sacubitril/valsartan</w:t>
            </w:r>
          </w:p>
        </w:tc>
        <w:tc>
          <w:tcPr>
            <w:tcW w:type="dxa" w:w="28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6"/>
              </w:rPr>
              <w:t>Classified separately; does not satisfy the ACE inhibitor/ARB endpoint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</w:rPr>
        <w:t>Supplementary Table S3. Four-domain care cascade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168"/>
        <w:gridCol w:w="1080"/>
        <w:gridCol w:w="1584"/>
        <w:gridCol w:w="1152"/>
        <w:gridCol w:w="1368"/>
        <w:gridCol w:w="1368"/>
        <w:gridCol w:w="1152"/>
        <w:gridCol w:w="1800"/>
      </w:tblGrid>
      <w:tr>
        <w:trPr>
          <w:tblHeader w:val="true"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4"/>
              </w:rPr>
              <w:t>Risk–therapy pairing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All participants, n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Risk assessable, n (%)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Criterion met, n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Treatment boundary met, n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Medication assessable, n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Therapy recorded, n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Recorded gap, n/N (%)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Kidney-risk signal / SGLT2 inhibitor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32165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26,647 (82.8)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6546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6033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5734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2396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3,338/5,734 (58.2)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SGLT2 inhibitor or GLP-1 receptor agonist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32165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25,912 (80.6)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2987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2987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2884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1112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1,772/2,884 (61.4)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statin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32165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25,912 (80.6)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2987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2987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2884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1823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1,061/2,884 (36.8)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Albuminuria with diagnosed hypertension / ACE inhibitor or ARB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32165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20,050 (62.3)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3038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3038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2948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1486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1,462/2,948 (49.6)</w:t>
            </w:r>
          </w:p>
        </w:tc>
      </w:tr>
    </w:tbl>
    <w:p>
      <w:r>
        <w:rPr>
          <w:rFonts w:ascii="Arial" w:hAnsi="Arial" w:eastAsia="Arial" w:cs="Arial"/>
        </w:rPr>
        <w:t>Percentages at the assessability stage use all 32,165 participants. The final gap percentage uses the domain-specific eligible denominator.</w:t>
      </w:r>
    </w:p>
    <w:p>
      <w:pPr>
        <w:pStyle w:val="Heading1"/>
      </w:pPr>
      <w:r>
        <w:rPr>
          <w:rFonts w:ascii="Arial" w:hAnsi="Arial" w:eastAsia="Arial" w:cs="Arial"/>
        </w:rPr>
        <w:t>Supplementary Table S4. Calendar-period contrasts, multiplicity, and imputation uncertainty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168"/>
        <w:gridCol w:w="1872"/>
        <w:gridCol w:w="2520"/>
        <w:gridCol w:w="1080"/>
        <w:gridCol w:w="936"/>
        <w:gridCol w:w="1224"/>
      </w:tblGrid>
      <w:tr>
        <w:trPr>
          <w:tblHeader w:val="true"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4"/>
              </w:rPr>
              <w:t>Risk–therapy pairing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Adjusted PR (95% CI)</w:t>
            </w:r>
          </w:p>
        </w:tc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Adjusted RD, percentage points (95% CI)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Reported P</w:t>
            </w:r>
          </w:p>
        </w:tc>
        <w:tc>
          <w:tcPr>
            <w:tcW w:type="dxa" w:w="93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RD FMI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Monte Carlo error / SE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Kidney-risk signal / SGLT2 inhibitor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0.81 (0.78–0.85)</w:t>
            </w:r>
          </w:p>
        </w:tc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-11.5 (-14.0 to -8.9)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&lt;0.001</w:t>
            </w:r>
          </w:p>
        </w:tc>
        <w:tc>
          <w:tcPr>
            <w:tcW w:type="dxa" w:w="93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0.0001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0.001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SGLT2 inhibitor or GLP-1 receptor agonist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0.95 (0.89–1.00)</w:t>
            </w:r>
          </w:p>
        </w:tc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-2.8 (-6.3 to 0.6)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0.060</w:t>
            </w:r>
          </w:p>
        </w:tc>
        <w:tc>
          <w:tcPr>
            <w:tcW w:type="dxa" w:w="93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0.0011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0.005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statin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1.21 (1.09–1.33)</w:t>
            </w:r>
          </w:p>
        </w:tc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6.7 (3.2 to 10.1)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&lt;0.001</w:t>
            </w:r>
          </w:p>
        </w:tc>
        <w:tc>
          <w:tcPr>
            <w:tcW w:type="dxa" w:w="93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0.0027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0.007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Albuminuria with diagnosed hypertension / ACE inhibitor or ARB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1.09 (1.01–1.19)</w:t>
            </w:r>
          </w:p>
        </w:tc>
        <w:tc>
          <w:tcPr>
            <w:tcW w:type="dxa" w:w="252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4.2 (0.4 to 8.0)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0.060</w:t>
            </w:r>
          </w:p>
        </w:tc>
        <w:tc>
          <w:tcPr>
            <w:tcW w:type="dxa" w:w="93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0.0003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0.002</w:t>
            </w:r>
          </w:p>
        </w:tc>
      </w:tr>
    </w:tbl>
    <w:p>
      <w:r>
        <w:rPr>
          <w:rFonts w:ascii="Arial" w:hAnsi="Arial" w:eastAsia="Arial" w:cs="Arial"/>
        </w:rPr>
        <w:t>The comparison is 2023–2025 versus 2021–2022. The primary kidney outcome uses its raw P value; the three secondary outcomes use Holm-adjusted P values.</w:t>
      </w:r>
    </w:p>
    <w:p>
      <w:pPr>
        <w:pStyle w:val="Heading1"/>
      </w:pPr>
      <w:r>
        <w:rPr>
          <w:rFonts w:ascii="Arial" w:hAnsi="Arial" w:eastAsia="Arial" w:cs="Arial"/>
        </w:rPr>
        <w:t>Supplementary Table S5. Assessability weighting and diagnostics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096"/>
        <w:gridCol w:w="1152"/>
        <w:gridCol w:w="1944"/>
        <w:gridCol w:w="1296"/>
        <w:gridCol w:w="1440"/>
        <w:gridCol w:w="1728"/>
      </w:tblGrid>
      <w:tr>
        <w:trPr>
          <w:tblHeader w:val="true"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4"/>
              </w:rPr>
              <w:t>Risk–therapy pairing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Stage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Assessable, n/N (%)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Effective sample size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Maximum |weighted SMD|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Propensity, 1st–99th percentile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Kidney-risk signal / SGLT2 inhibitor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Risk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26,647/32,165 (82.8)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26366.7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0.501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0.005–1.000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Kidney-risk signal / SGLT2 inhibitor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Medication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5,734/6,033 (95.0)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5671.2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0.131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0.082–1.000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SGLT2 inhibitor or GLP-1 receptor agonist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Risk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25,912/32,165 (80.6)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23958.2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0.488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0.002–1.000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SGLT2 inhibitor or GLP-1 receptor agonist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Medication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2,884/2,987 (96.6)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2856.0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0.019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0.475–1.000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statin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Risk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25,912/32,165 (80.6)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23958.2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0.488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0.002–1.000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statin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Medication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2,884/2,987 (96.6)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2856.0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0.019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0.475–1.000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Albuminuria with diagnosed hypertension / ACE inhibitor or ARB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Risk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20,050/32,165 (62.3)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8235.3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0.468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0.000–0.986</w:t>
            </w:r>
          </w:p>
        </w:tc>
      </w:tr>
      <w:tr>
        <w:trPr>
          <w:cantSplit/>
        </w:trPr>
        <w:tc>
          <w:tcPr>
            <w:tcW w:type="dxa" w:w="30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Albuminuria with diagnosed hypertension / ACE inhibitor or ARB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Medication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2,948/3,038 (97.0)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2930.3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0.045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0.311–1.000</w:t>
            </w:r>
          </w:p>
        </w:tc>
      </w:tr>
    </w:tbl>
    <w:p>
      <w:r>
        <w:rPr>
          <w:rFonts w:ascii="Arial" w:hAnsi="Arial" w:eastAsia="Arial" w:cs="Arial"/>
        </w:rPr>
        <w:t>Detailed covariate balance, weight percentiles, overlap, and stage-specific effective sample sizes appear in Additional File 4.</w:t>
      </w:r>
    </w:p>
    <w:p>
      <w:pPr>
        <w:pStyle w:val="Heading1"/>
      </w:pPr>
      <w:r>
        <w:rPr>
          <w:rFonts w:ascii="Arial" w:hAnsi="Arial" w:eastAsia="Arial" w:cs="Arial"/>
        </w:rPr>
        <w:t>Supplementary Table S6. Key robustness analyses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384"/>
        <w:gridCol w:w="1440"/>
        <w:gridCol w:w="1728"/>
        <w:gridCol w:w="1944"/>
        <w:gridCol w:w="1584"/>
      </w:tblGrid>
      <w:tr>
        <w:trPr>
          <w:tblHeader w:val="true"/>
        </w:trPr>
        <w:tc>
          <w:tcPr>
            <w:tcW w:type="dxa" w:w="33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5"/>
              </w:rPr>
              <w:t>Risk–therapy pairing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Primary gap, %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Joint assessability IPW, %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Center-years ≥70% assessable, %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2022–2025 only, %</w:t>
            </w:r>
          </w:p>
        </w:tc>
      </w:tr>
      <w:tr>
        <w:trPr>
          <w:cantSplit/>
        </w:trPr>
        <w:tc>
          <w:tcPr>
            <w:tcW w:type="dxa" w:w="33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Kidney-risk signal / SGLT2 inhibitor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58.2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58.6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57.0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56.3</w:t>
            </w:r>
          </w:p>
        </w:tc>
      </w:tr>
      <w:tr>
        <w:trPr>
          <w:cantSplit/>
        </w:trPr>
        <w:tc>
          <w:tcPr>
            <w:tcW w:type="dxa" w:w="33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Coronary heart disease or stroke / SGLT2 inhibitor or GLP-1 receptor agonist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61.4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61.7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61.0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60.6</w:t>
            </w:r>
          </w:p>
        </w:tc>
      </w:tr>
      <w:tr>
        <w:trPr>
          <w:cantSplit/>
        </w:trPr>
        <w:tc>
          <w:tcPr>
            <w:tcW w:type="dxa" w:w="33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Coronary heart disease or stroke / statin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36.8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36.8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34.6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37.2</w:t>
            </w:r>
          </w:p>
        </w:tc>
      </w:tr>
      <w:tr>
        <w:trPr>
          <w:cantSplit/>
        </w:trPr>
        <w:tc>
          <w:tcPr>
            <w:tcW w:type="dxa" w:w="33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Albuminuria with diagnosed hypertension / ACE inhibitor or ARB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49.6</w:t>
            </w:r>
          </w:p>
        </w:tc>
        <w:tc>
          <w:tcPr>
            <w:tcW w:type="dxa" w:w="172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51.5</w:t>
            </w:r>
          </w:p>
        </w:tc>
        <w:tc>
          <w:tcPr>
            <w:tcW w:type="dxa" w:w="194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46.8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51.5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</w:rPr>
        <w:t>Supplementary Table S7. Kidney severity and chronicity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888"/>
        <w:gridCol w:w="1440"/>
        <w:gridCol w:w="1800"/>
        <w:gridCol w:w="1440"/>
        <w:gridCol w:w="1512"/>
      </w:tblGrid>
      <w:tr>
        <w:trPr>
          <w:tblHeader w:val="true"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5"/>
              </w:rPr>
              <w:t>Kidney analysis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Eligible, n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SGLT2 inhibitor recorded, n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Recorded gap, n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5"/>
              </w:rPr>
              <w:t>Recorded gap, %</w:t>
            </w:r>
          </w:p>
        </w:tc>
      </w:tr>
      <w:tr>
        <w:trPr>
          <w:cantSplit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eGFR 20-29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118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23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95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80.5</w:t>
            </w:r>
          </w:p>
        </w:tc>
      </w:tr>
      <w:tr>
        <w:trPr>
          <w:cantSplit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eGFR 30-44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276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75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201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72.8</w:t>
            </w:r>
          </w:p>
        </w:tc>
      </w:tr>
      <w:tr>
        <w:trPr>
          <w:cantSplit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eGFR 45-59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661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227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434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65.7</w:t>
            </w:r>
          </w:p>
        </w:tc>
      </w:tr>
      <w:tr>
        <w:trPr>
          <w:cantSplit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UACR A2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4340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1852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2488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57.3</w:t>
            </w:r>
          </w:p>
        </w:tc>
      </w:tr>
      <w:tr>
        <w:trPr>
          <w:cantSplit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UACR A3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773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378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395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51.1</w:t>
            </w:r>
          </w:p>
        </w:tc>
      </w:tr>
      <w:tr>
        <w:trPr>
          <w:cantSplit/>
        </w:trPr>
        <w:tc>
          <w:tcPr>
            <w:tcW w:type="dxa" w:w="38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5"/>
              </w:rPr>
              <w:t>Two abnormalities 90-365 days apart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3939</w:t>
            </w:r>
          </w:p>
        </w:tc>
        <w:tc>
          <w:tcPr>
            <w:tcW w:type="dxa" w:w="180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1371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2568</w:t>
            </w:r>
          </w:p>
        </w:tc>
        <w:tc>
          <w:tcPr>
            <w:tcW w:type="dxa" w:w="151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5"/>
              </w:rPr>
              <w:t>65.2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</w:rPr>
        <w:t>Supplementary Table S8. Exploratory follow-up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168"/>
        <w:gridCol w:w="1224"/>
        <w:gridCol w:w="1368"/>
        <w:gridCol w:w="1440"/>
        <w:gridCol w:w="2160"/>
        <w:gridCol w:w="1224"/>
      </w:tblGrid>
      <w:tr>
        <w:trPr>
          <w:tblHeader w:val="true"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4"/>
              </w:rPr>
              <w:t>Risk–therapy pairing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Index gaps, n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Follow-up available, n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Medication assessable, n</w:t>
            </w:r>
          </w:p>
        </w:tc>
        <w:tc>
          <w:tcPr>
            <w:tcW w:type="dxa" w:w="216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First recorded appearance, n/N (%)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IPW estimate, %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Kidney-risk signal / SGLT2 inhibitor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3338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2161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1924</w:t>
            </w:r>
          </w:p>
        </w:tc>
        <w:tc>
          <w:tcPr>
            <w:tcW w:type="dxa" w:w="216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108/1,924 (5.6)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6.1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SGLT2 inhibitor or GLP-1 receptor agonist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1772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1151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1102</w:t>
            </w:r>
          </w:p>
        </w:tc>
        <w:tc>
          <w:tcPr>
            <w:tcW w:type="dxa" w:w="216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54/1,102 (4.9)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4.8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statin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1061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657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608</w:t>
            </w:r>
          </w:p>
        </w:tc>
        <w:tc>
          <w:tcPr>
            <w:tcW w:type="dxa" w:w="216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27/608 (4.4)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4.5</w:t>
            </w:r>
          </w:p>
        </w:tc>
      </w:tr>
      <w:tr>
        <w:trPr>
          <w:cantSplit/>
        </w:trPr>
        <w:tc>
          <w:tcPr>
            <w:tcW w:type="dxa" w:w="31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Albuminuria with diagnosed hypertension / ACE inhibitor or ARB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1462</w:t>
            </w:r>
          </w:p>
        </w:tc>
        <w:tc>
          <w:tcPr>
            <w:tcW w:type="dxa" w:w="136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926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863</w:t>
            </w:r>
          </w:p>
        </w:tc>
        <w:tc>
          <w:tcPr>
            <w:tcW w:type="dxa" w:w="216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31/863 (3.6)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3.4</w:t>
            </w:r>
          </w:p>
        </w:tc>
      </w:tr>
    </w:tbl>
    <w:p>
      <w:r>
        <w:rPr>
          <w:rFonts w:ascii="Arial" w:hAnsi="Arial" w:eastAsia="Arial" w:cs="Arial"/>
        </w:rPr>
        <w:t>A later appearance may reflect a new prescription, medication reconciliation, or delayed documentation. The analysis is descriptive and exploratory.</w:t>
      </w:r>
    </w:p>
    <w:p>
      <w:r>
        <w:rPr>
          <w:rFonts w:ascii="Arial" w:hAnsi="Arial" w:eastAsia="Arial" w:cs="Arial"/>
        </w:rPr>
        <w:br w:type="page"/>
      </w:r>
    </w:p>
    <w:p>
      <w:pPr>
        <w:pStyle w:val="Heading1"/>
      </w:pPr>
      <w:r>
        <w:rPr>
          <w:rFonts w:ascii="Arial" w:hAnsi="Arial" w:eastAsia="Arial" w:cs="Arial"/>
        </w:rPr>
        <w:t>Supplementary Table S9. UACR technical audit by center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1152"/>
        <w:gridCol w:w="1007"/>
        <w:gridCol w:w="1296"/>
        <w:gridCol w:w="1152"/>
        <w:gridCol w:w="1224"/>
        <w:gridCol w:w="1296"/>
        <w:gridCol w:w="1224"/>
        <w:gridCol w:w="1080"/>
        <w:gridCol w:w="1224"/>
        <w:gridCol w:w="1872"/>
      </w:tblGrid>
      <w:tr>
        <w:trPr>
          <w:tblHeader w:val="true"/>
        </w:trPr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4"/>
              </w:rPr>
              <w:t>Center</w:t>
            </w:r>
          </w:p>
        </w:tc>
        <w:tc>
          <w:tcPr>
            <w:tcW w:type="dxa" w:w="1007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Participants, n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UACR available, n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UACR available, %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20–40 mg/g records, n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&gt;10,000 mg/g records, n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Inequality records, n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Median, mg/g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95th percentile, mg/g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Source rule</w:t>
            </w:r>
          </w:p>
        </w:tc>
      </w:tr>
      <w:tr>
        <w:trPr>
          <w:cantSplit/>
        </w:trPr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Qingdao</w:t>
            </w:r>
          </w:p>
        </w:tc>
        <w:tc>
          <w:tcPr>
            <w:tcW w:type="dxa" w:w="1007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4603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2501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54.3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238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54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10.1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532.8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center-specific harmonized rule</w:t>
            </w:r>
          </w:p>
        </w:tc>
      </w:tr>
      <w:tr>
        <w:trPr>
          <w:cantSplit/>
        </w:trPr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Karamay</w:t>
            </w:r>
          </w:p>
        </w:tc>
        <w:tc>
          <w:tcPr>
            <w:tcW w:type="dxa" w:w="1007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7008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2805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40.0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453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13.3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132.6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center-specific harmonized rule</w:t>
            </w:r>
          </w:p>
        </w:tc>
      </w:tr>
      <w:tr>
        <w:trPr>
          <w:cantSplit/>
        </w:trPr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Sheyang</w:t>
            </w:r>
          </w:p>
        </w:tc>
        <w:tc>
          <w:tcPr>
            <w:tcW w:type="dxa" w:w="1007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11503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8117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70.6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687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1729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3.5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38.7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Sheyang interpreted as mg/g</w:t>
            </w:r>
          </w:p>
        </w:tc>
      </w:tr>
      <w:tr>
        <w:trPr>
          <w:cantSplit/>
        </w:trPr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Yuhuan</w:t>
            </w:r>
          </w:p>
        </w:tc>
        <w:tc>
          <w:tcPr>
            <w:tcW w:type="dxa" w:w="1007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12797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11764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91.9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2137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8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22.1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599.4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center-specific harmonized rule</w:t>
            </w:r>
          </w:p>
        </w:tc>
      </w:tr>
      <w:tr>
        <w:trPr>
          <w:cantSplit/>
        </w:trPr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Zhengzhou</w:t>
            </w:r>
          </w:p>
        </w:tc>
        <w:tc>
          <w:tcPr>
            <w:tcW w:type="dxa" w:w="1007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10817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7449</w:t>
            </w:r>
          </w:p>
        </w:tc>
        <w:tc>
          <w:tcPr>
            <w:tcW w:type="dxa" w:w="115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68.9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1008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  <w:tc>
          <w:tcPr>
            <w:tcW w:type="dxa" w:w="108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12.0</w:t>
            </w:r>
          </w:p>
        </w:tc>
        <w:tc>
          <w:tcPr>
            <w:tcW w:type="dxa" w:w="122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199.1</w:t>
            </w:r>
          </w:p>
        </w:tc>
        <w:tc>
          <w:tcPr>
            <w:tcW w:type="dxa" w:w="1872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center-specific harmonized rule</w:t>
            </w:r>
          </w:p>
        </w:tc>
      </w:tr>
    </w:tbl>
    <w:p>
      <w:r>
        <w:rPr>
          <w:rFonts w:ascii="Arial" w:hAnsi="Arial" w:eastAsia="Arial" w:cs="Arial"/>
        </w:rPr>
        <w:t>The technical review confirmed unit, inequality, parsing, and 30 mg/g threshold classifications. Clinical values recorded in the source data were treated as reviewed source-of-record inputs.</w:t>
      </w:r>
    </w:p>
    <w:p>
      <w:pPr>
        <w:pStyle w:val="Heading1"/>
      </w:pPr>
      <w:r>
        <w:rPr>
          <w:rFonts w:ascii="Arial" w:hAnsi="Arial" w:eastAsia="Arial" w:cs="Arial"/>
        </w:rPr>
        <w:t>Supplementary Table S10. Multiple-imputation chain agreement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left w:val="nil" w:sz="0" w:space="0" w:color="000000"/>
          <w:bottom w:val="single" w:sz="12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3311"/>
        <w:gridCol w:w="1296"/>
        <w:gridCol w:w="864"/>
        <w:gridCol w:w="1584"/>
        <w:gridCol w:w="2088"/>
        <w:gridCol w:w="1440"/>
      </w:tblGrid>
      <w:tr>
        <w:trPr>
          <w:tblHeader w:val="true"/>
        </w:trPr>
        <w:tc>
          <w:tcPr>
            <w:tcW w:type="dxa" w:w="3311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b/>
                <w:sz w:val="14"/>
              </w:rPr>
              <w:t>Risk–therapy pairing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Variables monitored, n</w:t>
            </w:r>
          </w:p>
        </w:tc>
        <w:tc>
          <w:tcPr>
            <w:tcW w:type="dxa" w:w="86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Chains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Retained datasets per chain</w:t>
            </w:r>
          </w:p>
        </w:tc>
        <w:tc>
          <w:tcPr>
            <w:tcW w:type="dxa" w:w="20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Maximum potential scale reduction factor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  <w:tcBorders>
              <w:bottom w:val="single" w:sz="6" w:space="0" w:color="000000"/>
            </w:tcBorders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b/>
                <w:sz w:val="14"/>
              </w:rPr>
              <w:t>Automated flags &gt;1.10</w:t>
            </w:r>
          </w:p>
        </w:tc>
      </w:tr>
      <w:tr>
        <w:trPr>
          <w:cantSplit/>
        </w:trPr>
        <w:tc>
          <w:tcPr>
            <w:tcW w:type="dxa" w:w="3311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Kidney-risk signal / SGLT2 inhibitor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</w:t>
            </w:r>
          </w:p>
        </w:tc>
        <w:tc>
          <w:tcPr>
            <w:tcW w:type="dxa" w:w="86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</w:t>
            </w:r>
          </w:p>
        </w:tc>
        <w:tc>
          <w:tcPr>
            <w:tcW w:type="dxa" w:w="20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1.041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</w:tr>
      <w:tr>
        <w:trPr>
          <w:cantSplit/>
        </w:trPr>
        <w:tc>
          <w:tcPr>
            <w:tcW w:type="dxa" w:w="3311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SGLT2 inhibitor or GLP-1 receptor agonist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</w:t>
            </w:r>
          </w:p>
        </w:tc>
        <w:tc>
          <w:tcPr>
            <w:tcW w:type="dxa" w:w="86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</w:t>
            </w:r>
          </w:p>
        </w:tc>
        <w:tc>
          <w:tcPr>
            <w:tcW w:type="dxa" w:w="20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1.051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</w:tr>
      <w:tr>
        <w:trPr>
          <w:cantSplit/>
        </w:trPr>
        <w:tc>
          <w:tcPr>
            <w:tcW w:type="dxa" w:w="3311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Coronary heart disease or stroke / statin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</w:t>
            </w:r>
          </w:p>
        </w:tc>
        <w:tc>
          <w:tcPr>
            <w:tcW w:type="dxa" w:w="86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</w:t>
            </w:r>
          </w:p>
        </w:tc>
        <w:tc>
          <w:tcPr>
            <w:tcW w:type="dxa" w:w="20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1.008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</w:tr>
      <w:tr>
        <w:trPr>
          <w:cantSplit/>
        </w:trPr>
        <w:tc>
          <w:tcPr>
            <w:tcW w:type="dxa" w:w="3311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left"/>
            </w:pPr>
            <w:r>
              <w:rPr>
                <w:rFonts w:ascii="Arial" w:hAnsi="Arial" w:eastAsia="Arial" w:cs="Arial"/>
                <w:sz w:val="14"/>
              </w:rPr>
              <w:t>Albuminuria with diagnosed hypertension / ACE inhibitor or ARB</w:t>
            </w:r>
          </w:p>
        </w:tc>
        <w:tc>
          <w:tcPr>
            <w:tcW w:type="dxa" w:w="1296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6</w:t>
            </w:r>
          </w:p>
        </w:tc>
        <w:tc>
          <w:tcPr>
            <w:tcW w:type="dxa" w:w="86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5</w:t>
            </w:r>
          </w:p>
        </w:tc>
        <w:tc>
          <w:tcPr>
            <w:tcW w:type="dxa" w:w="1584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10</w:t>
            </w:r>
          </w:p>
        </w:tc>
        <w:tc>
          <w:tcPr>
            <w:tcW w:type="dxa" w:w="2088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1.005</w:t>
            </w:r>
          </w:p>
        </w:tc>
        <w:tc>
          <w:tcPr>
            <w:tcW w:type="dxa" w:w="1440"/>
            <w:tcMar>
              <w:top w:w="50" w:type="dxa"/>
              <w:start w:w="70" w:type="dxa"/>
              <w:bottom w:w="50" w:type="dxa"/>
              <w:end w:w="70" w:type="dxa"/>
            </w:tcMar>
            <w:vAlign w:val="center"/>
          </w:tcPr>
          <w:p>
            <w:pPr>
              <w:spacing w:after="0" w:line="240" w:lineRule="auto" w:before="0"/>
              <w:jc w:val="center"/>
            </w:pPr>
            <w:r>
              <w:rPr>
                <w:rFonts w:ascii="Arial" w:hAnsi="Arial" w:eastAsia="Arial" w:cs="Arial"/>
                <w:sz w:val="14"/>
              </w:rPr>
              <w:t>0</w:t>
            </w:r>
          </w:p>
        </w:tc>
      </w:tr>
    </w:tbl>
    <w:p>
      <w:r>
        <w:rPr>
          <w:rFonts w:ascii="Arial" w:hAnsi="Arial" w:eastAsia="Arial" w:cs="Arial"/>
        </w:rPr>
        <w:t>The analysis used 50 completed datasets from 5 independently seeded chains, with 100 burn-in iterations and 20 updates between retained datasets.</w:t>
      </w:r>
    </w:p>
    <w:p>
      <w:pPr>
        <w:pStyle w:val="Heading1"/>
      </w:pPr>
      <w:r>
        <w:rPr>
          <w:rFonts w:ascii="Arial" w:hAnsi="Arial" w:eastAsia="Arial" w:cs="Arial"/>
        </w:rPr>
        <w:t>Supplementary figure legends</w:t>
      </w:r>
    </w:p>
    <w:p>
      <w:r>
        <w:rPr>
          <w:rFonts w:ascii="Arial" w:hAnsi="Arial" w:eastAsia="Arial" w:cs="Arial"/>
          <w:b/>
        </w:rPr>
        <w:t xml:space="preserve">Supplementary Figure S1. Domain assessability by center and year. </w:t>
      </w:r>
      <w:r>
        <w:rPr>
          <w:rFonts w:ascii="Arial" w:hAnsi="Arial" w:eastAsia="Arial" w:cs="Arial"/>
        </w:rPr>
        <w:t>Cells show the percentage of first eligible participants with assessable risk status. Grey cells indicate no observations.</w:t>
      </w:r>
    </w:p>
    <w:p>
      <w:r>
        <w:rPr>
          <w:rFonts w:ascii="Arial" w:hAnsi="Arial" w:eastAsia="Arial" w:cs="Arial"/>
          <w:b/>
        </w:rPr>
        <w:t xml:space="preserve">Supplementary Figure S2. Adjusted recorded therapy gaps by center. </w:t>
      </w:r>
      <w:r>
        <w:rPr>
          <w:rFonts w:ascii="Arial" w:hAnsi="Arial" w:eastAsia="Arial" w:cs="Arial"/>
        </w:rPr>
        <w:t>Points are marginally standardized probabilities; horizontal bars are 95% confidence intervals. Estimates describe these five centers and do not rank them.</w:t>
      </w:r>
    </w:p>
    <w:p>
      <w:r>
        <w:rPr>
          <w:rFonts w:ascii="Arial" w:hAnsi="Arial" w:eastAsia="Arial" w:cs="Arial"/>
          <w:b/>
        </w:rPr>
        <w:t xml:space="preserve">Supplementary Figure S3. Adjusted center-period recorded therapy gaps. </w:t>
      </w:r>
      <w:r>
        <w:rPr>
          <w:rFonts w:ascii="Arial" w:hAnsi="Arial" w:eastAsia="Arial" w:cs="Arial"/>
        </w:rPr>
        <w:t>Panels show 2021–2022 and 2023–2025 estimates. Lines are omitted when either period fails the prespecified sparse-cell rule.</w:t>
      </w:r>
    </w:p>
    <w:p>
      <w:r>
        <w:rPr>
          <w:rFonts w:ascii="Arial" w:hAnsi="Arial" w:eastAsia="Arial" w:cs="Arial"/>
          <w:b/>
        </w:rPr>
        <w:t xml:space="preserve">Supplementary Figure S4. Kidney severity and chronicity sensitivity. </w:t>
      </w:r>
      <w:r>
        <w:rPr>
          <w:rFonts w:ascii="Arial" w:hAnsi="Arial" w:eastAsia="Arial" w:cs="Arial"/>
        </w:rPr>
        <w:t>The strict chronicity cohort requires two abnormal kidney measurements 90–365 days apart.</w:t>
      </w:r>
    </w:p>
    <w:p>
      <w:pPr>
        <w:pStyle w:val="Heading1"/>
      </w:pPr>
      <w:r>
        <w:rPr>
          <w:rFonts w:ascii="Arial" w:hAnsi="Arial" w:eastAsia="Arial" w:cs="Arial"/>
        </w:rPr>
        <w:t>Contents of the machine-readable files</w:t>
      </w:r>
    </w:p>
    <w:p>
      <w:r>
        <w:rPr>
          <w:rFonts w:ascii="Arial" w:hAnsi="Arial" w:eastAsia="Arial" w:cs="Arial"/>
        </w:rPr>
        <w:t>Additional File 2 contains the main tables, care cascades, adjusted overall, center, period, and center-period estimates, key sensitivity analyses, exploratory follow-up results, and structural audits.</w:t>
      </w:r>
    </w:p>
    <w:p>
      <w:r>
        <w:rPr>
          <w:rFonts w:ascii="Arial" w:hAnsi="Arial" w:eastAsia="Arial" w:cs="Arial"/>
        </w:rPr>
        <w:t>Additional File 3 contains the complete phenotype algorithm, risk–therapy definitions, generic-name medication dictionary, evidence-domain rules, and UACR harmonization logic.</w:t>
      </w:r>
    </w:p>
    <w:p>
      <w:r>
        <w:rPr>
          <w:rFonts w:ascii="Arial" w:hAnsi="Arial" w:eastAsia="Arial" w:cs="Arial"/>
        </w:rPr>
        <w:t>Additional File 4 contains imputation chain traces and distributions, pooled model estimates, complete-case comparisons, IPW covariate balance, overlap, weight distributions, and effective sample sizes.</w:t>
      </w:r>
    </w:p>
    <w:sectPr w:rsidR="00FC693F" w:rsidRPr="0006063C" w:rsidSect="00034616">
      <w:pgSz w:w="15840" w:h="12240" w:orient="landscape"/>
      <w:pgMar w:top="792" w:right="792" w:bottom="792" w:left="792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 w:eastAsia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 w:line="240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Assessability and Recorded Organ-Protective Therapy Gaps in Type 2 Diabetes: A Five-Center Cross-Sectional Study - Supplementary Appendix</dc:title>
  <dc:subject>Final supplementary appendix</dc:subject>
  <dc:creator>The authors</dc:creator>
  <cp:keywords>type 2 diabetes; cardio-kidney risk; organ-protective therapy; routine care</cp:keywords>
  <dc:description/>
  <cp:lastModifiedBy>The authors</cp:lastModifiedBy>
  <cp:revision>1</cp:revision>
  <dcterms:created xsi:type="dcterms:W3CDTF">2013-12-23T23:15:00Z</dcterms:created>
  <dcterms:modified xsi:type="dcterms:W3CDTF">2013-12-23T23:15:00Z</dcterms:modified>
  <cp:category/>
</cp:coreProperties>
</file>