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0945" w14:textId="77777777" w:rsidR="00851D07" w:rsidRDefault="00851D07" w:rsidP="00851D07">
      <w:pPr>
        <w:pStyle w:val="Heading2"/>
      </w:pPr>
      <w:bookmarkStart w:id="0" w:name="supplementary-material"/>
      <w:r>
        <w:t>Supplementary material</w:t>
      </w:r>
    </w:p>
    <w:p w14:paraId="03BC839F" w14:textId="77777777" w:rsidR="00851D07" w:rsidRDefault="00851D07" w:rsidP="00851D07">
      <w:pPr>
        <w:pStyle w:val="FirstParagraph"/>
      </w:pPr>
      <w:r>
        <w:t xml:space="preserve">Supplementary data associated with this article include: Table S1 (residual pesticides, LC50, and toxic units per site), Table S2 (family-level pesticide sensitivity values), Table S3 (acute toxicity of 20 indigenous Korean species), Table S4 (site-level community indices, SPEAR variants, </w:t>
      </w:r>
      <w:r>
        <w:rPr>
          <w:i/>
          <w:iCs/>
        </w:rPr>
        <w:t>ex situ</w:t>
      </w:r>
      <w:r>
        <w:t xml:space="preserve"> LT50, and ΣTU), Table S5 (zero-order and confounder-controlled partial correlations of the index with both exposure anchors), Table S6 (PCA loadings), and Table S7 (Benjamini–Hochberg FDR results for the eleven-test battery); Fig. S1 (study design and national context), Fig. S2 (family-level sensitivity distribution by taxonomic group), Fig. S3 (family-level sensitivity: existing versus updated), Fig. S4 (national SPEAR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​</m:t>
            </m:r>
          </m:e>
          <m:sub>
            <m:r>
              <w:rPr>
                <w:rFonts w:ascii="Cambria Math" w:hAnsi="Cambria Math"/>
              </w:rPr>
              <m:t>pesticide</m:t>
            </m:r>
          </m:sub>
        </m:sSub>
      </m:oMath>
      <w:r>
        <w:t xml:space="preserve"> distribution shift), Fig. S5 (LT50 versus SPEAR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​</m:t>
            </m:r>
          </m:e>
          <m:sub>
            <m:r>
              <w:rPr>
                <w:rFonts w:ascii="Cambria Math" w:hAnsi="Cambria Math"/>
              </w:rPr>
              <m:t>pesticide</m:t>
            </m:r>
          </m:sub>
        </m:sSub>
      </m:oMath>
      <w:r>
        <w:t xml:space="preserve"> cross-classification panel), Fig. S6 (site cross-classification coloured by BMI value), Fig. S7 (site classification under alternative decision rules), Fig. S8 (cross-classification of the generic community metrics), Fig. S9 (community indices vs the exposure anchors), Fig. S10 (PCA biplot), Fig. S11 (validation summary across index variants), Fig. S12 (per-layer concordance heatmap), and Fig. S13 (spatial distribution of exposure, effect-based toxicity, and impact class). Full analytical protocols are given in Supplementary Methods.</w:t>
      </w:r>
      <w:bookmarkEnd w:id="0"/>
    </w:p>
    <w:p w14:paraId="5A9FACD4" w14:textId="77777777" w:rsidR="00EB4A2D" w:rsidRDefault="00EB4A2D"/>
    <w:sectPr w:rsidR="00EB4A2D" w:rsidSect="00851D07">
      <w:pgSz w:w="12240" w:h="15840"/>
      <w:pgMar w:top="170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07"/>
    <w:rsid w:val="0007605E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851D07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CD2A3"/>
  <w15:chartTrackingRefBased/>
  <w15:docId w15:val="{1A56BB0B-0986-4E47-89F4-8A817447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1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D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D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D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D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D07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851D07"/>
    <w:pPr>
      <w:spacing w:before="180" w:after="180" w:line="240" w:lineRule="auto"/>
    </w:pPr>
    <w:rPr>
      <w:rFonts w:eastAsiaTheme="minorEastAsia"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851D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51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2026-10-23T08:43:00Z</dcterms:created>
  <dcterms:modified xsi:type="dcterms:W3CDTF">2026-10-23T08:43:00Z</dcterms:modified>
</cp:coreProperties>
</file>