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ighlights"/>
    <w:p>
      <w:pPr>
        <w:pStyle w:val="Heading1"/>
      </w:pPr>
      <w:r>
        <w:t xml:space="preserve">Highlights</w:t>
      </w:r>
    </w:p>
    <w:p>
      <w:pPr>
        <w:numPr>
          <w:ilvl w:val="0"/>
          <w:numId w:val="1001"/>
        </w:numPr>
        <w:pStyle w:val="Compact"/>
      </w:pPr>
      <w:r>
        <w:t xml:space="preserve">An aquatic-insect, family-level SPEAR pesticide index was derived for Korean fauna</w:t>
      </w:r>
    </w:p>
    <w:p>
      <w:pPr>
        <w:numPr>
          <w:ilvl w:val="0"/>
          <w:numId w:val="1001"/>
        </w:numPr>
        <w:pStyle w:val="Compact"/>
      </w:pPr>
      <w:r>
        <w:t xml:space="preserve">Sediment residues tracked the index only weakly, as expected for patchy pesticides</w:t>
      </w:r>
    </w:p>
    <w:p>
      <w:pPr>
        <w:numPr>
          <w:ilvl w:val="0"/>
          <w:numId w:val="1001"/>
        </w:numPr>
        <w:pStyle w:val="Compact"/>
      </w:pPr>
      <w:r>
        <w:t xml:space="preserve">Controlling for organic-matter pollution unmasked a robust index–exposure association</w:t>
      </w:r>
    </w:p>
    <w:p>
      <w:pPr>
        <w:numPr>
          <w:ilvl w:val="0"/>
          <w:numId w:val="1001"/>
        </w:numPr>
        <w:pStyle w:val="Compact"/>
      </w:pPr>
      <w:r>
        <w:t xml:space="preserve">The exposure signal survived multiple-comparison correction and control for BMI</w:t>
      </w:r>
    </w:p>
    <w:p>
      <w:pPr>
        <w:numPr>
          <w:ilvl w:val="0"/>
          <w:numId w:val="1001"/>
        </w:numPr>
        <w:pStyle w:val="Compact"/>
      </w:pPr>
      <w:r>
        <w:t xml:space="preserve">Effect-based ex situ toxicity (LT50) gave directionally consistent corroboration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2026-08-19T01:00:03Z</dcterms:created>
  <dcterms:modified xsi:type="dcterms:W3CDTF">2026-08-19T01:00:03Z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