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99101" w14:textId="77777777" w:rsidR="00E22F14" w:rsidRDefault="00E22F14" w:rsidP="00E22F14">
      <w:pPr>
        <w:pStyle w:val="Heading1"/>
      </w:pPr>
      <w:r>
        <w:rPr>
          <w:rFonts w:ascii="Times New Roman" w:eastAsia="Times New Roman" w:hAnsi="Times New Roman"/>
        </w:rPr>
        <w:t>Supplementary material</w:t>
      </w:r>
    </w:p>
    <w:p w14:paraId="09FC9585" w14:textId="77777777" w:rsidR="00E22F14" w:rsidRDefault="00E22F14" w:rsidP="00E22F14">
      <w:pPr>
        <w:ind w:firstLine="346"/>
      </w:pPr>
      <w:r>
        <w:t>Supplementary Table S1 reports corrected contextual benchmark comparisons; Supplementary Table S2 and Figure S1 show ±10% cutoff perturbations; Supplementary Table S3 contains full screening metrics, including PPV and mercury; Supplementary Table S4 reports the endpoint-complete cohort analysis; Supplementary Table S5 and Figure S2 report LOCO internal validation; Supplementary Table S6 reports profile by tertile cells with n&lt;20 suppressed; and Supplementary Table S7 compares the two operational life stage definitions.</w:t>
      </w:r>
    </w:p>
    <w:p w14:paraId="0115D8D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14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53AA5"/>
    <w:rsid w:val="00C94D66"/>
    <w:rsid w:val="00DE7E69"/>
    <w:rsid w:val="00E023F9"/>
    <w:rsid w:val="00E2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2E685"/>
  <w15:chartTrackingRefBased/>
  <w15:docId w15:val="{79D0273C-A346-430B-969C-E4BF4C0B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F14"/>
    <w:pPr>
      <w:spacing w:after="120" w:line="312" w:lineRule="auto"/>
      <w:jc w:val="both"/>
    </w:pPr>
    <w:rPr>
      <w:rFonts w:ascii="Times New Roman" w:eastAsia="Times New Roman" w:hAnsi="Times New Roman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2F1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F1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F1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F1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F1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F14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F14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F14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F14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F1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2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F1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2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F14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2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F14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2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F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2026-09-07T05:00:00Z</dcterms:created>
  <dcterms:modified xsi:type="dcterms:W3CDTF">2026-09-07T05:00:00Z</dcterms:modified>
</cp:coreProperties>
</file>