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85958" w14:textId="77777777" w:rsidR="00424249" w:rsidRPr="00D92410" w:rsidRDefault="00424249" w:rsidP="00424249">
      <w:pPr>
        <w:pStyle w:val="paragraph"/>
        <w:spacing w:before="0" w:beforeAutospacing="0" w:after="0" w:afterAutospacing="0"/>
        <w:textAlignment w:val="baseline"/>
        <w:outlineLvl w:val="0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  <w:r w:rsidRPr="00D92410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SUPPLEMENTARY FIGURES AND TABLES</w:t>
      </w:r>
    </w:p>
    <w:p w14:paraId="3338883F" w14:textId="77777777" w:rsidR="00424249" w:rsidRPr="00D92410" w:rsidRDefault="00424249" w:rsidP="00424249">
      <w:pPr>
        <w:rPr>
          <w:rFonts w:cstheme="minorHAnsi"/>
        </w:rPr>
      </w:pPr>
      <w:r w:rsidRPr="00D92410">
        <w:rPr>
          <w:rFonts w:cstheme="minorHAnsi"/>
          <w:b/>
        </w:rPr>
        <w:t>Supplementary Table 1.</w:t>
      </w:r>
      <w:r w:rsidRPr="00D92410">
        <w:rPr>
          <w:rFonts w:cstheme="minorHAnsi"/>
        </w:rPr>
        <w:t xml:space="preserve"> Co-morbidities and long-term medications</w:t>
      </w:r>
      <w:r w:rsidRPr="00D92410">
        <w:rPr>
          <w:rFonts w:eastAsia="Calibri" w:cstheme="minorHAnsi"/>
        </w:rPr>
        <w:t xml:space="preserve"> </w:t>
      </w:r>
      <w:r w:rsidRPr="00D92410">
        <w:rPr>
          <w:rFonts w:cstheme="minorHAnsi"/>
        </w:rPr>
        <w:t>included in the analysis.</w:t>
      </w:r>
    </w:p>
    <w:tbl>
      <w:tblPr>
        <w:tblW w:w="9360" w:type="dxa"/>
        <w:tblLayout w:type="fixed"/>
        <w:tblLook w:val="0400" w:firstRow="0" w:lastRow="0" w:firstColumn="0" w:lastColumn="0" w:noHBand="0" w:noVBand="1"/>
      </w:tblPr>
      <w:tblGrid>
        <w:gridCol w:w="2591"/>
        <w:gridCol w:w="6769"/>
      </w:tblGrid>
      <w:tr w:rsidR="00424249" w:rsidRPr="00D92410" w14:paraId="58CF0DC6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F955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  <w:b/>
              </w:rPr>
              <w:t>Comorbidity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18DF1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  <w:b/>
              </w:rPr>
              <w:t>ICD10-CM codes</w:t>
            </w:r>
          </w:p>
        </w:tc>
      </w:tr>
      <w:tr w:rsidR="00424249" w:rsidRPr="00D92410" w14:paraId="0EBA8FE1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039C0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Asthma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445E8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 xml:space="preserve"> J45, J45.20, J45.21, J45.22</w:t>
            </w:r>
          </w:p>
        </w:tc>
      </w:tr>
      <w:tr w:rsidR="00424249" w:rsidRPr="00D92410" w14:paraId="63E13AA6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E5FDD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Cancer (all except non-melanoma skin cancer)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072CE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C00-C97 (except C44), D00-D09</w:t>
            </w:r>
          </w:p>
        </w:tc>
      </w:tr>
      <w:tr w:rsidR="00424249" w:rsidRPr="00D92410" w14:paraId="7CA551DC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3EF22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Atrial fibrillation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9DCB9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I48.0. I48.1, I48.2, I48.91</w:t>
            </w:r>
          </w:p>
        </w:tc>
      </w:tr>
      <w:tr w:rsidR="00424249" w:rsidRPr="00D92410" w14:paraId="527CD9C0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26F03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Cerebrovascular disease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9BD4D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G45.0, G45.1, G45.2, G45.8, G45.9, G46.0, G46.1, G46.2, G46.3, G46.4, G46.5, G46.6, G46.7, G46.9, I63.00, I63.10, I63.20, I63.30, I63.40, I63.50, I63.6, I63.8, I63.9, I67.82, I67.9, I69.30, I69.320 I69.398, I69.80,</w:t>
            </w:r>
            <w:r>
              <w:rPr>
                <w:rFonts w:cstheme="minorHAnsi"/>
              </w:rPr>
              <w:t xml:space="preserve"> </w:t>
            </w:r>
            <w:r w:rsidRPr="00D92410">
              <w:rPr>
                <w:rFonts w:cstheme="minorHAnsi"/>
              </w:rPr>
              <w:t>I69.998</w:t>
            </w:r>
          </w:p>
          <w:p w14:paraId="12D00C84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I61.0, I61.1, I61.2, I61.3, I61.4, I61.5, I61.6, I61.8, I61.9, I61.10</w:t>
            </w:r>
          </w:p>
        </w:tc>
      </w:tr>
      <w:tr w:rsidR="00424249" w:rsidRPr="00D92410" w14:paraId="18D31709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A84A0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Chronic Kidney Disease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EBAD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E66.01, E66.09, E66.1, E66.2, E66.8, E66.9</w:t>
            </w:r>
          </w:p>
        </w:tc>
      </w:tr>
      <w:tr w:rsidR="00424249" w:rsidRPr="00D92410" w14:paraId="266FF30A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785F1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Chronic obstructive pulmonary disease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A5372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J43.0, J43.1, J43.2, J43.8, J43.9, J44, J44.0,</w:t>
            </w:r>
            <w:r>
              <w:rPr>
                <w:rFonts w:cstheme="minorHAnsi"/>
              </w:rPr>
              <w:t xml:space="preserve"> </w:t>
            </w:r>
            <w:r w:rsidRPr="00D92410">
              <w:rPr>
                <w:rFonts w:cstheme="minorHAnsi"/>
              </w:rPr>
              <w:t>J44.1,</w:t>
            </w:r>
            <w:r>
              <w:rPr>
                <w:rFonts w:cstheme="minorHAnsi"/>
              </w:rPr>
              <w:t xml:space="preserve"> </w:t>
            </w:r>
            <w:r w:rsidRPr="00D92410">
              <w:rPr>
                <w:rFonts w:cstheme="minorHAnsi"/>
              </w:rPr>
              <w:t>J44.9</w:t>
            </w:r>
          </w:p>
        </w:tc>
      </w:tr>
      <w:tr w:rsidR="00424249" w:rsidRPr="00D92410" w14:paraId="701F3955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B8A12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 xml:space="preserve">Diabetes </w:t>
            </w:r>
            <w:r>
              <w:rPr>
                <w:rFonts w:cstheme="minorHAnsi"/>
              </w:rPr>
              <w:t>m</w:t>
            </w:r>
            <w:r w:rsidRPr="00D92410">
              <w:rPr>
                <w:rFonts w:cstheme="minorHAnsi"/>
              </w:rPr>
              <w:t>ellitus (type I and II)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C9A4C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E10.10, E10.29, E10.311, E10.359, E10.39, E10.49, E10.59, E10.621, E10.65, E10.69, E10.8, E10.9</w:t>
            </w:r>
          </w:p>
          <w:p w14:paraId="7D383391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E11.01, E11.21, E11.22, E11.29, E11.311, E11.39, E11.40, E11.43, E11.49, E11.51, E11.59, E11.610. E11.621, E11.638, E11.641, E11.649, E11.65, E11.69, E11.8, E11.9, E13.10, E13.29, E13.39, E13.49, E13.59, E13.641, E13.69, E13.8, E13.9</w:t>
            </w:r>
          </w:p>
        </w:tc>
      </w:tr>
      <w:tr w:rsidR="00424249" w:rsidRPr="00D92410" w14:paraId="4101DFB7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7753A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Heart failure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91BF1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I50.1, I50.20, I50.30, I50.32, I50.9</w:t>
            </w:r>
          </w:p>
        </w:tc>
      </w:tr>
      <w:tr w:rsidR="00424249" w:rsidRPr="00D92410" w14:paraId="0D62202B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05049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HIV infection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4F46F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Z21,</w:t>
            </w:r>
            <w:r>
              <w:rPr>
                <w:rFonts w:cstheme="minorHAnsi"/>
              </w:rPr>
              <w:t xml:space="preserve"> </w:t>
            </w:r>
            <w:r w:rsidRPr="00D92410">
              <w:rPr>
                <w:rFonts w:cstheme="minorHAnsi"/>
              </w:rPr>
              <w:t>B20, B97.35</w:t>
            </w:r>
          </w:p>
        </w:tc>
      </w:tr>
      <w:tr w:rsidR="00424249" w:rsidRPr="00D92410" w14:paraId="3CD6AC6C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8BCEF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Hypertension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4CFDA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I10, I11.0, I11.9, I12.0, I12.9, I13.0, I13.10, I13.2, I15.0,</w:t>
            </w:r>
            <w:r>
              <w:rPr>
                <w:rFonts w:cstheme="minorHAnsi"/>
              </w:rPr>
              <w:t xml:space="preserve"> </w:t>
            </w:r>
            <w:r w:rsidRPr="00D92410">
              <w:rPr>
                <w:rFonts w:cstheme="minorHAnsi"/>
              </w:rPr>
              <w:t>I15.1,</w:t>
            </w:r>
            <w:r>
              <w:rPr>
                <w:rFonts w:cstheme="minorHAnsi"/>
              </w:rPr>
              <w:t xml:space="preserve"> </w:t>
            </w:r>
            <w:r w:rsidRPr="00D92410">
              <w:rPr>
                <w:rFonts w:cstheme="minorHAnsi"/>
              </w:rPr>
              <w:t>I15.2, I15.8,</w:t>
            </w:r>
            <w:r>
              <w:rPr>
                <w:rFonts w:cstheme="minorHAnsi"/>
              </w:rPr>
              <w:t xml:space="preserve"> </w:t>
            </w:r>
            <w:r w:rsidRPr="00D92410">
              <w:rPr>
                <w:rFonts w:cstheme="minorHAnsi"/>
              </w:rPr>
              <w:t>I15.9</w:t>
            </w:r>
          </w:p>
        </w:tc>
      </w:tr>
      <w:tr w:rsidR="00424249" w:rsidRPr="00D92410" w14:paraId="625C4C58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176FD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Ischaemic heart disease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E93E3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I20, I20.0, I20.8, I20.9, I24.0, I24.1, I24.8, I24.9, I25, I25.10, I25.2, I25.41, 125.5, I25.6, I25.89, I25.9, I70.90, I21, I21.0, I21.01, I21.02,I21.09, I21.1, I21.11, I21.19, I21.2, I21.29, I21.3, I21.4, I22.0, I22.1, I22.2, I22.8, I22.9, I23.0, I23.1, I23.2, I23.3, I23.4, I23.5, I23.6, I23.8</w:t>
            </w:r>
          </w:p>
        </w:tc>
      </w:tr>
      <w:tr w:rsidR="00424249" w:rsidRPr="00D92410" w14:paraId="556EF92F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9C6D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lastRenderedPageBreak/>
              <w:t>Liver disease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E6ED6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K70.0, K70.10, K70.2, K70.30, K70.9, K73.0, K73.1, K73.2, K73.8, K73.9, K75.0, K75.2, K75.3, K75.4, K75.89, k75.9, K76.5, K76.7, K76.9</w:t>
            </w:r>
          </w:p>
        </w:tc>
      </w:tr>
      <w:tr w:rsidR="00424249" w:rsidRPr="00D92410" w14:paraId="1A49BB62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A5A11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Obesity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DF76C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E66.01, E66.09, E66.1, E66.2, E66.8, E66.9</w:t>
            </w:r>
          </w:p>
        </w:tc>
      </w:tr>
      <w:tr w:rsidR="00424249" w:rsidRPr="00D92410" w14:paraId="7BE19072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66D94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 xml:space="preserve">Type B </w:t>
            </w:r>
            <w:r>
              <w:rPr>
                <w:rFonts w:cstheme="minorHAnsi"/>
              </w:rPr>
              <w:t>h</w:t>
            </w:r>
            <w:r w:rsidRPr="00D92410">
              <w:rPr>
                <w:rFonts w:cstheme="minorHAnsi"/>
              </w:rPr>
              <w:t>epatitis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68B7A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B16.0, B16.1, B16.2, B16.9</w:t>
            </w:r>
          </w:p>
        </w:tc>
      </w:tr>
      <w:tr w:rsidR="00424249" w:rsidRPr="00D92410" w14:paraId="68D16C0D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F7069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 xml:space="preserve">Type C </w:t>
            </w:r>
            <w:r>
              <w:rPr>
                <w:rFonts w:cstheme="minorHAnsi"/>
              </w:rPr>
              <w:t>h</w:t>
            </w:r>
            <w:r w:rsidRPr="00D92410">
              <w:rPr>
                <w:rFonts w:cstheme="minorHAnsi"/>
              </w:rPr>
              <w:t>epatitis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81D86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B17.10, B18.2</w:t>
            </w:r>
          </w:p>
        </w:tc>
      </w:tr>
      <w:tr w:rsidR="00424249" w:rsidRPr="00D92410" w14:paraId="4DA78A2D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B2EC6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  <w:b/>
              </w:rPr>
              <w:t>Medicine or drug class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E4C08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  <w:b/>
              </w:rPr>
              <w:t>ATC codes</w:t>
            </w:r>
          </w:p>
        </w:tc>
      </w:tr>
      <w:tr w:rsidR="00424249" w:rsidRPr="00424249" w14:paraId="4A22AD15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CADD3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Analgesics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54A72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pt-BR"/>
              </w:rPr>
            </w:pPr>
            <w:r w:rsidRPr="00424249">
              <w:rPr>
                <w:rFonts w:cstheme="minorHAnsi"/>
                <w:lang w:val="pt-BR"/>
              </w:rPr>
              <w:t>M01AX%, N02AA%, N02AB%, N02AC%, N02AD%, N02AE%, N02AX%, N02BA%, N02BB%, N02BE%</w:t>
            </w:r>
          </w:p>
          <w:p w14:paraId="1E15EC9B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de-DE"/>
              </w:rPr>
            </w:pPr>
            <w:r w:rsidRPr="00424249">
              <w:rPr>
                <w:rFonts w:cstheme="minorHAnsi"/>
                <w:lang w:val="de-DE"/>
              </w:rPr>
              <w:t>M01AA%, M01AB%, M01AC%, M01AE%, M01AG%, M01AH%.</w:t>
            </w:r>
          </w:p>
        </w:tc>
      </w:tr>
      <w:tr w:rsidR="00424249" w:rsidRPr="00424249" w14:paraId="4B485D73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6D001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Sedatives/hypnotics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673E1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pt-BR"/>
              </w:rPr>
            </w:pPr>
            <w:r w:rsidRPr="00424249">
              <w:rPr>
                <w:rFonts w:cstheme="minorHAnsi"/>
                <w:lang w:val="pt-BR"/>
              </w:rPr>
              <w:t>N05BA%, N05BB%, N05BE%, N05BX%, N05CD%, N05CF%, N05CM%, </w:t>
            </w:r>
          </w:p>
        </w:tc>
      </w:tr>
      <w:tr w:rsidR="00424249" w:rsidRPr="00095AFC" w14:paraId="1C26F3AC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5CF08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Anticoagulants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43FF8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424249">
              <w:rPr>
                <w:rFonts w:cstheme="minorHAnsi"/>
              </w:rPr>
              <w:t>B01AA%, B01AB%, B01AC%, B01AE%, B01AF%, B01AX%</w:t>
            </w:r>
          </w:p>
        </w:tc>
      </w:tr>
      <w:tr w:rsidR="00424249" w:rsidRPr="00D92410" w14:paraId="0304B8BE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EDA83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Antidepressants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1A2F0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N06AA%, N06AB%, N06AG%, N06AX%</w:t>
            </w:r>
          </w:p>
        </w:tc>
      </w:tr>
      <w:tr w:rsidR="00424249" w:rsidRPr="00424249" w14:paraId="313476D9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0058C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Antiepileptics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1B25D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pt-BR"/>
              </w:rPr>
            </w:pPr>
            <w:r w:rsidRPr="00424249">
              <w:rPr>
                <w:rFonts w:cstheme="minorHAnsi"/>
                <w:lang w:val="pt-BR"/>
              </w:rPr>
              <w:t>N03AA%, N03AB%, N03AC%, N03AD%, N03AE%, N03AF%, N03AG%, N03AX%</w:t>
            </w:r>
          </w:p>
        </w:tc>
      </w:tr>
      <w:tr w:rsidR="00424249" w:rsidRPr="00424249" w14:paraId="2139F672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02D3C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Anti-psychotics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43ECD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pt-BR"/>
              </w:rPr>
            </w:pPr>
            <w:r w:rsidRPr="00424249">
              <w:rPr>
                <w:rFonts w:cstheme="minorHAnsi"/>
                <w:lang w:val="pt-BR"/>
              </w:rPr>
              <w:t>N05AA%, N05AB%, N05AC%, N05AD%, N05AE%, N05AF%, N05AH%, N05AX%, N05AK%, N05AL%</w:t>
            </w:r>
          </w:p>
        </w:tc>
      </w:tr>
      <w:tr w:rsidR="00424249" w:rsidRPr="00D92410" w14:paraId="56809983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04131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Antiacids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1BD1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A02AB%, A02AD%, A02AX%, A02BA%, A02BB%, A02BC%, A02BX%, </w:t>
            </w:r>
          </w:p>
        </w:tc>
      </w:tr>
      <w:tr w:rsidR="00424249" w:rsidRPr="00D92410" w14:paraId="2F2D223F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E153A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Systemic corticoids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1155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H02AB%, H02BX91</w:t>
            </w:r>
          </w:p>
        </w:tc>
      </w:tr>
      <w:tr w:rsidR="00424249" w:rsidRPr="00424249" w14:paraId="2D46ACEE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78AB9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Oral antidiabetics agents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1D21D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pt-BR"/>
              </w:rPr>
            </w:pPr>
            <w:r w:rsidRPr="00424249">
              <w:rPr>
                <w:rFonts w:cstheme="minorHAnsi"/>
                <w:lang w:val="pt-BR"/>
              </w:rPr>
              <w:t>A10BA%, A10BB%, A10BD%, A10BF%, A10BG%, A10BH%, A10BX%, A10BK%, A10BJ%</w:t>
            </w:r>
          </w:p>
        </w:tc>
      </w:tr>
      <w:tr w:rsidR="00424249" w:rsidRPr="00D92410" w14:paraId="144A16C3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4ECD2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Insulin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DFD45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A10AB%, A10AC%,</w:t>
            </w:r>
            <w:r>
              <w:rPr>
                <w:rFonts w:cstheme="minorHAnsi"/>
              </w:rPr>
              <w:t xml:space="preserve"> </w:t>
            </w:r>
            <w:r w:rsidRPr="00D92410">
              <w:rPr>
                <w:rFonts w:cstheme="minorHAnsi"/>
              </w:rPr>
              <w:t>A10AD%, A10AE%</w:t>
            </w:r>
          </w:p>
        </w:tc>
      </w:tr>
      <w:tr w:rsidR="00424249" w:rsidRPr="00424249" w14:paraId="5BDF577A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7F062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Lipid modifying agents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DCC9F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it-IT"/>
              </w:rPr>
            </w:pPr>
            <w:r w:rsidRPr="00424249">
              <w:rPr>
                <w:rFonts w:cstheme="minorHAnsi"/>
                <w:lang w:val="it-IT"/>
              </w:rPr>
              <w:t>C10AA%</w:t>
            </w:r>
          </w:p>
          <w:p w14:paraId="4F8FD4B1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it-IT"/>
              </w:rPr>
            </w:pPr>
            <w:r w:rsidRPr="00424249">
              <w:rPr>
                <w:rFonts w:cstheme="minorHAnsi"/>
                <w:lang w:val="it-IT"/>
              </w:rPr>
              <w:t>C10AB%, C10AC%, C10AD%, C10AX%, C10BA%, C10BX%, </w:t>
            </w:r>
          </w:p>
        </w:tc>
      </w:tr>
      <w:tr w:rsidR="00424249" w:rsidRPr="00D92410" w14:paraId="34115E09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BC09C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lastRenderedPageBreak/>
              <w:t>Alpha blockers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8D99F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C02CA%</w:t>
            </w:r>
          </w:p>
        </w:tc>
      </w:tr>
      <w:tr w:rsidR="00424249" w:rsidRPr="00D92410" w14:paraId="1C0235A9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15EB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Beta blockers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BEF24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C07AA%, C07AB%, C07AG%</w:t>
            </w:r>
          </w:p>
        </w:tc>
      </w:tr>
      <w:tr w:rsidR="00424249" w:rsidRPr="00D92410" w14:paraId="6E199DE8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1585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Calcium channel blockers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76B3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C08CA%, C08DA%, C08DB%</w:t>
            </w:r>
          </w:p>
        </w:tc>
      </w:tr>
      <w:tr w:rsidR="00424249" w:rsidRPr="00424249" w14:paraId="7F56C1DE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BC790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Diuretics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3C9F0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pt-BR"/>
              </w:rPr>
            </w:pPr>
            <w:r w:rsidRPr="00424249">
              <w:rPr>
                <w:rFonts w:cstheme="minorHAnsi"/>
                <w:lang w:val="pt-BR"/>
              </w:rPr>
              <w:t>C03AA%, C03BA%, C03DA%, C03DB%, C03EA%, C03EB%</w:t>
            </w:r>
          </w:p>
        </w:tc>
      </w:tr>
      <w:tr w:rsidR="00424249" w:rsidRPr="00D92410" w14:paraId="6EAC7B10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85F01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ACEI/ARBs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17ED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C09AA%, C09CA%</w:t>
            </w:r>
          </w:p>
        </w:tc>
      </w:tr>
      <w:tr w:rsidR="00424249" w:rsidRPr="00424249" w14:paraId="20AC6C9F" w14:textId="77777777" w:rsidTr="00CC1225">
        <w:trPr>
          <w:trHeight w:val="227"/>
        </w:trPr>
        <w:tc>
          <w:tcPr>
            <w:tcW w:w="2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9F70B" w14:textId="77777777" w:rsidR="00424249" w:rsidRPr="00D92410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D92410">
              <w:rPr>
                <w:rFonts w:cstheme="minorHAnsi"/>
              </w:rPr>
              <w:t>Inhalers</w:t>
            </w:r>
          </w:p>
        </w:tc>
        <w:tc>
          <w:tcPr>
            <w:tcW w:w="67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73FEE" w14:textId="77777777" w:rsidR="00424249" w:rsidRPr="00424249" w:rsidRDefault="00424249" w:rsidP="00CC1225">
            <w:pPr>
              <w:spacing w:line="240" w:lineRule="auto"/>
              <w:rPr>
                <w:rFonts w:eastAsia="Times New Roman" w:cstheme="minorHAnsi"/>
                <w:sz w:val="24"/>
                <w:szCs w:val="24"/>
                <w:lang w:val="pt-BR"/>
              </w:rPr>
            </w:pPr>
            <w:r w:rsidRPr="00424249">
              <w:rPr>
                <w:rFonts w:cstheme="minorHAnsi"/>
                <w:lang w:val="pt-BR"/>
              </w:rPr>
              <w:t>R03AA%, R03AC%, R03AK%, R03AL%, R03BA%, R03BB%</w:t>
            </w:r>
          </w:p>
        </w:tc>
      </w:tr>
    </w:tbl>
    <w:p w14:paraId="11CFDD77" w14:textId="77777777" w:rsidR="00424249" w:rsidRPr="00424249" w:rsidRDefault="00424249" w:rsidP="00424249">
      <w:pPr>
        <w:rPr>
          <w:rFonts w:cstheme="minorHAnsi"/>
          <w:lang w:val="pt-BR"/>
        </w:rPr>
      </w:pPr>
    </w:p>
    <w:p w14:paraId="6E6FDF91" w14:textId="77777777" w:rsidR="00424249" w:rsidRPr="00424249" w:rsidRDefault="00424249" w:rsidP="00424249">
      <w:pPr>
        <w:rPr>
          <w:rFonts w:cstheme="minorHAnsi"/>
          <w:b/>
          <w:lang w:val="pt-BR"/>
        </w:rPr>
      </w:pPr>
    </w:p>
    <w:p w14:paraId="54E0A680" w14:textId="77777777" w:rsidR="00424249" w:rsidRPr="00424249" w:rsidRDefault="00424249" w:rsidP="00424249">
      <w:pPr>
        <w:rPr>
          <w:rFonts w:cstheme="minorHAnsi"/>
          <w:b/>
          <w:lang w:val="pt-BR"/>
        </w:rPr>
      </w:pPr>
    </w:p>
    <w:p w14:paraId="49605AD6" w14:textId="77777777" w:rsidR="00424249" w:rsidRPr="00424249" w:rsidRDefault="00424249" w:rsidP="00424249">
      <w:pPr>
        <w:rPr>
          <w:rFonts w:cstheme="minorHAnsi"/>
          <w:b/>
          <w:lang w:val="pt-BR"/>
        </w:rPr>
      </w:pPr>
      <w:r w:rsidRPr="00424249">
        <w:rPr>
          <w:rFonts w:cstheme="minorHAnsi"/>
          <w:b/>
          <w:lang w:val="pt-BR"/>
        </w:rPr>
        <w:br w:type="page"/>
      </w:r>
    </w:p>
    <w:p w14:paraId="10899185" w14:textId="77777777" w:rsidR="00424249" w:rsidRPr="00D92410" w:rsidRDefault="00424249" w:rsidP="00424249">
      <w:pPr>
        <w:rPr>
          <w:rFonts w:cstheme="minorHAnsi"/>
        </w:rPr>
      </w:pPr>
      <w:r w:rsidRPr="00D92410">
        <w:rPr>
          <w:rFonts w:cstheme="minorHAnsi"/>
          <w:b/>
        </w:rPr>
        <w:lastRenderedPageBreak/>
        <w:t xml:space="preserve">Supplementary Table S2. </w:t>
      </w:r>
      <w:r w:rsidRPr="00D92410">
        <w:rPr>
          <w:rFonts w:cstheme="minorHAnsi"/>
        </w:rPr>
        <w:t>Diagnostic codes (ICD-10) of adverse events considered in the study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424249" w:rsidRPr="00D92410" w14:paraId="76CA46DD" w14:textId="77777777" w:rsidTr="00CC1225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063A0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cstheme="minorHAnsi"/>
                <w:b/>
              </w:rPr>
            </w:pPr>
            <w:r w:rsidRPr="00D92410">
              <w:rPr>
                <w:rFonts w:cstheme="minorHAnsi"/>
                <w:b/>
              </w:rPr>
              <w:t>Adverse event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AAF78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cstheme="minorHAnsi"/>
                <w:b/>
              </w:rPr>
            </w:pPr>
            <w:r w:rsidRPr="00D92410">
              <w:rPr>
                <w:rFonts w:cstheme="minorHAnsi"/>
                <w:b/>
              </w:rPr>
              <w:t>ICD-10 codes</w:t>
            </w:r>
          </w:p>
        </w:tc>
      </w:tr>
      <w:tr w:rsidR="00424249" w:rsidRPr="00D92410" w14:paraId="4BAE62AB" w14:textId="77777777" w:rsidTr="00CC1225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D75EF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D92410">
              <w:rPr>
                <w:rFonts w:cstheme="minorHAnsi"/>
              </w:rPr>
              <w:t>Venous thromboembolism (VTE), includes cerebral venous sinus thrombosis, mesenteric thrombosis, portal vein thrombosis, non-limb venous thrombosis, venous thrombosis of extremities, non-specific venous thrombosis, pulmonary embolism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23029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D92410">
              <w:rPr>
                <w:rFonts w:cstheme="minorHAnsi"/>
              </w:rPr>
              <w:t>G08, I676, I636, K55011, K55012, K55019, K55021, K55022, K55029, K55031, K55032, K55039, K55041, K55042, K55049, K55051, K55052, K55059, K55061, K55062, K55069, I81, I821, I82210, I82220, I82290, I823, I82B11, I82B12, I82B13, I82B19, I82C11, I82C12, I82C13, I82C19, I82401, I82402, I82403, I82409, I82411, I82412, I82413, I82419, I82421, I82422, I82423, I82429, I82431, I82432, I82433, I82439, I82441, I82442, I82443, I82449, I82491, I82492, I82493, I82499, I824Y1, I824Y2, I824Y3, I824Y9, I824Z1, I824Z2, I824Z3, I824Z9, I82601, I82602, I82603, I82609, I82611, I82612, I82613, I82619, I82621, I82622, I82623, I82629, I82811, I82812, I82813, I82819, I82A11, I82A12, I82A13, I82A19, I8000, I8001, I8002, I8003, I8010, I8011, I8012, I8013, I80201, I80202, I80203, I80209, I80211, I80212, I80213, I80219, I80221, I80222, I80223, I80229, I80231, I80232, I80233, I80239, I80291, I80292, I80293, I80299, I803, I82890, I8290, I808, I809, I2601, I2602, I2609, I2690, I2692, I2699</w:t>
            </w:r>
            <w:r w:rsidRPr="00D92410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</w:tc>
      </w:tr>
      <w:tr w:rsidR="00424249" w:rsidRPr="00D92410" w14:paraId="190DD4A1" w14:textId="77777777" w:rsidTr="00CC1225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C28C9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cstheme="minorHAnsi"/>
              </w:rPr>
            </w:pPr>
            <w:r w:rsidRPr="00D92410">
              <w:rPr>
                <w:rFonts w:cstheme="minorHAnsi"/>
              </w:rPr>
              <w:t>Thrombocytopenia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5B215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cstheme="minorHAnsi"/>
              </w:rPr>
            </w:pPr>
            <w:r w:rsidRPr="00D92410">
              <w:rPr>
                <w:rFonts w:cstheme="minorHAnsi"/>
              </w:rPr>
              <w:t>D693, D6959, D696, D7582</w:t>
            </w:r>
          </w:p>
        </w:tc>
      </w:tr>
      <w:tr w:rsidR="00424249" w:rsidRPr="00D92410" w14:paraId="2BDBD67D" w14:textId="77777777" w:rsidTr="00CC1225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2E7D9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P</w:t>
            </w:r>
            <w:r w:rsidRPr="00D92410">
              <w:rPr>
                <w:rFonts w:cstheme="minorHAnsi"/>
              </w:rPr>
              <w:t>ericarditis/myocarditis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554FB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cstheme="minorHAnsi"/>
              </w:rPr>
            </w:pPr>
            <w:r w:rsidRPr="00D92410">
              <w:rPr>
                <w:rFonts w:cstheme="minorHAnsi"/>
              </w:rPr>
              <w:t>I30, I40, I010, I012, I090, I092, I241, I300, I301, I308, I309, I310, I311, I32, I400, I401, I408, I409, I41, I514, I970, D8685, J1182, A3952, B2682, A3953, B3323, B3322, J1082, M3212, A381, B5881</w:t>
            </w:r>
          </w:p>
          <w:p w14:paraId="27BA29A1" w14:textId="77777777" w:rsidR="00424249" w:rsidRPr="00D92410" w:rsidRDefault="00424249" w:rsidP="00CC12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cstheme="minorHAnsi"/>
              </w:rPr>
            </w:pPr>
          </w:p>
        </w:tc>
      </w:tr>
    </w:tbl>
    <w:p w14:paraId="2BC03A73" w14:textId="77777777" w:rsidR="00424249" w:rsidRPr="00D92410" w:rsidRDefault="00424249" w:rsidP="00424249">
      <w:pPr>
        <w:spacing w:before="240" w:after="240"/>
        <w:rPr>
          <w:rFonts w:eastAsia="Times New Roman" w:cstheme="minorHAnsi"/>
          <w:b/>
          <w:sz w:val="20"/>
          <w:szCs w:val="20"/>
        </w:rPr>
      </w:pPr>
    </w:p>
    <w:p w14:paraId="088F1ABB" w14:textId="77777777" w:rsidR="00424249" w:rsidRPr="00D92410" w:rsidRDefault="00424249" w:rsidP="00424249">
      <w:pPr>
        <w:rPr>
          <w:rFonts w:eastAsia="Times New Roman" w:cstheme="minorHAnsi"/>
          <w:b/>
          <w:sz w:val="20"/>
          <w:szCs w:val="20"/>
        </w:rPr>
      </w:pPr>
      <w:r w:rsidRPr="00D92410">
        <w:rPr>
          <w:rFonts w:eastAsia="Times New Roman" w:cstheme="minorHAnsi"/>
          <w:b/>
          <w:sz w:val="20"/>
          <w:szCs w:val="20"/>
        </w:rPr>
        <w:br w:type="page"/>
      </w:r>
    </w:p>
    <w:p w14:paraId="75014050" w14:textId="77777777" w:rsidR="00424249" w:rsidRPr="00D92410" w:rsidRDefault="00424249" w:rsidP="00424249">
      <w:pPr>
        <w:pStyle w:val="paragraph"/>
        <w:spacing w:before="120" w:beforeAutospacing="0" w:after="120" w:afterAutospacing="0"/>
        <w:textAlignment w:val="baseline"/>
        <w:outlineLvl w:val="1"/>
        <w:rPr>
          <w:rStyle w:val="normaltextrun"/>
          <w:rFonts w:asciiTheme="minorHAnsi" w:hAnsiTheme="minorHAnsi" w:cstheme="minorHAnsi"/>
          <w:b/>
          <w:iCs/>
          <w:sz w:val="22"/>
          <w:szCs w:val="22"/>
        </w:rPr>
      </w:pPr>
      <w:r w:rsidRPr="00D92410">
        <w:rPr>
          <w:rStyle w:val="normaltextrun"/>
          <w:rFonts w:asciiTheme="minorHAnsi" w:hAnsiTheme="minorHAnsi" w:cstheme="minorHAnsi"/>
          <w:b/>
          <w:iCs/>
          <w:sz w:val="22"/>
          <w:szCs w:val="22"/>
        </w:rPr>
        <w:lastRenderedPageBreak/>
        <w:t xml:space="preserve">Supplementary Figure 1. </w:t>
      </w:r>
      <w:r>
        <w:rPr>
          <w:rStyle w:val="normaltextrun"/>
          <w:rFonts w:asciiTheme="minorHAnsi" w:hAnsiTheme="minorHAnsi" w:cstheme="minorHAnsi"/>
          <w:b/>
          <w:iCs/>
          <w:sz w:val="22"/>
          <w:szCs w:val="22"/>
        </w:rPr>
        <w:t>S</w:t>
      </w:r>
      <w:r w:rsidRPr="00D92410">
        <w:rPr>
          <w:rStyle w:val="normaltextrun"/>
          <w:rFonts w:asciiTheme="minorHAnsi" w:hAnsiTheme="minorHAnsi" w:cstheme="minorHAnsi"/>
          <w:b/>
          <w:iCs/>
          <w:sz w:val="22"/>
          <w:szCs w:val="22"/>
        </w:rPr>
        <w:t>tandardi</w:t>
      </w:r>
      <w:r>
        <w:rPr>
          <w:rStyle w:val="normaltextrun"/>
          <w:rFonts w:asciiTheme="minorHAnsi" w:hAnsiTheme="minorHAnsi" w:cstheme="minorHAnsi"/>
          <w:b/>
          <w:iCs/>
          <w:sz w:val="22"/>
          <w:szCs w:val="22"/>
        </w:rPr>
        <w:t>s</w:t>
      </w:r>
      <w:r w:rsidRPr="00D92410">
        <w:rPr>
          <w:rStyle w:val="normaltextrun"/>
          <w:rFonts w:asciiTheme="minorHAnsi" w:hAnsiTheme="minorHAnsi" w:cstheme="minorHAnsi"/>
          <w:b/>
          <w:iCs/>
          <w:sz w:val="22"/>
          <w:szCs w:val="22"/>
        </w:rPr>
        <w:t>ed mean differences (SMD) in the matched study population</w:t>
      </w:r>
      <w:r>
        <w:rPr>
          <w:rStyle w:val="normaltextrun"/>
          <w:rFonts w:asciiTheme="minorHAnsi" w:hAnsiTheme="minorHAnsi" w:cstheme="minorHAnsi"/>
          <w:b/>
          <w:iCs/>
          <w:sz w:val="22"/>
          <w:szCs w:val="22"/>
        </w:rPr>
        <w:t>, showing confounder imbalance</w:t>
      </w:r>
    </w:p>
    <w:p w14:paraId="4C0D28BC" w14:textId="77777777" w:rsidR="00424249" w:rsidRPr="00D92410" w:rsidRDefault="00424249" w:rsidP="00424249">
      <w:pPr>
        <w:rPr>
          <w:rFonts w:cstheme="minorHAnsi"/>
        </w:rPr>
      </w:pPr>
    </w:p>
    <w:p w14:paraId="2FE08EE3" w14:textId="77777777" w:rsidR="00424249" w:rsidRPr="00D92410" w:rsidRDefault="00424249" w:rsidP="00424249">
      <w:pPr>
        <w:spacing w:before="240" w:after="240"/>
        <w:rPr>
          <w:rFonts w:eastAsia="Times New Roman" w:cstheme="minorHAnsi"/>
          <w:b/>
        </w:rPr>
      </w:pPr>
      <w:r w:rsidRPr="00D92410">
        <w:rPr>
          <w:rFonts w:cstheme="minorHAnsi"/>
          <w:noProof/>
        </w:rPr>
        <w:drawing>
          <wp:inline distT="0" distB="0" distL="0" distR="0" wp14:anchorId="6B69DC78" wp14:editId="573BDB35">
            <wp:extent cx="5730875" cy="3542030"/>
            <wp:effectExtent l="0" t="0" r="3175" b="127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542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D66518" w14:textId="77777777" w:rsidR="00424249" w:rsidRPr="00D92410" w:rsidRDefault="00424249" w:rsidP="00424249">
      <w:pPr>
        <w:spacing w:before="240" w:after="240"/>
        <w:rPr>
          <w:rFonts w:eastAsia="Times New Roman" w:cstheme="minorHAnsi"/>
          <w:b/>
        </w:rPr>
      </w:pPr>
    </w:p>
    <w:p w14:paraId="3FF12043" w14:textId="77777777" w:rsidR="00424249" w:rsidRPr="00D92410" w:rsidRDefault="00424249" w:rsidP="00424249">
      <w:pPr>
        <w:spacing w:before="240" w:after="240"/>
        <w:rPr>
          <w:rFonts w:eastAsia="Times New Roman" w:cstheme="minorHAnsi"/>
          <w:bCs/>
        </w:rPr>
      </w:pPr>
      <w:r w:rsidRPr="00D92410">
        <w:rPr>
          <w:rFonts w:eastAsia="Times New Roman" w:cstheme="minorHAnsi"/>
          <w:b/>
        </w:rPr>
        <w:t xml:space="preserve">Supplementary Figure 2. </w:t>
      </w:r>
      <w:r w:rsidRPr="00D92410">
        <w:rPr>
          <w:rFonts w:eastAsia="Times New Roman" w:cstheme="minorHAnsi"/>
          <w:bCs/>
        </w:rPr>
        <w:t>Kaplan-Meier of low</w:t>
      </w:r>
      <w:r>
        <w:rPr>
          <w:rFonts w:eastAsia="Times New Roman" w:cstheme="minorHAnsi"/>
          <w:bCs/>
        </w:rPr>
        <w:t xml:space="preserve"> </w:t>
      </w:r>
      <w:r w:rsidRPr="00D92410">
        <w:rPr>
          <w:rFonts w:eastAsia="Times New Roman" w:cstheme="minorHAnsi"/>
          <w:bCs/>
        </w:rPr>
        <w:t xml:space="preserve">back pain according to vaccination </w:t>
      </w:r>
      <w:r>
        <w:rPr>
          <w:rFonts w:eastAsia="Times New Roman" w:cstheme="minorHAnsi"/>
          <w:bCs/>
        </w:rPr>
        <w:t>schedule</w:t>
      </w:r>
    </w:p>
    <w:p w14:paraId="206F7C50" w14:textId="77777777" w:rsidR="00424249" w:rsidRPr="00D92410" w:rsidRDefault="00424249" w:rsidP="00424249">
      <w:pPr>
        <w:spacing w:before="240" w:after="240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noProof/>
          <w:sz w:val="20"/>
          <w:szCs w:val="20"/>
        </w:rPr>
        <w:lastRenderedPageBreak/>
        <w:drawing>
          <wp:inline distT="0" distB="0" distL="0" distR="0" wp14:anchorId="2E556496" wp14:editId="1D008A4A">
            <wp:extent cx="5398008" cy="3599688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m_lowblackppai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008" cy="3599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2F620" w14:textId="77777777" w:rsidR="00424249" w:rsidRDefault="00424249">
      <w:bookmarkStart w:id="0" w:name="_GoBack"/>
      <w:bookmarkEnd w:id="0"/>
    </w:p>
    <w:sectPr w:rsidR="00424249" w:rsidSect="00BF74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249"/>
    <w:rsid w:val="00424249"/>
    <w:rsid w:val="00BF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F7878"/>
  <w15:chartTrackingRefBased/>
  <w15:docId w15:val="{7E01E474-6856-0B4D-BC97-5F48C57A5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4249"/>
    <w:pPr>
      <w:spacing w:after="160" w:line="259" w:lineRule="auto"/>
    </w:pPr>
    <w:rPr>
      <w:rFonts w:eastAsia="SimSun"/>
      <w:sz w:val="22"/>
      <w:szCs w:val="2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424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424249"/>
  </w:style>
  <w:style w:type="character" w:customStyle="1" w:styleId="paragraphChar">
    <w:name w:val="paragraph Char"/>
    <w:basedOn w:val="DefaultParagraphFont"/>
    <w:link w:val="paragraph"/>
    <w:rsid w:val="00424249"/>
    <w:rPr>
      <w:rFonts w:ascii="Times New Roman" w:eastAsia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728</Words>
  <Characters>4151</Characters>
  <Application>Microsoft Office Word</Application>
  <DocSecurity>0</DocSecurity>
  <Lines>34</Lines>
  <Paragraphs>9</Paragraphs>
  <ScaleCrop>false</ScaleCrop>
  <Company/>
  <LinksUpToDate>false</LinksUpToDate>
  <CharactersWithSpaces>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2021-11-18T16:45:00Z</dcterms:created>
  <dcterms:modified xsi:type="dcterms:W3CDTF">2021-11-18T16:45:00Z</dcterms:modified>
</cp:coreProperties>
</file>