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FE532" w14:textId="064C06AE" w:rsidR="007E5B96" w:rsidRDefault="0001594D" w:rsidP="007E5B96">
      <w:pPr>
        <w:jc w:val="center"/>
      </w:pPr>
      <w:r>
        <w:rPr>
          <w:noProof/>
        </w:rPr>
        <w:drawing>
          <wp:inline distT="0" distB="0" distL="0" distR="0" wp14:anchorId="496EE631" wp14:editId="245802F2">
            <wp:extent cx="5273040" cy="4678680"/>
            <wp:effectExtent l="0" t="0" r="3810" b="7620"/>
            <wp:docPr id="13908528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3040" cy="4678680"/>
                    </a:xfrm>
                    <a:prstGeom prst="rect">
                      <a:avLst/>
                    </a:prstGeom>
                    <a:noFill/>
                    <a:ln>
                      <a:noFill/>
                    </a:ln>
                  </pic:spPr>
                </pic:pic>
              </a:graphicData>
            </a:graphic>
          </wp:inline>
        </w:drawing>
      </w:r>
    </w:p>
    <w:p w14:paraId="4A9D569F" w14:textId="15F0FA33" w:rsidR="006B5C01" w:rsidRPr="009A7CF3" w:rsidRDefault="007E5B96">
      <w:pPr>
        <w:rPr>
          <w:rFonts w:ascii="Arial" w:hAnsi="Arial" w:cs="Arial"/>
        </w:rPr>
      </w:pPr>
      <w:r w:rsidRPr="009A7CF3">
        <w:rPr>
          <w:rFonts w:ascii="Arial" w:hAnsi="Arial" w:cs="Arial"/>
          <w:b/>
          <w:bCs/>
        </w:rPr>
        <w:t>Supplementary Fig. S1 Functional enrichment, expression patterns, and mutation characteristics of the 98 prognostic mitochondrial dysfunction-related genes (MDGs).</w:t>
      </w:r>
      <w:r w:rsidRPr="009A7CF3">
        <w:rPr>
          <w:rFonts w:ascii="Arial" w:hAnsi="Arial" w:cs="Arial"/>
        </w:rPr>
        <w:t xml:space="preserve"> </w:t>
      </w:r>
      <w:r w:rsidRPr="009A7CF3">
        <w:rPr>
          <w:rFonts w:ascii="Arial" w:hAnsi="Arial" w:cs="Arial"/>
          <w:b/>
          <w:bCs/>
        </w:rPr>
        <w:t>(A)</w:t>
      </w:r>
      <w:r w:rsidRPr="009A7CF3">
        <w:rPr>
          <w:rFonts w:ascii="Arial" w:hAnsi="Arial" w:cs="Arial"/>
        </w:rPr>
        <w:t xml:space="preserve"> GO enrichment analysis of the 98 prognostic MDGs. </w:t>
      </w:r>
      <w:r w:rsidRPr="009A7CF3">
        <w:rPr>
          <w:rFonts w:ascii="Arial" w:hAnsi="Arial" w:cs="Arial"/>
          <w:b/>
          <w:bCs/>
        </w:rPr>
        <w:t>(B)</w:t>
      </w:r>
      <w:r w:rsidRPr="009A7CF3">
        <w:rPr>
          <w:rFonts w:ascii="Arial" w:hAnsi="Arial" w:cs="Arial"/>
        </w:rPr>
        <w:t xml:space="preserve"> KEGG pathway enrichment analysis of the 98 prognostic MDGs. </w:t>
      </w:r>
      <w:r w:rsidRPr="009A7CF3">
        <w:rPr>
          <w:rFonts w:ascii="Arial" w:hAnsi="Arial" w:cs="Arial"/>
          <w:b/>
          <w:bCs/>
        </w:rPr>
        <w:t>(C)</w:t>
      </w:r>
      <w:r w:rsidRPr="009A7CF3">
        <w:rPr>
          <w:rFonts w:ascii="Arial" w:hAnsi="Arial" w:cs="Arial"/>
        </w:rPr>
        <w:t xml:space="preserve"> Heatmap showing the expression patterns of the 98 prognostic MDGs in HNSC tumor and normal tissues. </w:t>
      </w:r>
      <w:r w:rsidRPr="009A7CF3">
        <w:rPr>
          <w:rFonts w:ascii="Arial" w:hAnsi="Arial" w:cs="Arial"/>
          <w:b/>
          <w:bCs/>
        </w:rPr>
        <w:t>(D)</w:t>
      </w:r>
      <w:r w:rsidRPr="009A7CF3">
        <w:rPr>
          <w:rFonts w:ascii="Arial" w:hAnsi="Arial" w:cs="Arial"/>
        </w:rPr>
        <w:t xml:space="preserve"> Single-nucleotide variant (SNV) frequencies and mutation profiles of the 98 prognostic MDGs in HNSC samples.</w:t>
      </w:r>
    </w:p>
    <w:p w14:paraId="4FE9531A" w14:textId="36965FD7" w:rsidR="006B5C01" w:rsidRDefault="0001594D" w:rsidP="006B5C01">
      <w:pPr>
        <w:jc w:val="center"/>
      </w:pPr>
      <w:r>
        <w:rPr>
          <w:noProof/>
        </w:rPr>
        <w:lastRenderedPageBreak/>
        <w:drawing>
          <wp:inline distT="0" distB="0" distL="0" distR="0" wp14:anchorId="65BBF4A5" wp14:editId="7542F258">
            <wp:extent cx="5273040" cy="2720340"/>
            <wp:effectExtent l="0" t="0" r="3810" b="3810"/>
            <wp:docPr id="20924077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3040" cy="2720340"/>
                    </a:xfrm>
                    <a:prstGeom prst="rect">
                      <a:avLst/>
                    </a:prstGeom>
                    <a:noFill/>
                    <a:ln>
                      <a:noFill/>
                    </a:ln>
                  </pic:spPr>
                </pic:pic>
              </a:graphicData>
            </a:graphic>
          </wp:inline>
        </w:drawing>
      </w:r>
    </w:p>
    <w:p w14:paraId="2CD9FA03" w14:textId="41E7801D" w:rsidR="00ED0D53" w:rsidRDefault="007E5B96" w:rsidP="007E5B96">
      <w:pPr>
        <w:rPr>
          <w:noProof/>
        </w:rPr>
      </w:pPr>
      <w:r w:rsidRPr="009A7CF3">
        <w:rPr>
          <w:rFonts w:ascii="Arial" w:hAnsi="Arial" w:cs="Arial"/>
          <w:b/>
          <w:bCs/>
        </w:rPr>
        <w:t>Supplementary Fig. S2 Kaplan–Meier survival analysis of the 10 prognostic mitochondrial dysfunction-related genes in HNSC.</w:t>
      </w:r>
      <w:r w:rsidRPr="009A7CF3">
        <w:rPr>
          <w:rFonts w:ascii="Arial" w:hAnsi="Arial" w:cs="Arial"/>
        </w:rPr>
        <w:t xml:space="preserve"> </w:t>
      </w:r>
      <w:r w:rsidRPr="009A7CF3">
        <w:rPr>
          <w:rFonts w:ascii="Arial" w:hAnsi="Arial" w:cs="Arial"/>
          <w:b/>
          <w:bCs/>
        </w:rPr>
        <w:t>(A–J)</w:t>
      </w:r>
      <w:r w:rsidRPr="009A7CF3">
        <w:rPr>
          <w:rFonts w:ascii="Arial" w:hAnsi="Arial" w:cs="Arial"/>
        </w:rPr>
        <w:t xml:space="preserve"> Overall survival according to the expression levels of DHRS2, HOXB9, TNFRSF4, IFI27, PLAU, CELSR3, RBP4, ULBP2, FST, and PPP1R3A, respectively. Higher TNFRSF4 and CELSR3 expression was associated with better survival, whereas higher expression of the remaining genes was associated with poorer survival (</w:t>
      </w:r>
      <w:r w:rsidRPr="009A7CF3">
        <w:rPr>
          <w:rFonts w:ascii="Arial" w:hAnsi="Arial" w:cs="Arial"/>
          <w:i/>
          <w:iCs/>
        </w:rPr>
        <w:t>P</w:t>
      </w:r>
      <w:r w:rsidRPr="009A7CF3">
        <w:rPr>
          <w:rFonts w:ascii="Arial" w:hAnsi="Arial" w:cs="Arial"/>
        </w:rPr>
        <w:t xml:space="preserve"> &lt; 0.05).</w:t>
      </w:r>
    </w:p>
    <w:p w14:paraId="740CA0D8" w14:textId="23837BFA" w:rsidR="0001594D" w:rsidRDefault="0001594D" w:rsidP="0001594D">
      <w:pPr>
        <w:jc w:val="center"/>
      </w:pPr>
      <w:r>
        <w:rPr>
          <w:noProof/>
        </w:rPr>
        <w:drawing>
          <wp:inline distT="0" distB="0" distL="0" distR="0" wp14:anchorId="604C8F48" wp14:editId="7A1791D8">
            <wp:extent cx="5273040" cy="4091940"/>
            <wp:effectExtent l="0" t="0" r="3810" b="3810"/>
            <wp:docPr id="37103505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3040" cy="4091940"/>
                    </a:xfrm>
                    <a:prstGeom prst="rect">
                      <a:avLst/>
                    </a:prstGeom>
                    <a:noFill/>
                    <a:ln>
                      <a:noFill/>
                    </a:ln>
                  </pic:spPr>
                </pic:pic>
              </a:graphicData>
            </a:graphic>
          </wp:inline>
        </w:drawing>
      </w:r>
    </w:p>
    <w:p w14:paraId="33E8015B" w14:textId="2032F624" w:rsidR="00FA6911" w:rsidRPr="009A7CF3" w:rsidRDefault="00FA6911" w:rsidP="00FA6911">
      <w:pPr>
        <w:rPr>
          <w:rFonts w:ascii="Arial" w:hAnsi="Arial" w:cs="Arial"/>
        </w:rPr>
      </w:pPr>
      <w:r w:rsidRPr="009A7CF3">
        <w:rPr>
          <w:rFonts w:ascii="Arial" w:hAnsi="Arial" w:cs="Arial"/>
          <w:b/>
          <w:bCs/>
        </w:rPr>
        <w:lastRenderedPageBreak/>
        <w:t>Supplementary Fig. S3 Kaplan–Meier survival analysis of the prognostic model in different clinicopathological subgroups.</w:t>
      </w:r>
      <w:r w:rsidRPr="009A7CF3">
        <w:rPr>
          <w:rFonts w:ascii="Arial" w:hAnsi="Arial" w:cs="Arial"/>
        </w:rPr>
        <w:t xml:space="preserve"> </w:t>
      </w:r>
      <w:r w:rsidRPr="009A7CF3">
        <w:rPr>
          <w:rFonts w:ascii="Arial" w:hAnsi="Arial" w:cs="Arial"/>
          <w:b/>
          <w:bCs/>
        </w:rPr>
        <w:t>(A–L)</w:t>
      </w:r>
      <w:r w:rsidRPr="009A7CF3">
        <w:rPr>
          <w:rFonts w:ascii="Arial" w:hAnsi="Arial" w:cs="Arial"/>
        </w:rPr>
        <w:t xml:space="preserve"> Overall survival of the high- and low-risk groups in patients stratified by age (&gt;65 years and ≤65 years), sex (male and female), clinical stage (I–II and III–IV), T stage (T1–2 and T3–4), N stage (N0 and N1–3), and M stage (M0 and M1–X), respectively. The high-risk group showed poorer overall survival in all subgroups except the M1–X subgroup, in which the difference was not statistically significant (</w:t>
      </w:r>
      <w:r w:rsidRPr="009A7CF3">
        <w:rPr>
          <w:rFonts w:ascii="Arial" w:hAnsi="Arial" w:cs="Arial"/>
          <w:i/>
          <w:iCs/>
        </w:rPr>
        <w:t>P</w:t>
      </w:r>
      <w:r w:rsidRPr="009A7CF3">
        <w:rPr>
          <w:rFonts w:ascii="Arial" w:hAnsi="Arial" w:cs="Arial"/>
        </w:rPr>
        <w:t xml:space="preserve"> &gt; 0.05).</w:t>
      </w:r>
    </w:p>
    <w:p w14:paraId="5E5785A5" w14:textId="2BF14A6E" w:rsidR="007E5B96" w:rsidRDefault="0001594D" w:rsidP="007E5B96">
      <w:r>
        <w:rPr>
          <w:noProof/>
        </w:rPr>
        <w:drawing>
          <wp:inline distT="0" distB="0" distL="0" distR="0" wp14:anchorId="64C8C9FF" wp14:editId="21594E24">
            <wp:extent cx="5273040" cy="2362200"/>
            <wp:effectExtent l="0" t="0" r="3810" b="0"/>
            <wp:docPr id="6083150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3040" cy="2362200"/>
                    </a:xfrm>
                    <a:prstGeom prst="rect">
                      <a:avLst/>
                    </a:prstGeom>
                    <a:noFill/>
                    <a:ln>
                      <a:noFill/>
                    </a:ln>
                  </pic:spPr>
                </pic:pic>
              </a:graphicData>
            </a:graphic>
          </wp:inline>
        </w:drawing>
      </w:r>
    </w:p>
    <w:p w14:paraId="56F3BCDF" w14:textId="339FD173" w:rsidR="00C82554" w:rsidRPr="009A7CF3" w:rsidRDefault="00FA6911" w:rsidP="00432B7D">
      <w:pPr>
        <w:rPr>
          <w:rFonts w:ascii="Arial" w:eastAsia="宋体" w:hAnsi="Arial" w:cs="Arial"/>
        </w:rPr>
      </w:pPr>
      <w:r w:rsidRPr="009A7CF3">
        <w:rPr>
          <w:rFonts w:ascii="Arial" w:eastAsia="宋体" w:hAnsi="Arial" w:cs="Arial"/>
          <w:b/>
          <w:bCs/>
        </w:rPr>
        <w:t>Supplementary Fig. S4 Somatic mutation landscape and single-nucleotide variant characteristics in the TCGA-HNSC cohort.</w:t>
      </w:r>
      <w:r w:rsidRPr="009A7CF3">
        <w:rPr>
          <w:rFonts w:ascii="Arial" w:eastAsia="宋体" w:hAnsi="Arial" w:cs="Arial"/>
        </w:rPr>
        <w:t xml:space="preserve"> </w:t>
      </w:r>
      <w:r w:rsidRPr="009A7CF3">
        <w:rPr>
          <w:rFonts w:ascii="Arial" w:eastAsia="宋体" w:hAnsi="Arial" w:cs="Arial"/>
          <w:b/>
          <w:bCs/>
        </w:rPr>
        <w:t>(A)</w:t>
      </w:r>
      <w:r w:rsidRPr="009A7CF3">
        <w:rPr>
          <w:rFonts w:ascii="Arial" w:eastAsia="宋体" w:hAnsi="Arial" w:cs="Arial"/>
        </w:rPr>
        <w:t xml:space="preserve"> Overview of somatic mutations, including variant classification, variant type, SNV class, mutation burden, and the 10 most frequently mutated genes. Missense mutations and SNPs were predominant, with C&gt;T being the most frequent base substitution. </w:t>
      </w:r>
      <w:r w:rsidRPr="009A7CF3">
        <w:rPr>
          <w:rFonts w:ascii="Arial" w:eastAsia="宋体" w:hAnsi="Arial" w:cs="Arial"/>
          <w:b/>
          <w:bCs/>
        </w:rPr>
        <w:t>(B)</w:t>
      </w:r>
      <w:r w:rsidRPr="009A7CF3">
        <w:rPr>
          <w:rFonts w:ascii="Arial" w:eastAsia="宋体" w:hAnsi="Arial" w:cs="Arial"/>
        </w:rPr>
        <w:t xml:space="preserve"> Distribution of the six SNV substitution types and transition/transversion (Ti/Tv) patterns across HNSC samples.</w:t>
      </w:r>
    </w:p>
    <w:p w14:paraId="5410CEEF" w14:textId="6D2707CA" w:rsidR="00C82554" w:rsidRDefault="0001594D" w:rsidP="00C82554">
      <w:pPr>
        <w:jc w:val="center"/>
        <w:rPr>
          <w:rFonts w:ascii="宋体" w:eastAsia="宋体" w:hAnsi="宋体" w:cs="宋体" w:hint="eastAsia"/>
        </w:rPr>
      </w:pPr>
      <w:r>
        <w:rPr>
          <w:noProof/>
        </w:rPr>
        <w:drawing>
          <wp:inline distT="0" distB="0" distL="0" distR="0" wp14:anchorId="43FD5881" wp14:editId="0F79C9EB">
            <wp:extent cx="4906572" cy="3039093"/>
            <wp:effectExtent l="0" t="0" r="8890" b="9525"/>
            <wp:docPr id="14705532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4844" cy="3056605"/>
                    </a:xfrm>
                    <a:prstGeom prst="rect">
                      <a:avLst/>
                    </a:prstGeom>
                    <a:noFill/>
                    <a:ln>
                      <a:noFill/>
                    </a:ln>
                  </pic:spPr>
                </pic:pic>
              </a:graphicData>
            </a:graphic>
          </wp:inline>
        </w:drawing>
      </w:r>
    </w:p>
    <w:p w14:paraId="3CA604C0" w14:textId="71256AB9" w:rsidR="00432B7D" w:rsidRPr="009A7CF3" w:rsidRDefault="00FA6911" w:rsidP="00FA6911">
      <w:pPr>
        <w:rPr>
          <w:rFonts w:ascii="Arial" w:hAnsi="Arial" w:cs="Arial"/>
        </w:rPr>
      </w:pPr>
      <w:r w:rsidRPr="009A7CF3">
        <w:rPr>
          <w:rFonts w:ascii="Arial" w:eastAsia="宋体" w:hAnsi="Arial" w:cs="Arial"/>
          <w:b/>
          <w:bCs/>
        </w:rPr>
        <w:lastRenderedPageBreak/>
        <w:t>Supplementary Fig. S5 Immune cell infiltration characteristics and their association with overall survival in HNSC.</w:t>
      </w:r>
      <w:r w:rsidRPr="009A7CF3">
        <w:rPr>
          <w:rFonts w:ascii="Arial" w:eastAsia="宋体" w:hAnsi="Arial" w:cs="Arial"/>
        </w:rPr>
        <w:t xml:space="preserve"> </w:t>
      </w:r>
      <w:r w:rsidRPr="009A7CF3">
        <w:rPr>
          <w:rFonts w:ascii="Arial" w:eastAsia="宋体" w:hAnsi="Arial" w:cs="Arial"/>
          <w:b/>
          <w:bCs/>
        </w:rPr>
        <w:t>(A)</w:t>
      </w:r>
      <w:r w:rsidRPr="009A7CF3">
        <w:rPr>
          <w:rFonts w:ascii="Arial" w:eastAsia="宋体" w:hAnsi="Arial" w:cs="Arial"/>
        </w:rPr>
        <w:t xml:space="preserve"> Relative proportions of 22 immune cell types in the high- and low-risk groups estimated by CIBERSORT. </w:t>
      </w:r>
      <w:r w:rsidRPr="009A7CF3">
        <w:rPr>
          <w:rFonts w:ascii="Arial" w:eastAsia="宋体" w:hAnsi="Arial" w:cs="Arial"/>
          <w:b/>
          <w:bCs/>
        </w:rPr>
        <w:t>(B)</w:t>
      </w:r>
      <w:r w:rsidRPr="009A7CF3">
        <w:rPr>
          <w:rFonts w:ascii="Arial" w:eastAsia="宋体" w:hAnsi="Arial" w:cs="Arial"/>
        </w:rPr>
        <w:t xml:space="preserve"> Correlation heatmap of the 22 immune cell populations. </w:t>
      </w:r>
      <w:r w:rsidRPr="009A7CF3">
        <w:rPr>
          <w:rFonts w:ascii="Arial" w:eastAsia="宋体" w:hAnsi="Arial" w:cs="Arial"/>
          <w:b/>
          <w:bCs/>
        </w:rPr>
        <w:t>(C, D)</w:t>
      </w:r>
      <w:r w:rsidRPr="009A7CF3">
        <w:rPr>
          <w:rFonts w:ascii="Arial" w:eastAsia="宋体" w:hAnsi="Arial" w:cs="Arial"/>
        </w:rPr>
        <w:t xml:space="preserve"> Kaplan–Meier survival analyses according to the infiltration levels of eosinophils, activated mast cells, regulatory T cells, and </w:t>
      </w:r>
      <w:proofErr w:type="spellStart"/>
      <w:r w:rsidRPr="009A7CF3">
        <w:rPr>
          <w:rFonts w:ascii="Arial" w:eastAsia="宋体" w:hAnsi="Arial" w:cs="Arial"/>
        </w:rPr>
        <w:t>γδ</w:t>
      </w:r>
      <w:proofErr w:type="spellEnd"/>
      <w:r w:rsidRPr="009A7CF3">
        <w:rPr>
          <w:rFonts w:ascii="Arial" w:eastAsia="宋体" w:hAnsi="Arial" w:cs="Arial"/>
        </w:rPr>
        <w:t xml:space="preserve"> T cells (</w:t>
      </w:r>
      <w:r w:rsidRPr="009A7CF3">
        <w:rPr>
          <w:rFonts w:ascii="Arial" w:eastAsia="宋体" w:hAnsi="Arial" w:cs="Arial"/>
          <w:i/>
          <w:iCs/>
        </w:rPr>
        <w:t>P</w:t>
      </w:r>
      <w:r w:rsidRPr="009A7CF3">
        <w:rPr>
          <w:rFonts w:ascii="Arial" w:eastAsia="宋体" w:hAnsi="Arial" w:cs="Arial"/>
        </w:rPr>
        <w:t xml:space="preserve"> &lt; 0.05).</w:t>
      </w:r>
    </w:p>
    <w:sectPr w:rsidR="00432B7D" w:rsidRPr="009A7CF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D18EC" w14:textId="77777777" w:rsidR="0063035A" w:rsidRDefault="0063035A" w:rsidP="00C404CF">
      <w:pPr>
        <w:spacing w:after="0" w:line="240" w:lineRule="auto"/>
      </w:pPr>
      <w:r>
        <w:separator/>
      </w:r>
    </w:p>
  </w:endnote>
  <w:endnote w:type="continuationSeparator" w:id="0">
    <w:p w14:paraId="2093BD9C" w14:textId="77777777" w:rsidR="0063035A" w:rsidRDefault="0063035A" w:rsidP="00C40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354A1" w14:textId="77777777" w:rsidR="0063035A" w:rsidRDefault="0063035A" w:rsidP="00C404CF">
      <w:pPr>
        <w:spacing w:after="0" w:line="240" w:lineRule="auto"/>
      </w:pPr>
      <w:r>
        <w:separator/>
      </w:r>
    </w:p>
  </w:footnote>
  <w:footnote w:type="continuationSeparator" w:id="0">
    <w:p w14:paraId="7E49536E" w14:textId="77777777" w:rsidR="0063035A" w:rsidRDefault="0063035A" w:rsidP="00C404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7FE"/>
    <w:rsid w:val="0001594D"/>
    <w:rsid w:val="003258E0"/>
    <w:rsid w:val="00432B7D"/>
    <w:rsid w:val="0052631E"/>
    <w:rsid w:val="00613E6C"/>
    <w:rsid w:val="0063035A"/>
    <w:rsid w:val="00697BDC"/>
    <w:rsid w:val="006B5C01"/>
    <w:rsid w:val="007E5B96"/>
    <w:rsid w:val="008E5E51"/>
    <w:rsid w:val="009A7CF3"/>
    <w:rsid w:val="00A452FF"/>
    <w:rsid w:val="00A63912"/>
    <w:rsid w:val="00AE4BA2"/>
    <w:rsid w:val="00B1018B"/>
    <w:rsid w:val="00BD54C9"/>
    <w:rsid w:val="00C404CF"/>
    <w:rsid w:val="00C82554"/>
    <w:rsid w:val="00D87AD5"/>
    <w:rsid w:val="00DE1207"/>
    <w:rsid w:val="00E128E1"/>
    <w:rsid w:val="00E217EB"/>
    <w:rsid w:val="00ED0D53"/>
    <w:rsid w:val="00FA6911"/>
    <w:rsid w:val="00FE77FE"/>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9333A"/>
  <w15:chartTrackingRefBased/>
  <w15:docId w15:val="{FF179326-4485-4091-BD69-707F6A969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E77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E77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E77F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E77F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E77F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E77F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E77F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E77F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E77F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E77FE"/>
    <w:rPr>
      <w:rFonts w:asciiTheme="majorHAnsi" w:eastAsiaTheme="majorEastAsia" w:hAnsiTheme="majorHAnsi" w:cstheme="majorBidi"/>
      <w:color w:val="2F5496" w:themeColor="accent1" w:themeShade="BF"/>
      <w:sz w:val="40"/>
      <w:szCs w:val="40"/>
    </w:rPr>
  </w:style>
  <w:style w:type="character" w:customStyle="1" w:styleId="20">
    <w:name w:val="标题 2 字符"/>
    <w:basedOn w:val="a0"/>
    <w:link w:val="2"/>
    <w:uiPriority w:val="9"/>
    <w:semiHidden/>
    <w:rsid w:val="00FE77FE"/>
    <w:rPr>
      <w:rFonts w:asciiTheme="majorHAnsi" w:eastAsiaTheme="majorEastAsia" w:hAnsiTheme="majorHAnsi" w:cstheme="majorBidi"/>
      <w:color w:val="2F5496" w:themeColor="accent1" w:themeShade="BF"/>
      <w:sz w:val="32"/>
      <w:szCs w:val="32"/>
    </w:rPr>
  </w:style>
  <w:style w:type="character" w:customStyle="1" w:styleId="30">
    <w:name w:val="标题 3 字符"/>
    <w:basedOn w:val="a0"/>
    <w:link w:val="3"/>
    <w:uiPriority w:val="9"/>
    <w:semiHidden/>
    <w:rsid w:val="00FE77FE"/>
    <w:rPr>
      <w:rFonts w:eastAsiaTheme="majorEastAsia" w:cstheme="majorBidi"/>
      <w:color w:val="2F5496" w:themeColor="accent1" w:themeShade="BF"/>
      <w:sz w:val="28"/>
      <w:szCs w:val="28"/>
    </w:rPr>
  </w:style>
  <w:style w:type="character" w:customStyle="1" w:styleId="40">
    <w:name w:val="标题 4 字符"/>
    <w:basedOn w:val="a0"/>
    <w:link w:val="4"/>
    <w:uiPriority w:val="9"/>
    <w:semiHidden/>
    <w:rsid w:val="00FE77FE"/>
    <w:rPr>
      <w:rFonts w:eastAsiaTheme="majorEastAsia" w:cstheme="majorBidi"/>
      <w:i/>
      <w:iCs/>
      <w:color w:val="2F5496" w:themeColor="accent1" w:themeShade="BF"/>
    </w:rPr>
  </w:style>
  <w:style w:type="character" w:customStyle="1" w:styleId="50">
    <w:name w:val="标题 5 字符"/>
    <w:basedOn w:val="a0"/>
    <w:link w:val="5"/>
    <w:uiPriority w:val="9"/>
    <w:semiHidden/>
    <w:rsid w:val="00FE77FE"/>
    <w:rPr>
      <w:rFonts w:eastAsiaTheme="majorEastAsia" w:cstheme="majorBidi"/>
      <w:color w:val="2F5496" w:themeColor="accent1" w:themeShade="BF"/>
    </w:rPr>
  </w:style>
  <w:style w:type="character" w:customStyle="1" w:styleId="60">
    <w:name w:val="标题 6 字符"/>
    <w:basedOn w:val="a0"/>
    <w:link w:val="6"/>
    <w:uiPriority w:val="9"/>
    <w:semiHidden/>
    <w:rsid w:val="00FE77FE"/>
    <w:rPr>
      <w:rFonts w:eastAsiaTheme="majorEastAsia" w:cstheme="majorBidi"/>
      <w:i/>
      <w:iCs/>
      <w:color w:val="595959" w:themeColor="text1" w:themeTint="A6"/>
    </w:rPr>
  </w:style>
  <w:style w:type="character" w:customStyle="1" w:styleId="70">
    <w:name w:val="标题 7 字符"/>
    <w:basedOn w:val="a0"/>
    <w:link w:val="7"/>
    <w:uiPriority w:val="9"/>
    <w:semiHidden/>
    <w:rsid w:val="00FE77FE"/>
    <w:rPr>
      <w:rFonts w:eastAsiaTheme="majorEastAsia" w:cstheme="majorBidi"/>
      <w:color w:val="595959" w:themeColor="text1" w:themeTint="A6"/>
    </w:rPr>
  </w:style>
  <w:style w:type="character" w:customStyle="1" w:styleId="80">
    <w:name w:val="标题 8 字符"/>
    <w:basedOn w:val="a0"/>
    <w:link w:val="8"/>
    <w:uiPriority w:val="9"/>
    <w:semiHidden/>
    <w:rsid w:val="00FE77FE"/>
    <w:rPr>
      <w:rFonts w:eastAsiaTheme="majorEastAsia" w:cstheme="majorBidi"/>
      <w:i/>
      <w:iCs/>
      <w:color w:val="272727" w:themeColor="text1" w:themeTint="D8"/>
    </w:rPr>
  </w:style>
  <w:style w:type="character" w:customStyle="1" w:styleId="90">
    <w:name w:val="标题 9 字符"/>
    <w:basedOn w:val="a0"/>
    <w:link w:val="9"/>
    <w:uiPriority w:val="9"/>
    <w:semiHidden/>
    <w:rsid w:val="00FE77FE"/>
    <w:rPr>
      <w:rFonts w:eastAsiaTheme="majorEastAsia" w:cstheme="majorBidi"/>
      <w:color w:val="272727" w:themeColor="text1" w:themeTint="D8"/>
    </w:rPr>
  </w:style>
  <w:style w:type="paragraph" w:styleId="a3">
    <w:name w:val="Title"/>
    <w:basedOn w:val="a"/>
    <w:next w:val="a"/>
    <w:link w:val="a4"/>
    <w:uiPriority w:val="10"/>
    <w:qFormat/>
    <w:rsid w:val="00FE7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E77F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77FE"/>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FE77F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E77FE"/>
    <w:pPr>
      <w:spacing w:before="160"/>
      <w:jc w:val="center"/>
    </w:pPr>
    <w:rPr>
      <w:i/>
      <w:iCs/>
      <w:color w:val="404040" w:themeColor="text1" w:themeTint="BF"/>
    </w:rPr>
  </w:style>
  <w:style w:type="character" w:customStyle="1" w:styleId="a8">
    <w:name w:val="引用 字符"/>
    <w:basedOn w:val="a0"/>
    <w:link w:val="a7"/>
    <w:uiPriority w:val="29"/>
    <w:rsid w:val="00FE77FE"/>
    <w:rPr>
      <w:i/>
      <w:iCs/>
      <w:color w:val="404040" w:themeColor="text1" w:themeTint="BF"/>
    </w:rPr>
  </w:style>
  <w:style w:type="paragraph" w:styleId="a9">
    <w:name w:val="List Paragraph"/>
    <w:basedOn w:val="a"/>
    <w:uiPriority w:val="34"/>
    <w:qFormat/>
    <w:rsid w:val="00FE77FE"/>
    <w:pPr>
      <w:ind w:left="720"/>
      <w:contextualSpacing/>
    </w:pPr>
  </w:style>
  <w:style w:type="character" w:styleId="aa">
    <w:name w:val="Intense Emphasis"/>
    <w:basedOn w:val="a0"/>
    <w:uiPriority w:val="21"/>
    <w:qFormat/>
    <w:rsid w:val="00FE77FE"/>
    <w:rPr>
      <w:i/>
      <w:iCs/>
      <w:color w:val="2F5496" w:themeColor="accent1" w:themeShade="BF"/>
    </w:rPr>
  </w:style>
  <w:style w:type="paragraph" w:styleId="ab">
    <w:name w:val="Intense Quote"/>
    <w:basedOn w:val="a"/>
    <w:next w:val="a"/>
    <w:link w:val="ac"/>
    <w:uiPriority w:val="30"/>
    <w:qFormat/>
    <w:rsid w:val="00FE77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FE77FE"/>
    <w:rPr>
      <w:i/>
      <w:iCs/>
      <w:color w:val="2F5496" w:themeColor="accent1" w:themeShade="BF"/>
    </w:rPr>
  </w:style>
  <w:style w:type="character" w:styleId="ad">
    <w:name w:val="Intense Reference"/>
    <w:basedOn w:val="a0"/>
    <w:uiPriority w:val="32"/>
    <w:qFormat/>
    <w:rsid w:val="00FE77FE"/>
    <w:rPr>
      <w:b/>
      <w:bCs/>
      <w:smallCaps/>
      <w:color w:val="2F5496" w:themeColor="accent1" w:themeShade="BF"/>
      <w:spacing w:val="5"/>
    </w:rPr>
  </w:style>
  <w:style w:type="paragraph" w:styleId="ae">
    <w:name w:val="header"/>
    <w:basedOn w:val="a"/>
    <w:link w:val="af"/>
    <w:uiPriority w:val="99"/>
    <w:unhideWhenUsed/>
    <w:rsid w:val="00C404CF"/>
    <w:pPr>
      <w:tabs>
        <w:tab w:val="center" w:pos="4153"/>
        <w:tab w:val="right" w:pos="8306"/>
      </w:tabs>
      <w:spacing w:after="0" w:line="240" w:lineRule="auto"/>
    </w:pPr>
  </w:style>
  <w:style w:type="character" w:customStyle="1" w:styleId="af">
    <w:name w:val="页眉 字符"/>
    <w:basedOn w:val="a0"/>
    <w:link w:val="ae"/>
    <w:uiPriority w:val="99"/>
    <w:rsid w:val="00C404CF"/>
  </w:style>
  <w:style w:type="paragraph" w:styleId="af0">
    <w:name w:val="footer"/>
    <w:basedOn w:val="a"/>
    <w:link w:val="af1"/>
    <w:uiPriority w:val="99"/>
    <w:unhideWhenUsed/>
    <w:rsid w:val="00C404CF"/>
    <w:pPr>
      <w:tabs>
        <w:tab w:val="center" w:pos="4153"/>
        <w:tab w:val="right" w:pos="8306"/>
      </w:tabs>
      <w:spacing w:after="0" w:line="240" w:lineRule="auto"/>
    </w:pPr>
  </w:style>
  <w:style w:type="character" w:customStyle="1" w:styleId="af1">
    <w:name w:val="页脚 字符"/>
    <w:basedOn w:val="a0"/>
    <w:link w:val="af0"/>
    <w:uiPriority w:val="99"/>
    <w:rsid w:val="00C40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356</Words>
  <Characters>2070</Characters>
  <Application>Microsoft Office Word</Application>
  <DocSecurity>0</DocSecurity>
  <Lines>41</Lines>
  <Paragraphs>5</Paragraphs>
  <ScaleCrop>false</ScaleCrop>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jiangpeng pu</dc:creator>
  <cp:keywords/>
  <dc:description/>
  <cp:lastModifiedBy>jiangpeng pu</cp:lastModifiedBy>
  <cp:revision>13</cp:revision>
  <dcterms:created xsi:type="dcterms:W3CDTF">2026-07-31T08:30:00Z</dcterms:created>
  <dcterms:modified xsi:type="dcterms:W3CDTF">2026-08-19T05:30:00Z</dcterms:modified>
</cp:coreProperties>
</file>