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3A0E62">
      <w:pPr>
        <w:spacing w:line="360" w:lineRule="auto"/>
        <w:jc w:val="center"/>
        <w:rPr>
          <w:rFonts w:ascii="Times New Roman" w:hAnsi="Times New Roman" w:cs="Times New Roman"/>
          <w:b/>
          <w:bCs/>
          <w:sz w:val="28"/>
          <w:szCs w:val="28"/>
        </w:rPr>
      </w:pPr>
      <w:r>
        <w:rPr>
          <w:rFonts w:hint="eastAsia" w:ascii="Times New Roman" w:hAnsi="Times New Roman" w:cs="Times New Roman"/>
          <w:b/>
          <w:bCs/>
          <w:sz w:val="28"/>
          <w:szCs w:val="28"/>
        </w:rPr>
        <w:t>Acupuncture in the Treatment of Parkinson's Disease: A Prospective Randomized Controlled Clinical Trial</w:t>
      </w:r>
    </w:p>
    <w:p w14:paraId="1C4693AE">
      <w:pPr>
        <w:spacing w:line="360" w:lineRule="auto"/>
        <w:jc w:val="center"/>
        <w:rPr>
          <w:rFonts w:ascii="Times New Roman" w:hAnsi="Times New Roman" w:cs="Times New Roman"/>
          <w:b/>
          <w:bCs/>
          <w:sz w:val="28"/>
          <w:szCs w:val="28"/>
        </w:rPr>
      </w:pPr>
    </w:p>
    <w:p w14:paraId="5A9C3807">
      <w:pPr>
        <w:spacing w:line="360" w:lineRule="auto"/>
        <w:rPr>
          <w:rFonts w:ascii="Times New Roman" w:hAnsi="Times New Roman" w:cs="Times New Roman"/>
          <w:sz w:val="24"/>
          <w:szCs w:val="24"/>
        </w:rPr>
      </w:pPr>
      <w:r>
        <w:rPr>
          <w:rFonts w:ascii="Times New Roman" w:hAnsi="Times New Roman" w:cs="Times New Roman"/>
          <w:sz w:val="24"/>
          <w:szCs w:val="24"/>
        </w:rPr>
        <w:t xml:space="preserve">Research Institution: The First Affiliated Hospital of Guangzhou University of Chinese Medicine </w:t>
      </w:r>
    </w:p>
    <w:p w14:paraId="361E38C3">
      <w:pPr>
        <w:spacing w:line="360" w:lineRule="auto"/>
        <w:rPr>
          <w:rFonts w:ascii="Times New Roman" w:hAnsi="Times New Roman" w:cs="Times New Roman"/>
          <w:sz w:val="24"/>
          <w:szCs w:val="24"/>
        </w:rPr>
      </w:pPr>
    </w:p>
    <w:p w14:paraId="407470F9">
      <w:pPr>
        <w:spacing w:line="360" w:lineRule="auto"/>
        <w:rPr>
          <w:rFonts w:ascii="Times New Roman" w:hAnsi="Times New Roman" w:cs="Times New Roman"/>
          <w:sz w:val="24"/>
          <w:szCs w:val="24"/>
        </w:rPr>
      </w:pPr>
      <w:r>
        <w:rPr>
          <w:rFonts w:ascii="Times New Roman" w:hAnsi="Times New Roman" w:cs="Times New Roman"/>
          <w:sz w:val="24"/>
          <w:szCs w:val="24"/>
        </w:rPr>
        <w:t xml:space="preserve">Project Leader: </w:t>
      </w:r>
      <w:r>
        <w:rPr>
          <w:rFonts w:hint="eastAsia" w:ascii="Times New Roman" w:hAnsi="Times New Roman" w:cs="Times New Roman"/>
          <w:sz w:val="24"/>
          <w:szCs w:val="24"/>
        </w:rPr>
        <w:t>Nanbu Wang</w:t>
      </w:r>
      <w:r>
        <w:rPr>
          <w:rFonts w:ascii="Times New Roman" w:hAnsi="Times New Roman" w:cs="Times New Roman"/>
          <w:sz w:val="24"/>
          <w:szCs w:val="24"/>
        </w:rPr>
        <w:t xml:space="preserve"> </w:t>
      </w:r>
    </w:p>
    <w:p w14:paraId="4E1EDC05">
      <w:pPr>
        <w:spacing w:line="360" w:lineRule="auto"/>
        <w:rPr>
          <w:rFonts w:ascii="Times New Roman" w:hAnsi="Times New Roman" w:cs="Times New Roman"/>
          <w:sz w:val="24"/>
          <w:szCs w:val="24"/>
        </w:rPr>
      </w:pPr>
    </w:p>
    <w:p w14:paraId="10EB844F">
      <w:pPr>
        <w:spacing w:line="360" w:lineRule="auto"/>
        <w:rPr>
          <w:rFonts w:hint="eastAsia" w:ascii="Times New Roman" w:hAnsi="Times New Roman" w:cs="Times New Roman" w:eastAsiaTheme="minorEastAsia"/>
          <w:sz w:val="24"/>
          <w:szCs w:val="24"/>
          <w:lang w:eastAsia="zh-CN"/>
        </w:rPr>
      </w:pPr>
      <w:r>
        <w:rPr>
          <w:rFonts w:ascii="Times New Roman" w:hAnsi="Times New Roman" w:cs="Times New Roman"/>
          <w:sz w:val="24"/>
          <w:szCs w:val="24"/>
        </w:rPr>
        <w:t xml:space="preserve">Version </w:t>
      </w:r>
      <w:r>
        <w:rPr>
          <w:rFonts w:hint="eastAsia" w:ascii="Times New Roman" w:hAnsi="Times New Roman" w:cs="Times New Roman"/>
          <w:sz w:val="24"/>
          <w:szCs w:val="24"/>
          <w:lang w:val="en-US" w:eastAsia="zh-CN"/>
        </w:rPr>
        <w:t>6</w:t>
      </w:r>
      <w:r>
        <w:rPr>
          <w:rFonts w:ascii="Times New Roman" w:hAnsi="Times New Roman" w:cs="Times New Roman"/>
          <w:sz w:val="24"/>
          <w:szCs w:val="24"/>
        </w:rPr>
        <w:t>.0; 06/</w:t>
      </w:r>
      <w:r>
        <w:rPr>
          <w:rFonts w:hint="eastAsia" w:ascii="Times New Roman" w:hAnsi="Times New Roman" w:cs="Times New Roman"/>
          <w:sz w:val="24"/>
          <w:szCs w:val="24"/>
          <w:lang w:val="en-US" w:eastAsia="zh-CN"/>
        </w:rPr>
        <w:t>27</w:t>
      </w:r>
      <w:r>
        <w:rPr>
          <w:rFonts w:ascii="Times New Roman" w:hAnsi="Times New Roman" w:cs="Times New Roman"/>
          <w:sz w:val="24"/>
          <w:szCs w:val="24"/>
        </w:rPr>
        <w:t>/202</w:t>
      </w:r>
      <w:r>
        <w:rPr>
          <w:rFonts w:hint="eastAsia" w:ascii="Times New Roman" w:hAnsi="Times New Roman" w:cs="Times New Roman"/>
          <w:sz w:val="24"/>
          <w:szCs w:val="24"/>
          <w:lang w:val="en-US" w:eastAsia="zh-CN"/>
        </w:rPr>
        <w:t>6</w:t>
      </w:r>
    </w:p>
    <w:p w14:paraId="363F9208">
      <w:pPr>
        <w:spacing w:line="360" w:lineRule="auto"/>
        <w:rPr>
          <w:rFonts w:ascii="Times New Roman" w:hAnsi="Times New Roman" w:cs="Times New Roman"/>
          <w:sz w:val="24"/>
          <w:szCs w:val="24"/>
        </w:rPr>
      </w:pPr>
    </w:p>
    <w:p w14:paraId="3FD213C0">
      <w:pPr>
        <w:spacing w:line="360" w:lineRule="auto"/>
        <w:rPr>
          <w:rFonts w:hint="eastAsia" w:ascii="Times New Roman" w:hAnsi="Times New Roman" w:cs="Times New Roman" w:eastAsiaTheme="minorEastAsia"/>
          <w:sz w:val="24"/>
          <w:szCs w:val="24"/>
          <w:lang w:eastAsia="zh-CN"/>
        </w:rPr>
        <w:sectPr>
          <w:footerReference r:id="rId3" w:type="default"/>
          <w:pgSz w:w="11906" w:h="16838"/>
          <w:pgMar w:top="1440" w:right="1800" w:bottom="1440" w:left="1800" w:header="851" w:footer="992" w:gutter="0"/>
          <w:cols w:space="425" w:num="1"/>
          <w:docGrid w:type="lines" w:linePitch="312" w:charSpace="0"/>
        </w:sectPr>
      </w:pPr>
      <w:r>
        <w:rPr>
          <w:rFonts w:ascii="Times New Roman" w:hAnsi="Times New Roman" w:cs="Times New Roman"/>
          <w:sz w:val="24"/>
          <w:szCs w:val="24"/>
        </w:rPr>
        <w:t>Approved: No.K-202</w:t>
      </w:r>
      <w:r>
        <w:rPr>
          <w:rFonts w:hint="eastAsia" w:ascii="Times New Roman" w:hAnsi="Times New Roman" w:cs="Times New Roman"/>
          <w:sz w:val="24"/>
          <w:szCs w:val="24"/>
          <w:lang w:val="en-US" w:eastAsia="zh-CN"/>
        </w:rPr>
        <w:t>4</w:t>
      </w:r>
      <w:r>
        <w:rPr>
          <w:rFonts w:ascii="Times New Roman" w:hAnsi="Times New Roman" w:cs="Times New Roman"/>
          <w:sz w:val="24"/>
          <w:szCs w:val="24"/>
        </w:rPr>
        <w:t>-</w:t>
      </w:r>
      <w:r>
        <w:rPr>
          <w:rFonts w:hint="eastAsia" w:ascii="Times New Roman" w:hAnsi="Times New Roman" w:cs="Times New Roman"/>
          <w:sz w:val="24"/>
          <w:szCs w:val="24"/>
          <w:lang w:val="en-US" w:eastAsia="zh-CN"/>
        </w:rPr>
        <w:t>170</w:t>
      </w:r>
      <w:r>
        <w:rPr>
          <w:rFonts w:ascii="Times New Roman" w:hAnsi="Times New Roman" w:cs="Times New Roman"/>
          <w:sz w:val="24"/>
          <w:szCs w:val="24"/>
        </w:rPr>
        <w:t>; 0</w:t>
      </w:r>
      <w:r>
        <w:rPr>
          <w:rFonts w:hint="eastAsia" w:ascii="Times New Roman" w:hAnsi="Times New Roman" w:cs="Times New Roman"/>
          <w:sz w:val="24"/>
          <w:szCs w:val="24"/>
          <w:lang w:val="en-US" w:eastAsia="zh-CN"/>
        </w:rPr>
        <w:t>9</w:t>
      </w:r>
      <w:r>
        <w:rPr>
          <w:rFonts w:ascii="Times New Roman" w:hAnsi="Times New Roman" w:cs="Times New Roman"/>
          <w:sz w:val="24"/>
          <w:szCs w:val="24"/>
        </w:rPr>
        <w:t>/</w:t>
      </w:r>
      <w:r>
        <w:rPr>
          <w:rFonts w:hint="eastAsia" w:ascii="Times New Roman" w:hAnsi="Times New Roman" w:cs="Times New Roman"/>
          <w:sz w:val="24"/>
          <w:szCs w:val="24"/>
          <w:lang w:val="en-US" w:eastAsia="zh-CN"/>
        </w:rPr>
        <w:t>01</w:t>
      </w:r>
      <w:r>
        <w:rPr>
          <w:rFonts w:ascii="Times New Roman" w:hAnsi="Times New Roman" w:cs="Times New Roman"/>
          <w:sz w:val="24"/>
          <w:szCs w:val="24"/>
        </w:rPr>
        <w:t>/202</w:t>
      </w:r>
      <w:r>
        <w:rPr>
          <w:rFonts w:hint="eastAsia" w:ascii="Times New Roman" w:hAnsi="Times New Roman" w:cs="Times New Roman"/>
          <w:sz w:val="24"/>
          <w:szCs w:val="24"/>
          <w:lang w:val="en-US" w:eastAsia="zh-CN"/>
        </w:rPr>
        <w:t>5</w:t>
      </w:r>
    </w:p>
    <w:sdt>
      <w:sdtPr>
        <w:rPr>
          <w:rFonts w:asciiTheme="minorHAnsi" w:hAnsiTheme="minorHAnsi" w:eastAsiaTheme="minorEastAsia" w:cstheme="minorBidi"/>
          <w:color w:val="auto"/>
          <w:kern w:val="2"/>
          <w:sz w:val="21"/>
          <w:szCs w:val="22"/>
          <w:lang w:val="zh-CN"/>
        </w:rPr>
        <w:id w:val="-216123581"/>
        <w:docPartObj>
          <w:docPartGallery w:val="Table of Contents"/>
          <w:docPartUnique/>
        </w:docPartObj>
      </w:sdtPr>
      <w:sdtEndPr>
        <w:rPr>
          <w:rFonts w:asciiTheme="minorHAnsi" w:hAnsiTheme="minorHAnsi" w:eastAsiaTheme="minorEastAsia" w:cstheme="minorBidi"/>
          <w:b/>
          <w:bCs/>
          <w:color w:val="auto"/>
          <w:kern w:val="2"/>
          <w:sz w:val="21"/>
          <w:szCs w:val="22"/>
          <w:lang w:val="zh-CN"/>
        </w:rPr>
      </w:sdtEndPr>
      <w:sdtContent>
        <w:p w14:paraId="794C743A">
          <w:pPr>
            <w:pStyle w:val="46"/>
            <w:jc w:val="center"/>
            <w:rPr>
              <w:rFonts w:ascii="Times New Roman" w:hAnsi="Times New Roman" w:cs="Times New Roman"/>
              <w:color w:val="auto"/>
            </w:rPr>
          </w:pPr>
          <w:r>
            <w:rPr>
              <w:rFonts w:ascii="Times New Roman" w:hAnsi="Times New Roman" w:cs="Times New Roman"/>
              <w:color w:val="auto"/>
            </w:rPr>
            <w:t>Table of Contents</w:t>
          </w:r>
        </w:p>
        <w:p w14:paraId="49B43C3D">
          <w:pPr>
            <w:pStyle w:val="15"/>
            <w:rPr>
              <w:rStyle w:val="24"/>
              <w:color w:val="auto"/>
              <w:u w:val="none"/>
            </w:rPr>
          </w:pPr>
          <w:r>
            <w:rPr>
              <w:rStyle w:val="24"/>
              <w:color w:val="auto"/>
              <w:u w:val="none"/>
            </w:rPr>
            <w:t>Study Protocol</w:t>
          </w:r>
        </w:p>
        <w:p w14:paraId="6260F785">
          <w:pPr>
            <w:pStyle w:val="15"/>
            <w:tabs>
              <w:tab w:val="right" w:leader="dot" w:pos="9746"/>
              <w:tab w:val="clear" w:pos="9736"/>
            </w:tabs>
          </w:pPr>
          <w:r>
            <w:fldChar w:fldCharType="begin"/>
          </w:r>
          <w:r>
            <w:instrText xml:space="preserve"> TOC \o "1-3" \h \z \u </w:instrText>
          </w:r>
          <w:r>
            <w:fldChar w:fldCharType="separate"/>
          </w:r>
          <w:r>
            <w:fldChar w:fldCharType="begin"/>
          </w:r>
          <w:r>
            <w:instrText xml:space="preserve"> HYPERLINK \l _Toc8935 </w:instrText>
          </w:r>
          <w:r>
            <w:fldChar w:fldCharType="separate"/>
          </w:r>
          <w:r>
            <w:rPr>
              <w:rFonts w:ascii="Times New Roman" w:hAnsi="Times New Roman" w:cs="Times New Roman"/>
              <w:bCs/>
              <w:szCs w:val="24"/>
            </w:rPr>
            <w:t>1.</w:t>
          </w:r>
          <w:r>
            <w:rPr>
              <w:rFonts w:ascii="Times New Roman" w:hAnsi="Times New Roman" w:cs="Times New Roman"/>
              <w:bCs/>
              <w:szCs w:val="24"/>
              <w:shd w:val="clear" w:color="auto" w:fill="FFFFFF"/>
            </w:rPr>
            <w:t xml:space="preserve"> Study </w:t>
          </w:r>
          <w:r>
            <w:rPr>
              <w:rFonts w:ascii="Times New Roman" w:hAnsi="Times New Roman" w:cs="Times New Roman"/>
              <w:bCs/>
              <w:szCs w:val="24"/>
            </w:rPr>
            <w:t>Abstract</w:t>
          </w:r>
          <w:r>
            <w:tab/>
          </w:r>
          <w:r>
            <w:fldChar w:fldCharType="begin"/>
          </w:r>
          <w:r>
            <w:instrText xml:space="preserve"> PAGEREF _Toc8935 \h </w:instrText>
          </w:r>
          <w:r>
            <w:fldChar w:fldCharType="separate"/>
          </w:r>
          <w:r>
            <w:t>4</w:t>
          </w:r>
          <w:r>
            <w:fldChar w:fldCharType="end"/>
          </w:r>
          <w:r>
            <w:fldChar w:fldCharType="end"/>
          </w:r>
        </w:p>
        <w:p w14:paraId="68E081C4">
          <w:pPr>
            <w:pStyle w:val="17"/>
            <w:tabs>
              <w:tab w:val="right" w:leader="dot" w:pos="9746"/>
            </w:tabs>
          </w:pPr>
          <w:r>
            <w:rPr>
              <w:rFonts w:ascii="Times New Roman" w:hAnsi="Times New Roman" w:cs="Times New Roman"/>
              <w:bCs/>
              <w:szCs w:val="20"/>
              <w:lang w:val="zh-CN"/>
            </w:rPr>
            <w:fldChar w:fldCharType="begin"/>
          </w:r>
          <w:r>
            <w:rPr>
              <w:rFonts w:ascii="Times New Roman" w:hAnsi="Times New Roman" w:cs="Times New Roman"/>
              <w:bCs/>
              <w:szCs w:val="20"/>
              <w:lang w:val="zh-CN"/>
            </w:rPr>
            <w:instrText xml:space="preserve"> HYPERLINK \l _Toc14112 </w:instrText>
          </w:r>
          <w:r>
            <w:rPr>
              <w:rFonts w:ascii="Times New Roman" w:hAnsi="Times New Roman" w:cs="Times New Roman"/>
              <w:bCs/>
              <w:szCs w:val="20"/>
              <w:lang w:val="zh-CN"/>
            </w:rPr>
            <w:fldChar w:fldCharType="separate"/>
          </w:r>
          <w:r>
            <w:rPr>
              <w:rFonts w:ascii="Times New Roman" w:hAnsi="Times New Roman" w:cs="Times New Roman"/>
              <w:bCs/>
              <w:szCs w:val="20"/>
            </w:rPr>
            <w:t>1.1 Study Name</w:t>
          </w:r>
          <w:r>
            <w:tab/>
          </w:r>
          <w:r>
            <w:fldChar w:fldCharType="begin"/>
          </w:r>
          <w:r>
            <w:instrText xml:space="preserve"> PAGEREF _Toc14112 \h </w:instrText>
          </w:r>
          <w:r>
            <w:fldChar w:fldCharType="separate"/>
          </w:r>
          <w:r>
            <w:t>4</w:t>
          </w:r>
          <w:r>
            <w:fldChar w:fldCharType="end"/>
          </w:r>
          <w:r>
            <w:rPr>
              <w:rFonts w:ascii="Times New Roman" w:hAnsi="Times New Roman" w:cs="Times New Roman"/>
              <w:bCs/>
              <w:szCs w:val="20"/>
              <w:lang w:val="zh-CN"/>
            </w:rPr>
            <w:fldChar w:fldCharType="end"/>
          </w:r>
        </w:p>
        <w:p w14:paraId="1CCDFDA2">
          <w:pPr>
            <w:pStyle w:val="17"/>
            <w:tabs>
              <w:tab w:val="right" w:leader="dot" w:pos="9746"/>
            </w:tabs>
          </w:pPr>
          <w:r>
            <w:rPr>
              <w:rFonts w:ascii="Times New Roman" w:hAnsi="Times New Roman" w:cs="Times New Roman"/>
              <w:bCs/>
              <w:szCs w:val="20"/>
              <w:lang w:val="zh-CN"/>
            </w:rPr>
            <w:fldChar w:fldCharType="begin"/>
          </w:r>
          <w:r>
            <w:rPr>
              <w:rFonts w:ascii="Times New Roman" w:hAnsi="Times New Roman" w:cs="Times New Roman"/>
              <w:bCs/>
              <w:szCs w:val="20"/>
              <w:lang w:val="zh-CN"/>
            </w:rPr>
            <w:instrText xml:space="preserve"> HYPERLINK \l _Toc10405 </w:instrText>
          </w:r>
          <w:r>
            <w:rPr>
              <w:rFonts w:ascii="Times New Roman" w:hAnsi="Times New Roman" w:cs="Times New Roman"/>
              <w:bCs/>
              <w:szCs w:val="20"/>
              <w:lang w:val="zh-CN"/>
            </w:rPr>
            <w:fldChar w:fldCharType="separate"/>
          </w:r>
          <w:r>
            <w:rPr>
              <w:rFonts w:ascii="Times New Roman" w:hAnsi="Times New Roman" w:cs="Times New Roman"/>
              <w:bCs/>
              <w:szCs w:val="20"/>
            </w:rPr>
            <w:t>1.2 Study Objective</w:t>
          </w:r>
          <w:r>
            <w:tab/>
          </w:r>
          <w:r>
            <w:fldChar w:fldCharType="begin"/>
          </w:r>
          <w:r>
            <w:instrText xml:space="preserve"> PAGEREF _Toc10405 \h </w:instrText>
          </w:r>
          <w:r>
            <w:fldChar w:fldCharType="separate"/>
          </w:r>
          <w:r>
            <w:t>4</w:t>
          </w:r>
          <w:r>
            <w:fldChar w:fldCharType="end"/>
          </w:r>
          <w:r>
            <w:rPr>
              <w:rFonts w:ascii="Times New Roman" w:hAnsi="Times New Roman" w:cs="Times New Roman"/>
              <w:bCs/>
              <w:szCs w:val="20"/>
              <w:lang w:val="zh-CN"/>
            </w:rPr>
            <w:fldChar w:fldCharType="end"/>
          </w:r>
        </w:p>
        <w:p w14:paraId="3DA38456">
          <w:pPr>
            <w:pStyle w:val="17"/>
            <w:tabs>
              <w:tab w:val="right" w:leader="dot" w:pos="9746"/>
            </w:tabs>
          </w:pPr>
          <w:r>
            <w:rPr>
              <w:rFonts w:ascii="Times New Roman" w:hAnsi="Times New Roman" w:cs="Times New Roman"/>
              <w:bCs/>
              <w:szCs w:val="20"/>
              <w:lang w:val="zh-CN"/>
            </w:rPr>
            <w:fldChar w:fldCharType="begin"/>
          </w:r>
          <w:r>
            <w:rPr>
              <w:rFonts w:ascii="Times New Roman" w:hAnsi="Times New Roman" w:cs="Times New Roman"/>
              <w:bCs/>
              <w:szCs w:val="20"/>
              <w:lang w:val="zh-CN"/>
            </w:rPr>
            <w:instrText xml:space="preserve"> HYPERLINK \l _Toc31162 </w:instrText>
          </w:r>
          <w:r>
            <w:rPr>
              <w:rFonts w:ascii="Times New Roman" w:hAnsi="Times New Roman" w:cs="Times New Roman"/>
              <w:bCs/>
              <w:szCs w:val="20"/>
              <w:lang w:val="zh-CN"/>
            </w:rPr>
            <w:fldChar w:fldCharType="separate"/>
          </w:r>
          <w:r>
            <w:rPr>
              <w:rFonts w:ascii="Times New Roman" w:hAnsi="Times New Roman" w:cs="Times New Roman"/>
              <w:bCs/>
              <w:szCs w:val="20"/>
              <w:highlight w:val="none"/>
            </w:rPr>
            <w:t>1.3 Study Design</w:t>
          </w:r>
          <w:r>
            <w:tab/>
          </w:r>
          <w:r>
            <w:fldChar w:fldCharType="begin"/>
          </w:r>
          <w:r>
            <w:instrText xml:space="preserve"> PAGEREF _Toc31162 \h </w:instrText>
          </w:r>
          <w:r>
            <w:fldChar w:fldCharType="separate"/>
          </w:r>
          <w:r>
            <w:t>4</w:t>
          </w:r>
          <w:r>
            <w:fldChar w:fldCharType="end"/>
          </w:r>
          <w:r>
            <w:rPr>
              <w:rFonts w:ascii="Times New Roman" w:hAnsi="Times New Roman" w:cs="Times New Roman"/>
              <w:bCs/>
              <w:szCs w:val="20"/>
              <w:lang w:val="zh-CN"/>
            </w:rPr>
            <w:fldChar w:fldCharType="end"/>
          </w:r>
        </w:p>
        <w:p w14:paraId="317DD34B">
          <w:pPr>
            <w:pStyle w:val="17"/>
            <w:tabs>
              <w:tab w:val="right" w:leader="dot" w:pos="9746"/>
            </w:tabs>
          </w:pPr>
          <w:r>
            <w:rPr>
              <w:rFonts w:ascii="Times New Roman" w:hAnsi="Times New Roman" w:cs="Times New Roman"/>
              <w:bCs/>
              <w:szCs w:val="20"/>
              <w:lang w:val="zh-CN"/>
            </w:rPr>
            <w:fldChar w:fldCharType="begin"/>
          </w:r>
          <w:r>
            <w:rPr>
              <w:rFonts w:ascii="Times New Roman" w:hAnsi="Times New Roman" w:cs="Times New Roman"/>
              <w:bCs/>
              <w:szCs w:val="20"/>
              <w:lang w:val="zh-CN"/>
            </w:rPr>
            <w:instrText xml:space="preserve"> HYPERLINK \l _Toc17661 </w:instrText>
          </w:r>
          <w:r>
            <w:rPr>
              <w:rFonts w:ascii="Times New Roman" w:hAnsi="Times New Roman" w:cs="Times New Roman"/>
              <w:bCs/>
              <w:szCs w:val="20"/>
              <w:lang w:val="zh-CN"/>
            </w:rPr>
            <w:fldChar w:fldCharType="separate"/>
          </w:r>
          <w:r>
            <w:rPr>
              <w:rFonts w:ascii="Times New Roman" w:hAnsi="Times New Roman" w:cs="Times New Roman"/>
              <w:bCs/>
              <w:szCs w:val="20"/>
              <w:highlight w:val="none"/>
            </w:rPr>
            <w:t>1.4 Sample Size</w:t>
          </w:r>
          <w:r>
            <w:tab/>
          </w:r>
          <w:r>
            <w:fldChar w:fldCharType="begin"/>
          </w:r>
          <w:r>
            <w:instrText xml:space="preserve"> PAGEREF _Toc17661 \h </w:instrText>
          </w:r>
          <w:r>
            <w:fldChar w:fldCharType="separate"/>
          </w:r>
          <w:r>
            <w:t>4</w:t>
          </w:r>
          <w:r>
            <w:fldChar w:fldCharType="end"/>
          </w:r>
          <w:r>
            <w:rPr>
              <w:rFonts w:ascii="Times New Roman" w:hAnsi="Times New Roman" w:cs="Times New Roman"/>
              <w:bCs/>
              <w:szCs w:val="20"/>
              <w:lang w:val="zh-CN"/>
            </w:rPr>
            <w:fldChar w:fldCharType="end"/>
          </w:r>
        </w:p>
        <w:p w14:paraId="43AB2447">
          <w:pPr>
            <w:pStyle w:val="17"/>
            <w:tabs>
              <w:tab w:val="right" w:leader="dot" w:pos="9746"/>
            </w:tabs>
          </w:pPr>
          <w:r>
            <w:rPr>
              <w:rFonts w:ascii="Times New Roman" w:hAnsi="Times New Roman" w:cs="Times New Roman"/>
              <w:bCs/>
              <w:szCs w:val="20"/>
              <w:lang w:val="zh-CN"/>
            </w:rPr>
            <w:fldChar w:fldCharType="begin"/>
          </w:r>
          <w:r>
            <w:rPr>
              <w:rFonts w:ascii="Times New Roman" w:hAnsi="Times New Roman" w:cs="Times New Roman"/>
              <w:bCs/>
              <w:szCs w:val="20"/>
              <w:lang w:val="zh-CN"/>
            </w:rPr>
            <w:instrText xml:space="preserve"> HYPERLINK \l _Toc22881 </w:instrText>
          </w:r>
          <w:r>
            <w:rPr>
              <w:rFonts w:ascii="Times New Roman" w:hAnsi="Times New Roman" w:cs="Times New Roman"/>
              <w:bCs/>
              <w:szCs w:val="20"/>
              <w:lang w:val="zh-CN"/>
            </w:rPr>
            <w:fldChar w:fldCharType="separate"/>
          </w:r>
          <w:r>
            <w:rPr>
              <w:rFonts w:ascii="Times New Roman" w:hAnsi="Times New Roman" w:cs="Times New Roman"/>
              <w:bCs/>
              <w:szCs w:val="20"/>
              <w:highlight w:val="none"/>
            </w:rPr>
            <w:t>1.5 Patients</w:t>
          </w:r>
          <w:r>
            <w:tab/>
          </w:r>
          <w:r>
            <w:fldChar w:fldCharType="begin"/>
          </w:r>
          <w:r>
            <w:instrText xml:space="preserve"> PAGEREF _Toc22881 \h </w:instrText>
          </w:r>
          <w:r>
            <w:fldChar w:fldCharType="separate"/>
          </w:r>
          <w:r>
            <w:t>4</w:t>
          </w:r>
          <w:r>
            <w:fldChar w:fldCharType="end"/>
          </w:r>
          <w:r>
            <w:rPr>
              <w:rFonts w:ascii="Times New Roman" w:hAnsi="Times New Roman" w:cs="Times New Roman"/>
              <w:bCs/>
              <w:szCs w:val="20"/>
              <w:lang w:val="zh-CN"/>
            </w:rPr>
            <w:fldChar w:fldCharType="end"/>
          </w:r>
        </w:p>
        <w:p w14:paraId="73680335">
          <w:pPr>
            <w:pStyle w:val="12"/>
            <w:tabs>
              <w:tab w:val="right" w:leader="dot" w:pos="9746"/>
            </w:tabs>
          </w:pPr>
          <w:r>
            <w:rPr>
              <w:rFonts w:ascii="Times New Roman" w:hAnsi="Times New Roman" w:cs="Times New Roman"/>
              <w:bCs/>
              <w:szCs w:val="20"/>
              <w:lang w:val="zh-CN"/>
            </w:rPr>
            <w:fldChar w:fldCharType="begin"/>
          </w:r>
          <w:r>
            <w:rPr>
              <w:rFonts w:ascii="Times New Roman" w:hAnsi="Times New Roman" w:cs="Times New Roman"/>
              <w:bCs/>
              <w:szCs w:val="20"/>
              <w:lang w:val="zh-CN"/>
            </w:rPr>
            <w:instrText xml:space="preserve"> HYPERLINK \l _Toc25755 </w:instrText>
          </w:r>
          <w:r>
            <w:rPr>
              <w:rFonts w:ascii="Times New Roman" w:hAnsi="Times New Roman" w:cs="Times New Roman"/>
              <w:bCs/>
              <w:szCs w:val="20"/>
              <w:lang w:val="zh-CN"/>
            </w:rPr>
            <w:fldChar w:fldCharType="separate"/>
          </w:r>
          <w:r>
            <w:rPr>
              <w:rFonts w:ascii="Times New Roman" w:hAnsi="Times New Roman" w:cs="Times New Roman"/>
              <w:bCs/>
              <w:szCs w:val="20"/>
              <w:highlight w:val="none"/>
            </w:rPr>
            <w:t>1.5.1 Inclusion Criteria</w:t>
          </w:r>
          <w:r>
            <w:tab/>
          </w:r>
          <w:r>
            <w:fldChar w:fldCharType="begin"/>
          </w:r>
          <w:r>
            <w:instrText xml:space="preserve"> PAGEREF _Toc25755 \h </w:instrText>
          </w:r>
          <w:r>
            <w:fldChar w:fldCharType="separate"/>
          </w:r>
          <w:r>
            <w:t>4</w:t>
          </w:r>
          <w:r>
            <w:fldChar w:fldCharType="end"/>
          </w:r>
          <w:r>
            <w:rPr>
              <w:rFonts w:ascii="Times New Roman" w:hAnsi="Times New Roman" w:cs="Times New Roman"/>
              <w:bCs/>
              <w:szCs w:val="20"/>
              <w:lang w:val="zh-CN"/>
            </w:rPr>
            <w:fldChar w:fldCharType="end"/>
          </w:r>
        </w:p>
        <w:p w14:paraId="5B308719">
          <w:pPr>
            <w:pStyle w:val="12"/>
            <w:tabs>
              <w:tab w:val="right" w:leader="dot" w:pos="9746"/>
            </w:tabs>
          </w:pPr>
          <w:r>
            <w:rPr>
              <w:rFonts w:ascii="Times New Roman" w:hAnsi="Times New Roman" w:cs="Times New Roman"/>
              <w:bCs/>
              <w:szCs w:val="20"/>
              <w:lang w:val="zh-CN"/>
            </w:rPr>
            <w:fldChar w:fldCharType="begin"/>
          </w:r>
          <w:r>
            <w:rPr>
              <w:rFonts w:ascii="Times New Roman" w:hAnsi="Times New Roman" w:cs="Times New Roman"/>
              <w:bCs/>
              <w:szCs w:val="20"/>
              <w:lang w:val="zh-CN"/>
            </w:rPr>
            <w:instrText xml:space="preserve"> HYPERLINK \l _Toc10474 </w:instrText>
          </w:r>
          <w:r>
            <w:rPr>
              <w:rFonts w:ascii="Times New Roman" w:hAnsi="Times New Roman" w:cs="Times New Roman"/>
              <w:bCs/>
              <w:szCs w:val="20"/>
              <w:lang w:val="zh-CN"/>
            </w:rPr>
            <w:fldChar w:fldCharType="separate"/>
          </w:r>
          <w:r>
            <w:rPr>
              <w:rFonts w:ascii="Times New Roman" w:hAnsi="Times New Roman" w:cs="Times New Roman"/>
              <w:bCs/>
              <w:szCs w:val="20"/>
              <w:highlight w:val="none"/>
            </w:rPr>
            <w:t>1.5.2 Exclusion Criteria</w:t>
          </w:r>
          <w:r>
            <w:tab/>
          </w:r>
          <w:r>
            <w:fldChar w:fldCharType="begin"/>
          </w:r>
          <w:r>
            <w:instrText xml:space="preserve"> PAGEREF _Toc10474 \h </w:instrText>
          </w:r>
          <w:r>
            <w:fldChar w:fldCharType="separate"/>
          </w:r>
          <w:r>
            <w:t>4</w:t>
          </w:r>
          <w:r>
            <w:fldChar w:fldCharType="end"/>
          </w:r>
          <w:r>
            <w:rPr>
              <w:rFonts w:ascii="Times New Roman" w:hAnsi="Times New Roman" w:cs="Times New Roman"/>
              <w:bCs/>
              <w:szCs w:val="20"/>
              <w:lang w:val="zh-CN"/>
            </w:rPr>
            <w:fldChar w:fldCharType="end"/>
          </w:r>
        </w:p>
        <w:p w14:paraId="334BB318">
          <w:pPr>
            <w:pStyle w:val="17"/>
            <w:tabs>
              <w:tab w:val="right" w:leader="dot" w:pos="9746"/>
            </w:tabs>
          </w:pPr>
          <w:r>
            <w:rPr>
              <w:rFonts w:ascii="Times New Roman" w:hAnsi="Times New Roman" w:cs="Times New Roman"/>
              <w:bCs/>
              <w:szCs w:val="20"/>
              <w:lang w:val="zh-CN"/>
            </w:rPr>
            <w:fldChar w:fldCharType="begin"/>
          </w:r>
          <w:r>
            <w:rPr>
              <w:rFonts w:ascii="Times New Roman" w:hAnsi="Times New Roman" w:cs="Times New Roman"/>
              <w:bCs/>
              <w:szCs w:val="20"/>
              <w:lang w:val="zh-CN"/>
            </w:rPr>
            <w:instrText xml:space="preserve"> HYPERLINK \l _Toc11380 </w:instrText>
          </w:r>
          <w:r>
            <w:rPr>
              <w:rFonts w:ascii="Times New Roman" w:hAnsi="Times New Roman" w:cs="Times New Roman"/>
              <w:bCs/>
              <w:szCs w:val="20"/>
              <w:lang w:val="zh-CN"/>
            </w:rPr>
            <w:fldChar w:fldCharType="separate"/>
          </w:r>
          <w:r>
            <w:rPr>
              <w:rFonts w:ascii="Times New Roman" w:hAnsi="Times New Roman" w:cs="Times New Roman"/>
              <w:bCs/>
              <w:szCs w:val="20"/>
              <w:highlight w:val="none"/>
            </w:rPr>
            <w:t>1.6 Treatment Protocol</w:t>
          </w:r>
          <w:r>
            <w:tab/>
          </w:r>
          <w:r>
            <w:fldChar w:fldCharType="begin"/>
          </w:r>
          <w:r>
            <w:instrText xml:space="preserve"> PAGEREF _Toc11380 \h </w:instrText>
          </w:r>
          <w:r>
            <w:fldChar w:fldCharType="separate"/>
          </w:r>
          <w:r>
            <w:t>4</w:t>
          </w:r>
          <w:r>
            <w:fldChar w:fldCharType="end"/>
          </w:r>
          <w:r>
            <w:rPr>
              <w:rFonts w:ascii="Times New Roman" w:hAnsi="Times New Roman" w:cs="Times New Roman"/>
              <w:bCs/>
              <w:szCs w:val="20"/>
              <w:lang w:val="zh-CN"/>
            </w:rPr>
            <w:fldChar w:fldCharType="end"/>
          </w:r>
        </w:p>
        <w:p w14:paraId="523DE20F">
          <w:pPr>
            <w:pStyle w:val="17"/>
            <w:tabs>
              <w:tab w:val="right" w:leader="dot" w:pos="9746"/>
            </w:tabs>
          </w:pPr>
          <w:r>
            <w:rPr>
              <w:rFonts w:ascii="Times New Roman" w:hAnsi="Times New Roman" w:cs="Times New Roman"/>
              <w:bCs/>
              <w:szCs w:val="20"/>
              <w:lang w:val="zh-CN"/>
            </w:rPr>
            <w:fldChar w:fldCharType="begin"/>
          </w:r>
          <w:r>
            <w:rPr>
              <w:rFonts w:ascii="Times New Roman" w:hAnsi="Times New Roman" w:cs="Times New Roman"/>
              <w:bCs/>
              <w:szCs w:val="20"/>
              <w:lang w:val="zh-CN"/>
            </w:rPr>
            <w:instrText xml:space="preserve"> HYPERLINK \l _Toc26916 </w:instrText>
          </w:r>
          <w:r>
            <w:rPr>
              <w:rFonts w:ascii="Times New Roman" w:hAnsi="Times New Roman" w:cs="Times New Roman"/>
              <w:bCs/>
              <w:szCs w:val="20"/>
              <w:lang w:val="zh-CN"/>
            </w:rPr>
            <w:fldChar w:fldCharType="separate"/>
          </w:r>
          <w:r>
            <w:rPr>
              <w:rFonts w:ascii="Times New Roman" w:hAnsi="Times New Roman" w:cs="Times New Roman"/>
              <w:bCs/>
              <w:szCs w:val="20"/>
              <w:highlight w:val="none"/>
            </w:rPr>
            <w:t>1.7 Efficacy Assessment</w:t>
          </w:r>
          <w:r>
            <w:tab/>
          </w:r>
          <w:r>
            <w:fldChar w:fldCharType="begin"/>
          </w:r>
          <w:r>
            <w:instrText xml:space="preserve"> PAGEREF _Toc26916 \h </w:instrText>
          </w:r>
          <w:r>
            <w:fldChar w:fldCharType="separate"/>
          </w:r>
          <w:r>
            <w:t>4</w:t>
          </w:r>
          <w:r>
            <w:fldChar w:fldCharType="end"/>
          </w:r>
          <w:r>
            <w:rPr>
              <w:rFonts w:ascii="Times New Roman" w:hAnsi="Times New Roman" w:cs="Times New Roman"/>
              <w:bCs/>
              <w:szCs w:val="20"/>
              <w:lang w:val="zh-CN"/>
            </w:rPr>
            <w:fldChar w:fldCharType="end"/>
          </w:r>
        </w:p>
        <w:p w14:paraId="0DE1C0E3">
          <w:pPr>
            <w:pStyle w:val="12"/>
            <w:tabs>
              <w:tab w:val="right" w:leader="dot" w:pos="9746"/>
            </w:tabs>
          </w:pPr>
          <w:r>
            <w:rPr>
              <w:rFonts w:ascii="Times New Roman" w:hAnsi="Times New Roman" w:cs="Times New Roman"/>
              <w:bCs/>
              <w:szCs w:val="20"/>
              <w:lang w:val="zh-CN"/>
            </w:rPr>
            <w:fldChar w:fldCharType="begin"/>
          </w:r>
          <w:r>
            <w:rPr>
              <w:rFonts w:ascii="Times New Roman" w:hAnsi="Times New Roman" w:cs="Times New Roman"/>
              <w:bCs/>
              <w:szCs w:val="20"/>
              <w:lang w:val="zh-CN"/>
            </w:rPr>
            <w:instrText xml:space="preserve"> HYPERLINK \l _Toc29470 </w:instrText>
          </w:r>
          <w:r>
            <w:rPr>
              <w:rFonts w:ascii="Times New Roman" w:hAnsi="Times New Roman" w:cs="Times New Roman"/>
              <w:bCs/>
              <w:szCs w:val="20"/>
              <w:lang w:val="zh-CN"/>
            </w:rPr>
            <w:fldChar w:fldCharType="separate"/>
          </w:r>
          <w:r>
            <w:rPr>
              <w:rFonts w:ascii="Times New Roman" w:hAnsi="Times New Roman" w:cs="Times New Roman"/>
              <w:bCs/>
              <w:szCs w:val="20"/>
              <w:highlight w:val="none"/>
            </w:rPr>
            <w:t>1.7.1 Primary Outcomes</w:t>
          </w:r>
          <w:r>
            <w:tab/>
          </w:r>
          <w:r>
            <w:fldChar w:fldCharType="begin"/>
          </w:r>
          <w:r>
            <w:instrText xml:space="preserve"> PAGEREF _Toc29470 \h </w:instrText>
          </w:r>
          <w:r>
            <w:fldChar w:fldCharType="separate"/>
          </w:r>
          <w:r>
            <w:t>4</w:t>
          </w:r>
          <w:r>
            <w:fldChar w:fldCharType="end"/>
          </w:r>
          <w:r>
            <w:rPr>
              <w:rFonts w:ascii="Times New Roman" w:hAnsi="Times New Roman" w:cs="Times New Roman"/>
              <w:bCs/>
              <w:szCs w:val="20"/>
              <w:lang w:val="zh-CN"/>
            </w:rPr>
            <w:fldChar w:fldCharType="end"/>
          </w:r>
        </w:p>
        <w:p w14:paraId="616D9C99">
          <w:pPr>
            <w:pStyle w:val="12"/>
            <w:tabs>
              <w:tab w:val="right" w:leader="dot" w:pos="9746"/>
            </w:tabs>
          </w:pPr>
          <w:r>
            <w:rPr>
              <w:rFonts w:ascii="Times New Roman" w:hAnsi="Times New Roman" w:cs="Times New Roman"/>
              <w:bCs/>
              <w:szCs w:val="20"/>
              <w:lang w:val="zh-CN"/>
            </w:rPr>
            <w:fldChar w:fldCharType="begin"/>
          </w:r>
          <w:r>
            <w:rPr>
              <w:rFonts w:ascii="Times New Roman" w:hAnsi="Times New Roman" w:cs="Times New Roman"/>
              <w:bCs/>
              <w:szCs w:val="20"/>
              <w:lang w:val="zh-CN"/>
            </w:rPr>
            <w:instrText xml:space="preserve"> HYPERLINK \l _Toc4931 </w:instrText>
          </w:r>
          <w:r>
            <w:rPr>
              <w:rFonts w:ascii="Times New Roman" w:hAnsi="Times New Roman" w:cs="Times New Roman"/>
              <w:bCs/>
              <w:szCs w:val="20"/>
              <w:lang w:val="zh-CN"/>
            </w:rPr>
            <w:fldChar w:fldCharType="separate"/>
          </w:r>
          <w:r>
            <w:rPr>
              <w:rFonts w:ascii="Times New Roman" w:hAnsi="Times New Roman" w:cs="Times New Roman"/>
              <w:bCs/>
              <w:szCs w:val="20"/>
              <w:highlight w:val="none"/>
            </w:rPr>
            <w:t>1.7.2 Secondary Outcomes</w:t>
          </w:r>
          <w:r>
            <w:tab/>
          </w:r>
          <w:r>
            <w:fldChar w:fldCharType="begin"/>
          </w:r>
          <w:r>
            <w:instrText xml:space="preserve"> PAGEREF _Toc4931 \h </w:instrText>
          </w:r>
          <w:r>
            <w:fldChar w:fldCharType="separate"/>
          </w:r>
          <w:r>
            <w:t>4</w:t>
          </w:r>
          <w:r>
            <w:fldChar w:fldCharType="end"/>
          </w:r>
          <w:r>
            <w:rPr>
              <w:rFonts w:ascii="Times New Roman" w:hAnsi="Times New Roman" w:cs="Times New Roman"/>
              <w:bCs/>
              <w:szCs w:val="20"/>
              <w:lang w:val="zh-CN"/>
            </w:rPr>
            <w:fldChar w:fldCharType="end"/>
          </w:r>
        </w:p>
        <w:p w14:paraId="439BF2A8">
          <w:pPr>
            <w:pStyle w:val="12"/>
            <w:tabs>
              <w:tab w:val="right" w:leader="dot" w:pos="9746"/>
            </w:tabs>
          </w:pPr>
          <w:r>
            <w:rPr>
              <w:rFonts w:ascii="Times New Roman" w:hAnsi="Times New Roman" w:cs="Times New Roman"/>
              <w:bCs/>
              <w:szCs w:val="20"/>
              <w:lang w:val="zh-CN"/>
            </w:rPr>
            <w:fldChar w:fldCharType="begin"/>
          </w:r>
          <w:r>
            <w:rPr>
              <w:rFonts w:ascii="Times New Roman" w:hAnsi="Times New Roman" w:cs="Times New Roman"/>
              <w:bCs/>
              <w:szCs w:val="20"/>
              <w:lang w:val="zh-CN"/>
            </w:rPr>
            <w:instrText xml:space="preserve"> HYPERLINK \l _Toc15883 </w:instrText>
          </w:r>
          <w:r>
            <w:rPr>
              <w:rFonts w:ascii="Times New Roman" w:hAnsi="Times New Roman" w:cs="Times New Roman"/>
              <w:bCs/>
              <w:szCs w:val="20"/>
              <w:lang w:val="zh-CN"/>
            </w:rPr>
            <w:fldChar w:fldCharType="separate"/>
          </w:r>
          <w:r>
            <w:rPr>
              <w:rFonts w:ascii="Times New Roman" w:hAnsi="Times New Roman" w:cs="Times New Roman"/>
              <w:bCs/>
              <w:szCs w:val="20"/>
              <w:highlight w:val="none"/>
            </w:rPr>
            <w:t>1.7.3 Safety Evaluation Criteria</w:t>
          </w:r>
          <w:r>
            <w:tab/>
          </w:r>
          <w:r>
            <w:fldChar w:fldCharType="begin"/>
          </w:r>
          <w:r>
            <w:instrText xml:space="preserve"> PAGEREF _Toc15883 \h </w:instrText>
          </w:r>
          <w:r>
            <w:fldChar w:fldCharType="separate"/>
          </w:r>
          <w:r>
            <w:t>5</w:t>
          </w:r>
          <w:r>
            <w:fldChar w:fldCharType="end"/>
          </w:r>
          <w:r>
            <w:rPr>
              <w:rFonts w:ascii="Times New Roman" w:hAnsi="Times New Roman" w:cs="Times New Roman"/>
              <w:bCs/>
              <w:szCs w:val="20"/>
              <w:lang w:val="zh-CN"/>
            </w:rPr>
            <w:fldChar w:fldCharType="end"/>
          </w:r>
        </w:p>
        <w:p w14:paraId="1D8A186A">
          <w:pPr>
            <w:pStyle w:val="17"/>
            <w:tabs>
              <w:tab w:val="right" w:leader="dot" w:pos="9746"/>
            </w:tabs>
          </w:pPr>
          <w:r>
            <w:rPr>
              <w:rFonts w:ascii="Times New Roman" w:hAnsi="Times New Roman" w:cs="Times New Roman"/>
              <w:bCs/>
              <w:szCs w:val="20"/>
              <w:lang w:val="zh-CN"/>
            </w:rPr>
            <w:fldChar w:fldCharType="begin"/>
          </w:r>
          <w:r>
            <w:rPr>
              <w:rFonts w:ascii="Times New Roman" w:hAnsi="Times New Roman" w:cs="Times New Roman"/>
              <w:bCs/>
              <w:szCs w:val="20"/>
              <w:lang w:val="zh-CN"/>
            </w:rPr>
            <w:instrText xml:space="preserve"> HYPERLINK \l _Toc3001 </w:instrText>
          </w:r>
          <w:r>
            <w:rPr>
              <w:rFonts w:ascii="Times New Roman" w:hAnsi="Times New Roman" w:cs="Times New Roman"/>
              <w:bCs/>
              <w:szCs w:val="20"/>
              <w:lang w:val="zh-CN"/>
            </w:rPr>
            <w:fldChar w:fldCharType="separate"/>
          </w:r>
          <w:r>
            <w:rPr>
              <w:rFonts w:ascii="Times New Roman" w:hAnsi="Times New Roman" w:cs="Times New Roman"/>
              <w:bCs/>
              <w:szCs w:val="20"/>
              <w:highlight w:val="none"/>
            </w:rPr>
            <w:t>1.8 Statistical Methods</w:t>
          </w:r>
          <w:r>
            <w:tab/>
          </w:r>
          <w:r>
            <w:fldChar w:fldCharType="begin"/>
          </w:r>
          <w:r>
            <w:instrText xml:space="preserve"> PAGEREF _Toc3001 \h </w:instrText>
          </w:r>
          <w:r>
            <w:fldChar w:fldCharType="separate"/>
          </w:r>
          <w:r>
            <w:t>5</w:t>
          </w:r>
          <w:r>
            <w:fldChar w:fldCharType="end"/>
          </w:r>
          <w:r>
            <w:rPr>
              <w:rFonts w:ascii="Times New Roman" w:hAnsi="Times New Roman" w:cs="Times New Roman"/>
              <w:bCs/>
              <w:szCs w:val="20"/>
              <w:lang w:val="zh-CN"/>
            </w:rPr>
            <w:fldChar w:fldCharType="end"/>
          </w:r>
        </w:p>
        <w:p w14:paraId="1594FF57">
          <w:pPr>
            <w:pStyle w:val="15"/>
            <w:tabs>
              <w:tab w:val="right" w:leader="dot" w:pos="9746"/>
              <w:tab w:val="clear" w:pos="9736"/>
            </w:tabs>
          </w:pPr>
          <w:r>
            <w:rPr>
              <w:rFonts w:ascii="Times New Roman" w:hAnsi="Times New Roman" w:cs="Times New Roman"/>
              <w:bCs/>
              <w:szCs w:val="20"/>
              <w:lang w:val="zh-CN"/>
            </w:rPr>
            <w:fldChar w:fldCharType="begin"/>
          </w:r>
          <w:r>
            <w:rPr>
              <w:rFonts w:ascii="Times New Roman" w:hAnsi="Times New Roman" w:cs="Times New Roman"/>
              <w:bCs/>
              <w:szCs w:val="20"/>
              <w:lang w:val="zh-CN"/>
            </w:rPr>
            <w:instrText xml:space="preserve"> HYPERLINK \l _Toc10633 </w:instrText>
          </w:r>
          <w:r>
            <w:rPr>
              <w:rFonts w:ascii="Times New Roman" w:hAnsi="Times New Roman" w:cs="Times New Roman"/>
              <w:bCs/>
              <w:szCs w:val="20"/>
              <w:lang w:val="zh-CN"/>
            </w:rPr>
            <w:fldChar w:fldCharType="separate"/>
          </w:r>
          <w:r>
            <w:rPr>
              <w:rFonts w:ascii="Times New Roman" w:hAnsi="Times New Roman" w:cs="Times New Roman"/>
              <w:bCs/>
              <w:szCs w:val="24"/>
              <w:highlight w:val="none"/>
            </w:rPr>
            <w:t>2.Background</w:t>
          </w:r>
          <w:r>
            <w:tab/>
          </w:r>
          <w:r>
            <w:fldChar w:fldCharType="begin"/>
          </w:r>
          <w:r>
            <w:instrText xml:space="preserve"> PAGEREF _Toc10633 \h </w:instrText>
          </w:r>
          <w:r>
            <w:fldChar w:fldCharType="separate"/>
          </w:r>
          <w:r>
            <w:t>5</w:t>
          </w:r>
          <w:r>
            <w:fldChar w:fldCharType="end"/>
          </w:r>
          <w:r>
            <w:rPr>
              <w:rFonts w:ascii="Times New Roman" w:hAnsi="Times New Roman" w:cs="Times New Roman"/>
              <w:bCs/>
              <w:szCs w:val="20"/>
              <w:lang w:val="zh-CN"/>
            </w:rPr>
            <w:fldChar w:fldCharType="end"/>
          </w:r>
        </w:p>
        <w:p w14:paraId="6554FCD1">
          <w:pPr>
            <w:pStyle w:val="15"/>
            <w:tabs>
              <w:tab w:val="right" w:leader="dot" w:pos="9746"/>
              <w:tab w:val="clear" w:pos="9736"/>
            </w:tabs>
          </w:pPr>
          <w:r>
            <w:rPr>
              <w:rFonts w:ascii="Times New Roman" w:hAnsi="Times New Roman" w:cs="Times New Roman"/>
              <w:bCs/>
              <w:szCs w:val="20"/>
              <w:lang w:val="zh-CN"/>
            </w:rPr>
            <w:fldChar w:fldCharType="begin"/>
          </w:r>
          <w:r>
            <w:rPr>
              <w:rFonts w:ascii="Times New Roman" w:hAnsi="Times New Roman" w:cs="Times New Roman"/>
              <w:bCs/>
              <w:szCs w:val="20"/>
              <w:lang w:val="zh-CN"/>
            </w:rPr>
            <w:instrText xml:space="preserve"> HYPERLINK \l _Toc10429 </w:instrText>
          </w:r>
          <w:r>
            <w:rPr>
              <w:rFonts w:ascii="Times New Roman" w:hAnsi="Times New Roman" w:cs="Times New Roman"/>
              <w:bCs/>
              <w:szCs w:val="20"/>
              <w:lang w:val="zh-CN"/>
            </w:rPr>
            <w:fldChar w:fldCharType="separate"/>
          </w:r>
          <w:r>
            <w:rPr>
              <w:rFonts w:ascii="Times New Roman" w:hAnsi="Times New Roman" w:cs="Times New Roman"/>
              <w:bCs/>
              <w:szCs w:val="24"/>
              <w:highlight w:val="none"/>
            </w:rPr>
            <w:t>3.Trial Objective</w:t>
          </w:r>
          <w:r>
            <w:tab/>
          </w:r>
          <w:r>
            <w:fldChar w:fldCharType="begin"/>
          </w:r>
          <w:r>
            <w:instrText xml:space="preserve"> PAGEREF _Toc10429 \h </w:instrText>
          </w:r>
          <w:r>
            <w:fldChar w:fldCharType="separate"/>
          </w:r>
          <w:r>
            <w:t>6</w:t>
          </w:r>
          <w:r>
            <w:fldChar w:fldCharType="end"/>
          </w:r>
          <w:r>
            <w:rPr>
              <w:rFonts w:ascii="Times New Roman" w:hAnsi="Times New Roman" w:cs="Times New Roman"/>
              <w:bCs/>
              <w:szCs w:val="20"/>
              <w:lang w:val="zh-CN"/>
            </w:rPr>
            <w:fldChar w:fldCharType="end"/>
          </w:r>
        </w:p>
        <w:p w14:paraId="7C9D6F6F">
          <w:pPr>
            <w:pStyle w:val="15"/>
            <w:tabs>
              <w:tab w:val="right" w:leader="dot" w:pos="9746"/>
              <w:tab w:val="clear" w:pos="9736"/>
            </w:tabs>
          </w:pPr>
          <w:r>
            <w:rPr>
              <w:rFonts w:ascii="Times New Roman" w:hAnsi="Times New Roman" w:cs="Times New Roman"/>
              <w:bCs/>
              <w:szCs w:val="20"/>
              <w:lang w:val="zh-CN"/>
            </w:rPr>
            <w:fldChar w:fldCharType="begin"/>
          </w:r>
          <w:r>
            <w:rPr>
              <w:rFonts w:ascii="Times New Roman" w:hAnsi="Times New Roman" w:cs="Times New Roman"/>
              <w:bCs/>
              <w:szCs w:val="20"/>
              <w:lang w:val="zh-CN"/>
            </w:rPr>
            <w:instrText xml:space="preserve"> HYPERLINK \l _Toc6567 </w:instrText>
          </w:r>
          <w:r>
            <w:rPr>
              <w:rFonts w:ascii="Times New Roman" w:hAnsi="Times New Roman" w:cs="Times New Roman"/>
              <w:bCs/>
              <w:szCs w:val="20"/>
              <w:lang w:val="zh-CN"/>
            </w:rPr>
            <w:fldChar w:fldCharType="separate"/>
          </w:r>
          <w:r>
            <w:rPr>
              <w:rFonts w:ascii="Times New Roman" w:hAnsi="Times New Roman" w:cs="Times New Roman"/>
              <w:bCs/>
              <w:szCs w:val="24"/>
              <w:highlight w:val="none"/>
            </w:rPr>
            <w:t>4.Trial Design</w:t>
          </w:r>
          <w:r>
            <w:tab/>
          </w:r>
          <w:r>
            <w:fldChar w:fldCharType="begin"/>
          </w:r>
          <w:r>
            <w:instrText xml:space="preserve"> PAGEREF _Toc6567 \h </w:instrText>
          </w:r>
          <w:r>
            <w:fldChar w:fldCharType="separate"/>
          </w:r>
          <w:r>
            <w:t>6</w:t>
          </w:r>
          <w:r>
            <w:fldChar w:fldCharType="end"/>
          </w:r>
          <w:r>
            <w:rPr>
              <w:rFonts w:ascii="Times New Roman" w:hAnsi="Times New Roman" w:cs="Times New Roman"/>
              <w:bCs/>
              <w:szCs w:val="20"/>
              <w:lang w:val="zh-CN"/>
            </w:rPr>
            <w:fldChar w:fldCharType="end"/>
          </w:r>
        </w:p>
        <w:p w14:paraId="08ECBBE8">
          <w:pPr>
            <w:pStyle w:val="17"/>
            <w:tabs>
              <w:tab w:val="right" w:leader="dot" w:pos="9746"/>
            </w:tabs>
          </w:pPr>
          <w:r>
            <w:rPr>
              <w:rFonts w:ascii="Times New Roman" w:hAnsi="Times New Roman" w:cs="Times New Roman"/>
              <w:bCs/>
              <w:szCs w:val="20"/>
              <w:lang w:val="zh-CN"/>
            </w:rPr>
            <w:fldChar w:fldCharType="begin"/>
          </w:r>
          <w:r>
            <w:rPr>
              <w:rFonts w:ascii="Times New Roman" w:hAnsi="Times New Roman" w:cs="Times New Roman"/>
              <w:bCs/>
              <w:szCs w:val="20"/>
              <w:lang w:val="zh-CN"/>
            </w:rPr>
            <w:instrText xml:space="preserve"> HYPERLINK \l _Toc21001 </w:instrText>
          </w:r>
          <w:r>
            <w:rPr>
              <w:rFonts w:ascii="Times New Roman" w:hAnsi="Times New Roman" w:cs="Times New Roman"/>
              <w:bCs/>
              <w:szCs w:val="20"/>
              <w:lang w:val="zh-CN"/>
            </w:rPr>
            <w:fldChar w:fldCharType="separate"/>
          </w:r>
          <w:r>
            <w:rPr>
              <w:rFonts w:ascii="Times New Roman" w:hAnsi="Times New Roman" w:cs="Times New Roman"/>
              <w:bCs/>
              <w:szCs w:val="20"/>
              <w:highlight w:val="none"/>
            </w:rPr>
            <w:t>4.1 Trial Type</w:t>
          </w:r>
          <w:r>
            <w:tab/>
          </w:r>
          <w:r>
            <w:fldChar w:fldCharType="begin"/>
          </w:r>
          <w:r>
            <w:instrText xml:space="preserve"> PAGEREF _Toc21001 \h </w:instrText>
          </w:r>
          <w:r>
            <w:fldChar w:fldCharType="separate"/>
          </w:r>
          <w:r>
            <w:t>6</w:t>
          </w:r>
          <w:r>
            <w:fldChar w:fldCharType="end"/>
          </w:r>
          <w:r>
            <w:rPr>
              <w:rFonts w:ascii="Times New Roman" w:hAnsi="Times New Roman" w:cs="Times New Roman"/>
              <w:bCs/>
              <w:szCs w:val="20"/>
              <w:lang w:val="zh-CN"/>
            </w:rPr>
            <w:fldChar w:fldCharType="end"/>
          </w:r>
        </w:p>
        <w:p w14:paraId="65E0EF03">
          <w:pPr>
            <w:pStyle w:val="17"/>
            <w:tabs>
              <w:tab w:val="right" w:leader="dot" w:pos="9746"/>
            </w:tabs>
          </w:pPr>
          <w:r>
            <w:rPr>
              <w:rFonts w:ascii="Times New Roman" w:hAnsi="Times New Roman" w:cs="Times New Roman"/>
              <w:bCs/>
              <w:szCs w:val="20"/>
              <w:lang w:val="zh-CN"/>
            </w:rPr>
            <w:fldChar w:fldCharType="begin"/>
          </w:r>
          <w:r>
            <w:rPr>
              <w:rFonts w:ascii="Times New Roman" w:hAnsi="Times New Roman" w:cs="Times New Roman"/>
              <w:bCs/>
              <w:szCs w:val="20"/>
              <w:lang w:val="zh-CN"/>
            </w:rPr>
            <w:instrText xml:space="preserve"> HYPERLINK \l _Toc17272 </w:instrText>
          </w:r>
          <w:r>
            <w:rPr>
              <w:rFonts w:ascii="Times New Roman" w:hAnsi="Times New Roman" w:cs="Times New Roman"/>
              <w:bCs/>
              <w:szCs w:val="20"/>
              <w:lang w:val="zh-CN"/>
            </w:rPr>
            <w:fldChar w:fldCharType="separate"/>
          </w:r>
          <w:r>
            <w:rPr>
              <w:rFonts w:ascii="Times New Roman" w:hAnsi="Times New Roman" w:cs="Times New Roman"/>
              <w:bCs/>
              <w:szCs w:val="20"/>
              <w:highlight w:val="none"/>
            </w:rPr>
            <w:t>4.2 Randomization and Grouping Method</w:t>
          </w:r>
          <w:r>
            <w:tab/>
          </w:r>
          <w:r>
            <w:fldChar w:fldCharType="begin"/>
          </w:r>
          <w:r>
            <w:instrText xml:space="preserve"> PAGEREF _Toc17272 \h </w:instrText>
          </w:r>
          <w:r>
            <w:fldChar w:fldCharType="separate"/>
          </w:r>
          <w:r>
            <w:t>6</w:t>
          </w:r>
          <w:r>
            <w:fldChar w:fldCharType="end"/>
          </w:r>
          <w:r>
            <w:rPr>
              <w:rFonts w:ascii="Times New Roman" w:hAnsi="Times New Roman" w:cs="Times New Roman"/>
              <w:bCs/>
              <w:szCs w:val="20"/>
              <w:lang w:val="zh-CN"/>
            </w:rPr>
            <w:fldChar w:fldCharType="end"/>
          </w:r>
        </w:p>
        <w:p w14:paraId="19F49E00">
          <w:pPr>
            <w:pStyle w:val="17"/>
            <w:tabs>
              <w:tab w:val="right" w:leader="dot" w:pos="9746"/>
            </w:tabs>
          </w:pPr>
          <w:r>
            <w:rPr>
              <w:rFonts w:ascii="Times New Roman" w:hAnsi="Times New Roman" w:cs="Times New Roman"/>
              <w:bCs/>
              <w:szCs w:val="20"/>
              <w:lang w:val="zh-CN"/>
            </w:rPr>
            <w:fldChar w:fldCharType="begin"/>
          </w:r>
          <w:r>
            <w:rPr>
              <w:rFonts w:ascii="Times New Roman" w:hAnsi="Times New Roman" w:cs="Times New Roman"/>
              <w:bCs/>
              <w:szCs w:val="20"/>
              <w:lang w:val="zh-CN"/>
            </w:rPr>
            <w:instrText xml:space="preserve"> HYPERLINK \l _Toc11163 </w:instrText>
          </w:r>
          <w:r>
            <w:rPr>
              <w:rFonts w:ascii="Times New Roman" w:hAnsi="Times New Roman" w:cs="Times New Roman"/>
              <w:bCs/>
              <w:szCs w:val="20"/>
              <w:lang w:val="zh-CN"/>
            </w:rPr>
            <w:fldChar w:fldCharType="separate"/>
          </w:r>
          <w:r>
            <w:rPr>
              <w:rFonts w:ascii="Times New Roman" w:hAnsi="Times New Roman" w:cs="Times New Roman"/>
              <w:bCs/>
              <w:szCs w:val="20"/>
              <w:highlight w:val="none"/>
            </w:rPr>
            <w:t>4.3 Blinding</w:t>
          </w:r>
          <w:r>
            <w:tab/>
          </w:r>
          <w:r>
            <w:fldChar w:fldCharType="begin"/>
          </w:r>
          <w:r>
            <w:instrText xml:space="preserve"> PAGEREF _Toc11163 \h </w:instrText>
          </w:r>
          <w:r>
            <w:fldChar w:fldCharType="separate"/>
          </w:r>
          <w:r>
            <w:t>7</w:t>
          </w:r>
          <w:r>
            <w:fldChar w:fldCharType="end"/>
          </w:r>
          <w:r>
            <w:rPr>
              <w:rFonts w:ascii="Times New Roman" w:hAnsi="Times New Roman" w:cs="Times New Roman"/>
              <w:bCs/>
              <w:szCs w:val="20"/>
              <w:lang w:val="zh-CN"/>
            </w:rPr>
            <w:fldChar w:fldCharType="end"/>
          </w:r>
        </w:p>
        <w:p w14:paraId="49DA7E12">
          <w:pPr>
            <w:pStyle w:val="17"/>
            <w:tabs>
              <w:tab w:val="right" w:leader="dot" w:pos="9746"/>
            </w:tabs>
          </w:pPr>
          <w:r>
            <w:rPr>
              <w:rFonts w:ascii="Times New Roman" w:hAnsi="Times New Roman" w:cs="Times New Roman"/>
              <w:bCs/>
              <w:szCs w:val="20"/>
              <w:lang w:val="zh-CN"/>
            </w:rPr>
            <w:fldChar w:fldCharType="begin"/>
          </w:r>
          <w:r>
            <w:rPr>
              <w:rFonts w:ascii="Times New Roman" w:hAnsi="Times New Roman" w:cs="Times New Roman"/>
              <w:bCs/>
              <w:szCs w:val="20"/>
              <w:lang w:val="zh-CN"/>
            </w:rPr>
            <w:instrText xml:space="preserve"> HYPERLINK \l _Toc22864 </w:instrText>
          </w:r>
          <w:r>
            <w:rPr>
              <w:rFonts w:ascii="Times New Roman" w:hAnsi="Times New Roman" w:cs="Times New Roman"/>
              <w:bCs/>
              <w:szCs w:val="20"/>
              <w:lang w:val="zh-CN"/>
            </w:rPr>
            <w:fldChar w:fldCharType="separate"/>
          </w:r>
          <w:r>
            <w:rPr>
              <w:rFonts w:ascii="Times New Roman" w:hAnsi="Times New Roman" w:cs="Times New Roman"/>
              <w:bCs/>
              <w:szCs w:val="20"/>
              <w:highlight w:val="none"/>
            </w:rPr>
            <w:t>4.4 Trail Center</w:t>
          </w:r>
          <w:r>
            <w:tab/>
          </w:r>
          <w:r>
            <w:fldChar w:fldCharType="begin"/>
          </w:r>
          <w:r>
            <w:instrText xml:space="preserve"> PAGEREF _Toc22864 \h </w:instrText>
          </w:r>
          <w:r>
            <w:fldChar w:fldCharType="separate"/>
          </w:r>
          <w:r>
            <w:t>7</w:t>
          </w:r>
          <w:r>
            <w:fldChar w:fldCharType="end"/>
          </w:r>
          <w:r>
            <w:rPr>
              <w:rFonts w:ascii="Times New Roman" w:hAnsi="Times New Roman" w:cs="Times New Roman"/>
              <w:bCs/>
              <w:szCs w:val="20"/>
              <w:lang w:val="zh-CN"/>
            </w:rPr>
            <w:fldChar w:fldCharType="end"/>
          </w:r>
        </w:p>
        <w:p w14:paraId="4474C8B0">
          <w:pPr>
            <w:pStyle w:val="17"/>
            <w:tabs>
              <w:tab w:val="right" w:leader="dot" w:pos="9746"/>
            </w:tabs>
          </w:pPr>
          <w:r>
            <w:rPr>
              <w:rFonts w:ascii="Times New Roman" w:hAnsi="Times New Roman" w:cs="Times New Roman"/>
              <w:bCs/>
              <w:szCs w:val="20"/>
              <w:lang w:val="zh-CN"/>
            </w:rPr>
            <w:fldChar w:fldCharType="begin"/>
          </w:r>
          <w:r>
            <w:rPr>
              <w:rFonts w:ascii="Times New Roman" w:hAnsi="Times New Roman" w:cs="Times New Roman"/>
              <w:bCs/>
              <w:szCs w:val="20"/>
              <w:lang w:val="zh-CN"/>
            </w:rPr>
            <w:instrText xml:space="preserve"> HYPERLINK \l _Toc2948 </w:instrText>
          </w:r>
          <w:r>
            <w:rPr>
              <w:rFonts w:ascii="Times New Roman" w:hAnsi="Times New Roman" w:cs="Times New Roman"/>
              <w:bCs/>
              <w:szCs w:val="20"/>
              <w:lang w:val="zh-CN"/>
            </w:rPr>
            <w:fldChar w:fldCharType="separate"/>
          </w:r>
          <w:r>
            <w:rPr>
              <w:rFonts w:ascii="Times New Roman" w:hAnsi="Times New Roman" w:cs="Times New Roman"/>
              <w:bCs/>
              <w:szCs w:val="20"/>
              <w:highlight w:val="none"/>
            </w:rPr>
            <w:t>4.5 Sample Size Calculation</w:t>
          </w:r>
          <w:r>
            <w:tab/>
          </w:r>
          <w:r>
            <w:fldChar w:fldCharType="begin"/>
          </w:r>
          <w:r>
            <w:instrText xml:space="preserve"> PAGEREF _Toc2948 \h </w:instrText>
          </w:r>
          <w:r>
            <w:fldChar w:fldCharType="separate"/>
          </w:r>
          <w:r>
            <w:t>7</w:t>
          </w:r>
          <w:r>
            <w:fldChar w:fldCharType="end"/>
          </w:r>
          <w:r>
            <w:rPr>
              <w:rFonts w:ascii="Times New Roman" w:hAnsi="Times New Roman" w:cs="Times New Roman"/>
              <w:bCs/>
              <w:szCs w:val="20"/>
              <w:lang w:val="zh-CN"/>
            </w:rPr>
            <w:fldChar w:fldCharType="end"/>
          </w:r>
        </w:p>
        <w:p w14:paraId="1A7ED0B6">
          <w:pPr>
            <w:pStyle w:val="15"/>
            <w:tabs>
              <w:tab w:val="right" w:leader="dot" w:pos="9746"/>
              <w:tab w:val="clear" w:pos="9736"/>
            </w:tabs>
          </w:pPr>
          <w:r>
            <w:rPr>
              <w:rFonts w:ascii="Times New Roman" w:hAnsi="Times New Roman" w:cs="Times New Roman"/>
              <w:bCs/>
              <w:szCs w:val="20"/>
              <w:lang w:val="zh-CN"/>
            </w:rPr>
            <w:fldChar w:fldCharType="begin"/>
          </w:r>
          <w:r>
            <w:rPr>
              <w:rFonts w:ascii="Times New Roman" w:hAnsi="Times New Roman" w:cs="Times New Roman"/>
              <w:bCs/>
              <w:szCs w:val="20"/>
              <w:lang w:val="zh-CN"/>
            </w:rPr>
            <w:instrText xml:space="preserve"> HYPERLINK \l _Toc14820 </w:instrText>
          </w:r>
          <w:r>
            <w:rPr>
              <w:rFonts w:ascii="Times New Roman" w:hAnsi="Times New Roman" w:cs="Times New Roman"/>
              <w:bCs/>
              <w:szCs w:val="20"/>
              <w:lang w:val="zh-CN"/>
            </w:rPr>
            <w:fldChar w:fldCharType="separate"/>
          </w:r>
          <w:r>
            <w:rPr>
              <w:rFonts w:ascii="Times New Roman" w:hAnsi="Times New Roman" w:cs="Times New Roman"/>
              <w:bCs/>
              <w:szCs w:val="24"/>
              <w:highlight w:val="none"/>
            </w:rPr>
            <w:t>5. Patients</w:t>
          </w:r>
          <w:r>
            <w:tab/>
          </w:r>
          <w:r>
            <w:fldChar w:fldCharType="begin"/>
          </w:r>
          <w:r>
            <w:instrText xml:space="preserve"> PAGEREF _Toc14820 \h </w:instrText>
          </w:r>
          <w:r>
            <w:fldChar w:fldCharType="separate"/>
          </w:r>
          <w:r>
            <w:t>8</w:t>
          </w:r>
          <w:r>
            <w:fldChar w:fldCharType="end"/>
          </w:r>
          <w:r>
            <w:rPr>
              <w:rFonts w:ascii="Times New Roman" w:hAnsi="Times New Roman" w:cs="Times New Roman"/>
              <w:bCs/>
              <w:szCs w:val="20"/>
              <w:lang w:val="zh-CN"/>
            </w:rPr>
            <w:fldChar w:fldCharType="end"/>
          </w:r>
        </w:p>
        <w:p w14:paraId="59E89F34">
          <w:pPr>
            <w:pStyle w:val="17"/>
            <w:tabs>
              <w:tab w:val="right" w:leader="dot" w:pos="9746"/>
            </w:tabs>
          </w:pPr>
          <w:r>
            <w:rPr>
              <w:rFonts w:ascii="Times New Roman" w:hAnsi="Times New Roman" w:cs="Times New Roman"/>
              <w:bCs/>
              <w:szCs w:val="20"/>
              <w:lang w:val="zh-CN"/>
            </w:rPr>
            <w:fldChar w:fldCharType="begin"/>
          </w:r>
          <w:r>
            <w:rPr>
              <w:rFonts w:ascii="Times New Roman" w:hAnsi="Times New Roman" w:cs="Times New Roman"/>
              <w:bCs/>
              <w:szCs w:val="20"/>
              <w:lang w:val="zh-CN"/>
            </w:rPr>
            <w:instrText xml:space="preserve"> HYPERLINK \l _Toc15099 </w:instrText>
          </w:r>
          <w:r>
            <w:rPr>
              <w:rFonts w:ascii="Times New Roman" w:hAnsi="Times New Roman" w:cs="Times New Roman"/>
              <w:bCs/>
              <w:szCs w:val="20"/>
              <w:lang w:val="zh-CN"/>
            </w:rPr>
            <w:fldChar w:fldCharType="separate"/>
          </w:r>
          <w:r>
            <w:rPr>
              <w:rFonts w:ascii="Times New Roman" w:hAnsi="Times New Roman" w:cs="Times New Roman"/>
              <w:bCs/>
              <w:szCs w:val="20"/>
              <w:highlight w:val="none"/>
            </w:rPr>
            <w:t>5.1 Inclusion Criteria</w:t>
          </w:r>
          <w:r>
            <w:tab/>
          </w:r>
          <w:r>
            <w:fldChar w:fldCharType="begin"/>
          </w:r>
          <w:r>
            <w:instrText xml:space="preserve"> PAGEREF _Toc15099 \h </w:instrText>
          </w:r>
          <w:r>
            <w:fldChar w:fldCharType="separate"/>
          </w:r>
          <w:r>
            <w:t>8</w:t>
          </w:r>
          <w:r>
            <w:fldChar w:fldCharType="end"/>
          </w:r>
          <w:r>
            <w:rPr>
              <w:rFonts w:ascii="Times New Roman" w:hAnsi="Times New Roman" w:cs="Times New Roman"/>
              <w:bCs/>
              <w:szCs w:val="20"/>
              <w:lang w:val="zh-CN"/>
            </w:rPr>
            <w:fldChar w:fldCharType="end"/>
          </w:r>
        </w:p>
        <w:p w14:paraId="57840AB8">
          <w:pPr>
            <w:pStyle w:val="17"/>
            <w:tabs>
              <w:tab w:val="right" w:leader="dot" w:pos="9746"/>
            </w:tabs>
          </w:pPr>
          <w:r>
            <w:rPr>
              <w:rFonts w:ascii="Times New Roman" w:hAnsi="Times New Roman" w:cs="Times New Roman"/>
              <w:bCs/>
              <w:szCs w:val="20"/>
              <w:lang w:val="zh-CN"/>
            </w:rPr>
            <w:fldChar w:fldCharType="begin"/>
          </w:r>
          <w:r>
            <w:rPr>
              <w:rFonts w:ascii="Times New Roman" w:hAnsi="Times New Roman" w:cs="Times New Roman"/>
              <w:bCs/>
              <w:szCs w:val="20"/>
              <w:lang w:val="zh-CN"/>
            </w:rPr>
            <w:instrText xml:space="preserve"> HYPERLINK \l _Toc16764 </w:instrText>
          </w:r>
          <w:r>
            <w:rPr>
              <w:rFonts w:ascii="Times New Roman" w:hAnsi="Times New Roman" w:cs="Times New Roman"/>
              <w:bCs/>
              <w:szCs w:val="20"/>
              <w:lang w:val="zh-CN"/>
            </w:rPr>
            <w:fldChar w:fldCharType="separate"/>
          </w:r>
          <w:r>
            <w:rPr>
              <w:rFonts w:ascii="Times New Roman" w:hAnsi="Times New Roman" w:cs="Times New Roman"/>
              <w:bCs/>
              <w:szCs w:val="20"/>
              <w:highlight w:val="none"/>
            </w:rPr>
            <w:t>5.2 Exclusion Criteria</w:t>
          </w:r>
          <w:r>
            <w:tab/>
          </w:r>
          <w:r>
            <w:fldChar w:fldCharType="begin"/>
          </w:r>
          <w:r>
            <w:instrText xml:space="preserve"> PAGEREF _Toc16764 \h </w:instrText>
          </w:r>
          <w:r>
            <w:fldChar w:fldCharType="separate"/>
          </w:r>
          <w:r>
            <w:t>8</w:t>
          </w:r>
          <w:r>
            <w:fldChar w:fldCharType="end"/>
          </w:r>
          <w:r>
            <w:rPr>
              <w:rFonts w:ascii="Times New Roman" w:hAnsi="Times New Roman" w:cs="Times New Roman"/>
              <w:bCs/>
              <w:szCs w:val="20"/>
              <w:lang w:val="zh-CN"/>
            </w:rPr>
            <w:fldChar w:fldCharType="end"/>
          </w:r>
        </w:p>
        <w:p w14:paraId="3FC38CAC">
          <w:pPr>
            <w:pStyle w:val="17"/>
            <w:tabs>
              <w:tab w:val="right" w:leader="dot" w:pos="9746"/>
            </w:tabs>
          </w:pPr>
          <w:r>
            <w:rPr>
              <w:rFonts w:ascii="Times New Roman" w:hAnsi="Times New Roman" w:cs="Times New Roman"/>
              <w:bCs/>
              <w:szCs w:val="20"/>
              <w:lang w:val="zh-CN"/>
            </w:rPr>
            <w:fldChar w:fldCharType="begin"/>
          </w:r>
          <w:r>
            <w:rPr>
              <w:rFonts w:ascii="Times New Roman" w:hAnsi="Times New Roman" w:cs="Times New Roman"/>
              <w:bCs/>
              <w:szCs w:val="20"/>
              <w:lang w:val="zh-CN"/>
            </w:rPr>
            <w:instrText xml:space="preserve"> HYPERLINK \l _Toc17754 </w:instrText>
          </w:r>
          <w:r>
            <w:rPr>
              <w:rFonts w:ascii="Times New Roman" w:hAnsi="Times New Roman" w:cs="Times New Roman"/>
              <w:bCs/>
              <w:szCs w:val="20"/>
              <w:lang w:val="zh-CN"/>
            </w:rPr>
            <w:fldChar w:fldCharType="separate"/>
          </w:r>
          <w:r>
            <w:rPr>
              <w:rFonts w:ascii="Times New Roman" w:hAnsi="Times New Roman" w:cs="Times New Roman"/>
              <w:bCs/>
              <w:szCs w:val="20"/>
              <w:highlight w:val="none"/>
            </w:rPr>
            <w:t>5.3 Elimination Criteria</w:t>
          </w:r>
          <w:r>
            <w:tab/>
          </w:r>
          <w:r>
            <w:fldChar w:fldCharType="begin"/>
          </w:r>
          <w:r>
            <w:instrText xml:space="preserve"> PAGEREF _Toc17754 \h </w:instrText>
          </w:r>
          <w:r>
            <w:fldChar w:fldCharType="separate"/>
          </w:r>
          <w:r>
            <w:t>8</w:t>
          </w:r>
          <w:r>
            <w:fldChar w:fldCharType="end"/>
          </w:r>
          <w:r>
            <w:rPr>
              <w:rFonts w:ascii="Times New Roman" w:hAnsi="Times New Roman" w:cs="Times New Roman"/>
              <w:bCs/>
              <w:szCs w:val="20"/>
              <w:lang w:val="zh-CN"/>
            </w:rPr>
            <w:fldChar w:fldCharType="end"/>
          </w:r>
        </w:p>
        <w:p w14:paraId="6CB4ABE1">
          <w:pPr>
            <w:pStyle w:val="17"/>
            <w:tabs>
              <w:tab w:val="right" w:leader="dot" w:pos="9746"/>
            </w:tabs>
          </w:pPr>
          <w:r>
            <w:rPr>
              <w:rFonts w:ascii="Times New Roman" w:hAnsi="Times New Roman" w:cs="Times New Roman"/>
              <w:bCs/>
              <w:szCs w:val="20"/>
              <w:lang w:val="zh-CN"/>
            </w:rPr>
            <w:fldChar w:fldCharType="begin"/>
          </w:r>
          <w:r>
            <w:rPr>
              <w:rFonts w:ascii="Times New Roman" w:hAnsi="Times New Roman" w:cs="Times New Roman"/>
              <w:bCs/>
              <w:szCs w:val="20"/>
              <w:lang w:val="zh-CN"/>
            </w:rPr>
            <w:instrText xml:space="preserve"> HYPERLINK \l _Toc5520 </w:instrText>
          </w:r>
          <w:r>
            <w:rPr>
              <w:rFonts w:ascii="Times New Roman" w:hAnsi="Times New Roman" w:cs="Times New Roman"/>
              <w:bCs/>
              <w:szCs w:val="20"/>
              <w:lang w:val="zh-CN"/>
            </w:rPr>
            <w:fldChar w:fldCharType="separate"/>
          </w:r>
          <w:r>
            <w:rPr>
              <w:rFonts w:ascii="Times New Roman" w:hAnsi="Times New Roman" w:cs="Times New Roman"/>
              <w:bCs/>
              <w:szCs w:val="20"/>
              <w:highlight w:val="none"/>
            </w:rPr>
            <w:t>5.4 Withdrawal Criteria</w:t>
          </w:r>
          <w:r>
            <w:tab/>
          </w:r>
          <w:r>
            <w:fldChar w:fldCharType="begin"/>
          </w:r>
          <w:r>
            <w:instrText xml:space="preserve"> PAGEREF _Toc5520 \h </w:instrText>
          </w:r>
          <w:r>
            <w:fldChar w:fldCharType="separate"/>
          </w:r>
          <w:r>
            <w:t>8</w:t>
          </w:r>
          <w:r>
            <w:fldChar w:fldCharType="end"/>
          </w:r>
          <w:r>
            <w:rPr>
              <w:rFonts w:ascii="Times New Roman" w:hAnsi="Times New Roman" w:cs="Times New Roman"/>
              <w:bCs/>
              <w:szCs w:val="20"/>
              <w:lang w:val="zh-CN"/>
            </w:rPr>
            <w:fldChar w:fldCharType="end"/>
          </w:r>
        </w:p>
        <w:p w14:paraId="6EF286F6">
          <w:pPr>
            <w:pStyle w:val="15"/>
            <w:tabs>
              <w:tab w:val="right" w:leader="dot" w:pos="9746"/>
              <w:tab w:val="clear" w:pos="9736"/>
            </w:tabs>
          </w:pPr>
          <w:r>
            <w:rPr>
              <w:rFonts w:ascii="Times New Roman" w:hAnsi="Times New Roman" w:cs="Times New Roman"/>
              <w:bCs/>
              <w:szCs w:val="20"/>
              <w:lang w:val="zh-CN"/>
            </w:rPr>
            <w:fldChar w:fldCharType="begin"/>
          </w:r>
          <w:r>
            <w:rPr>
              <w:rFonts w:ascii="Times New Roman" w:hAnsi="Times New Roman" w:cs="Times New Roman"/>
              <w:bCs/>
              <w:szCs w:val="20"/>
              <w:lang w:val="zh-CN"/>
            </w:rPr>
            <w:instrText xml:space="preserve"> HYPERLINK \l _Toc27564 </w:instrText>
          </w:r>
          <w:r>
            <w:rPr>
              <w:rFonts w:ascii="Times New Roman" w:hAnsi="Times New Roman" w:cs="Times New Roman"/>
              <w:bCs/>
              <w:szCs w:val="20"/>
              <w:lang w:val="zh-CN"/>
            </w:rPr>
            <w:fldChar w:fldCharType="separate"/>
          </w:r>
          <w:r>
            <w:rPr>
              <w:rFonts w:ascii="Times New Roman" w:hAnsi="Times New Roman" w:cs="Times New Roman"/>
              <w:bCs/>
              <w:szCs w:val="24"/>
              <w:highlight w:val="none"/>
            </w:rPr>
            <w:t>6. Research Methodology</w:t>
          </w:r>
          <w:r>
            <w:tab/>
          </w:r>
          <w:r>
            <w:fldChar w:fldCharType="begin"/>
          </w:r>
          <w:r>
            <w:instrText xml:space="preserve"> PAGEREF _Toc27564 \h </w:instrText>
          </w:r>
          <w:r>
            <w:fldChar w:fldCharType="separate"/>
          </w:r>
          <w:r>
            <w:t>9</w:t>
          </w:r>
          <w:r>
            <w:fldChar w:fldCharType="end"/>
          </w:r>
          <w:r>
            <w:rPr>
              <w:rFonts w:ascii="Times New Roman" w:hAnsi="Times New Roman" w:cs="Times New Roman"/>
              <w:bCs/>
              <w:szCs w:val="20"/>
              <w:lang w:val="zh-CN"/>
            </w:rPr>
            <w:fldChar w:fldCharType="end"/>
          </w:r>
        </w:p>
        <w:p w14:paraId="1E2A10A9">
          <w:pPr>
            <w:pStyle w:val="17"/>
            <w:tabs>
              <w:tab w:val="right" w:leader="dot" w:pos="9746"/>
            </w:tabs>
          </w:pPr>
          <w:r>
            <w:rPr>
              <w:rFonts w:ascii="Times New Roman" w:hAnsi="Times New Roman" w:cs="Times New Roman"/>
              <w:bCs/>
              <w:szCs w:val="20"/>
              <w:lang w:val="zh-CN"/>
            </w:rPr>
            <w:fldChar w:fldCharType="begin"/>
          </w:r>
          <w:r>
            <w:rPr>
              <w:rFonts w:ascii="Times New Roman" w:hAnsi="Times New Roman" w:cs="Times New Roman"/>
              <w:bCs/>
              <w:szCs w:val="20"/>
              <w:lang w:val="zh-CN"/>
            </w:rPr>
            <w:instrText xml:space="preserve"> HYPERLINK \l _Toc18064 </w:instrText>
          </w:r>
          <w:r>
            <w:rPr>
              <w:rFonts w:ascii="Times New Roman" w:hAnsi="Times New Roman" w:cs="Times New Roman"/>
              <w:bCs/>
              <w:szCs w:val="20"/>
              <w:lang w:val="zh-CN"/>
            </w:rPr>
            <w:fldChar w:fldCharType="separate"/>
          </w:r>
          <w:r>
            <w:rPr>
              <w:rFonts w:ascii="Times New Roman" w:hAnsi="Times New Roman" w:cs="Times New Roman"/>
              <w:bCs/>
              <w:szCs w:val="20"/>
              <w:highlight w:val="none"/>
            </w:rPr>
            <w:t>6.1 Concomitant Medication Management</w:t>
          </w:r>
          <w:r>
            <w:tab/>
          </w:r>
          <w:r>
            <w:fldChar w:fldCharType="begin"/>
          </w:r>
          <w:r>
            <w:instrText xml:space="preserve"> PAGEREF _Toc18064 \h </w:instrText>
          </w:r>
          <w:r>
            <w:fldChar w:fldCharType="separate"/>
          </w:r>
          <w:r>
            <w:t>9</w:t>
          </w:r>
          <w:r>
            <w:fldChar w:fldCharType="end"/>
          </w:r>
          <w:r>
            <w:rPr>
              <w:rFonts w:ascii="Times New Roman" w:hAnsi="Times New Roman" w:cs="Times New Roman"/>
              <w:bCs/>
              <w:szCs w:val="20"/>
              <w:lang w:val="zh-CN"/>
            </w:rPr>
            <w:fldChar w:fldCharType="end"/>
          </w:r>
        </w:p>
        <w:p w14:paraId="7E8EC47A">
          <w:pPr>
            <w:pStyle w:val="17"/>
            <w:tabs>
              <w:tab w:val="right" w:leader="dot" w:pos="9746"/>
            </w:tabs>
          </w:pPr>
          <w:r>
            <w:rPr>
              <w:rFonts w:ascii="Times New Roman" w:hAnsi="Times New Roman" w:cs="Times New Roman"/>
              <w:bCs/>
              <w:szCs w:val="20"/>
              <w:lang w:val="zh-CN"/>
            </w:rPr>
            <w:fldChar w:fldCharType="begin"/>
          </w:r>
          <w:r>
            <w:rPr>
              <w:rFonts w:ascii="Times New Roman" w:hAnsi="Times New Roman" w:cs="Times New Roman"/>
              <w:bCs/>
              <w:szCs w:val="20"/>
              <w:lang w:val="zh-CN"/>
            </w:rPr>
            <w:instrText xml:space="preserve"> HYPERLINK \l _Toc18926 </w:instrText>
          </w:r>
          <w:r>
            <w:rPr>
              <w:rFonts w:ascii="Times New Roman" w:hAnsi="Times New Roman" w:cs="Times New Roman"/>
              <w:bCs/>
              <w:szCs w:val="20"/>
              <w:lang w:val="zh-CN"/>
            </w:rPr>
            <w:fldChar w:fldCharType="separate"/>
          </w:r>
          <w:r>
            <w:rPr>
              <w:rFonts w:ascii="Times New Roman" w:hAnsi="Times New Roman" w:cs="Times New Roman"/>
              <w:bCs/>
              <w:szCs w:val="20"/>
              <w:highlight w:val="none"/>
            </w:rPr>
            <w:t>6.2 Treatment Protocol</w:t>
          </w:r>
          <w:r>
            <w:tab/>
          </w:r>
          <w:r>
            <w:fldChar w:fldCharType="begin"/>
          </w:r>
          <w:r>
            <w:instrText xml:space="preserve"> PAGEREF _Toc18926 \h </w:instrText>
          </w:r>
          <w:r>
            <w:fldChar w:fldCharType="separate"/>
          </w:r>
          <w:r>
            <w:t>9</w:t>
          </w:r>
          <w:r>
            <w:fldChar w:fldCharType="end"/>
          </w:r>
          <w:r>
            <w:rPr>
              <w:rFonts w:ascii="Times New Roman" w:hAnsi="Times New Roman" w:cs="Times New Roman"/>
              <w:bCs/>
              <w:szCs w:val="20"/>
              <w:lang w:val="zh-CN"/>
            </w:rPr>
            <w:fldChar w:fldCharType="end"/>
          </w:r>
        </w:p>
        <w:p w14:paraId="77A8066E">
          <w:pPr>
            <w:pStyle w:val="12"/>
            <w:tabs>
              <w:tab w:val="right" w:leader="dot" w:pos="9746"/>
            </w:tabs>
          </w:pPr>
          <w:r>
            <w:rPr>
              <w:rFonts w:ascii="Times New Roman" w:hAnsi="Times New Roman" w:cs="Times New Roman"/>
              <w:bCs/>
              <w:szCs w:val="20"/>
              <w:lang w:val="zh-CN"/>
            </w:rPr>
            <w:fldChar w:fldCharType="begin"/>
          </w:r>
          <w:r>
            <w:rPr>
              <w:rFonts w:ascii="Times New Roman" w:hAnsi="Times New Roman" w:cs="Times New Roman"/>
              <w:bCs/>
              <w:szCs w:val="20"/>
              <w:lang w:val="zh-CN"/>
            </w:rPr>
            <w:instrText xml:space="preserve"> HYPERLINK \l _Toc16548 </w:instrText>
          </w:r>
          <w:r>
            <w:rPr>
              <w:rFonts w:ascii="Times New Roman" w:hAnsi="Times New Roman" w:cs="Times New Roman"/>
              <w:bCs/>
              <w:szCs w:val="20"/>
              <w:lang w:val="zh-CN"/>
            </w:rPr>
            <w:fldChar w:fldCharType="separate"/>
          </w:r>
          <w:r>
            <w:rPr>
              <w:rFonts w:ascii="Times New Roman" w:hAnsi="Times New Roman" w:cs="Times New Roman"/>
              <w:bCs/>
              <w:szCs w:val="20"/>
              <w:highlight w:val="none"/>
            </w:rPr>
            <w:t>6.2.1 Treatment Group</w:t>
          </w:r>
          <w:r>
            <w:tab/>
          </w:r>
          <w:r>
            <w:fldChar w:fldCharType="begin"/>
          </w:r>
          <w:r>
            <w:instrText xml:space="preserve"> PAGEREF _Toc16548 \h </w:instrText>
          </w:r>
          <w:r>
            <w:fldChar w:fldCharType="separate"/>
          </w:r>
          <w:r>
            <w:t>9</w:t>
          </w:r>
          <w:r>
            <w:fldChar w:fldCharType="end"/>
          </w:r>
          <w:r>
            <w:rPr>
              <w:rFonts w:ascii="Times New Roman" w:hAnsi="Times New Roman" w:cs="Times New Roman"/>
              <w:bCs/>
              <w:szCs w:val="20"/>
              <w:lang w:val="zh-CN"/>
            </w:rPr>
            <w:fldChar w:fldCharType="end"/>
          </w:r>
        </w:p>
        <w:p w14:paraId="5B2F2A5B">
          <w:pPr>
            <w:pStyle w:val="12"/>
            <w:tabs>
              <w:tab w:val="right" w:leader="dot" w:pos="9746"/>
            </w:tabs>
          </w:pPr>
          <w:r>
            <w:rPr>
              <w:rFonts w:ascii="Times New Roman" w:hAnsi="Times New Roman" w:cs="Times New Roman"/>
              <w:bCs/>
              <w:szCs w:val="20"/>
              <w:lang w:val="zh-CN"/>
            </w:rPr>
            <w:fldChar w:fldCharType="begin"/>
          </w:r>
          <w:r>
            <w:rPr>
              <w:rFonts w:ascii="Times New Roman" w:hAnsi="Times New Roman" w:cs="Times New Roman"/>
              <w:bCs/>
              <w:szCs w:val="20"/>
              <w:lang w:val="zh-CN"/>
            </w:rPr>
            <w:instrText xml:space="preserve"> HYPERLINK \l _Toc25407 </w:instrText>
          </w:r>
          <w:r>
            <w:rPr>
              <w:rFonts w:ascii="Times New Roman" w:hAnsi="Times New Roman" w:cs="Times New Roman"/>
              <w:bCs/>
              <w:szCs w:val="20"/>
              <w:lang w:val="zh-CN"/>
            </w:rPr>
            <w:fldChar w:fldCharType="separate"/>
          </w:r>
          <w:r>
            <w:rPr>
              <w:rFonts w:ascii="Times New Roman" w:hAnsi="Times New Roman" w:cs="Times New Roman"/>
              <w:bCs/>
              <w:szCs w:val="20"/>
              <w:highlight w:val="none"/>
            </w:rPr>
            <w:t>6.2.2 Control Group</w:t>
          </w:r>
          <w:r>
            <w:tab/>
          </w:r>
          <w:r>
            <w:fldChar w:fldCharType="begin"/>
          </w:r>
          <w:r>
            <w:instrText xml:space="preserve"> PAGEREF _Toc25407 \h </w:instrText>
          </w:r>
          <w:r>
            <w:fldChar w:fldCharType="separate"/>
          </w:r>
          <w:r>
            <w:t>9</w:t>
          </w:r>
          <w:r>
            <w:fldChar w:fldCharType="end"/>
          </w:r>
          <w:r>
            <w:rPr>
              <w:rFonts w:ascii="Times New Roman" w:hAnsi="Times New Roman" w:cs="Times New Roman"/>
              <w:bCs/>
              <w:szCs w:val="20"/>
              <w:lang w:val="zh-CN"/>
            </w:rPr>
            <w:fldChar w:fldCharType="end"/>
          </w:r>
        </w:p>
        <w:p w14:paraId="12C67A90">
          <w:pPr>
            <w:pStyle w:val="15"/>
            <w:tabs>
              <w:tab w:val="right" w:leader="dot" w:pos="9746"/>
              <w:tab w:val="clear" w:pos="9736"/>
            </w:tabs>
          </w:pPr>
          <w:r>
            <w:rPr>
              <w:rFonts w:ascii="Times New Roman" w:hAnsi="Times New Roman" w:cs="Times New Roman"/>
              <w:bCs/>
              <w:szCs w:val="20"/>
              <w:lang w:val="zh-CN"/>
            </w:rPr>
            <w:fldChar w:fldCharType="begin"/>
          </w:r>
          <w:r>
            <w:rPr>
              <w:rFonts w:ascii="Times New Roman" w:hAnsi="Times New Roman" w:cs="Times New Roman"/>
              <w:bCs/>
              <w:szCs w:val="20"/>
              <w:lang w:val="zh-CN"/>
            </w:rPr>
            <w:instrText xml:space="preserve"> HYPERLINK \l _Toc2980 </w:instrText>
          </w:r>
          <w:r>
            <w:rPr>
              <w:rFonts w:ascii="Times New Roman" w:hAnsi="Times New Roman" w:cs="Times New Roman"/>
              <w:bCs/>
              <w:szCs w:val="20"/>
              <w:lang w:val="zh-CN"/>
            </w:rPr>
            <w:fldChar w:fldCharType="separate"/>
          </w:r>
          <w:r>
            <w:rPr>
              <w:rFonts w:hint="eastAsia" w:ascii="Times New Roman" w:hAnsi="Times New Roman" w:cs="Times New Roman"/>
              <w:bCs/>
              <w:szCs w:val="24"/>
              <w:highlight w:val="none"/>
            </w:rPr>
            <w:t>7. Observation Items and Testing Timepoints</w:t>
          </w:r>
          <w:r>
            <w:tab/>
          </w:r>
          <w:r>
            <w:fldChar w:fldCharType="begin"/>
          </w:r>
          <w:r>
            <w:instrText xml:space="preserve"> PAGEREF _Toc2980 \h </w:instrText>
          </w:r>
          <w:r>
            <w:fldChar w:fldCharType="separate"/>
          </w:r>
          <w:r>
            <w:t>11</w:t>
          </w:r>
          <w:r>
            <w:fldChar w:fldCharType="end"/>
          </w:r>
          <w:r>
            <w:rPr>
              <w:rFonts w:ascii="Times New Roman" w:hAnsi="Times New Roman" w:cs="Times New Roman"/>
              <w:bCs/>
              <w:szCs w:val="20"/>
              <w:lang w:val="zh-CN"/>
            </w:rPr>
            <w:fldChar w:fldCharType="end"/>
          </w:r>
        </w:p>
        <w:p w14:paraId="4940FF6E">
          <w:pPr>
            <w:pStyle w:val="17"/>
            <w:tabs>
              <w:tab w:val="right" w:leader="dot" w:pos="9746"/>
            </w:tabs>
          </w:pPr>
          <w:r>
            <w:rPr>
              <w:rFonts w:ascii="Times New Roman" w:hAnsi="Times New Roman" w:cs="Times New Roman"/>
              <w:bCs/>
              <w:szCs w:val="20"/>
              <w:lang w:val="zh-CN"/>
            </w:rPr>
            <w:fldChar w:fldCharType="begin"/>
          </w:r>
          <w:r>
            <w:rPr>
              <w:rFonts w:ascii="Times New Roman" w:hAnsi="Times New Roman" w:cs="Times New Roman"/>
              <w:bCs/>
              <w:szCs w:val="20"/>
              <w:lang w:val="zh-CN"/>
            </w:rPr>
            <w:instrText xml:space="preserve"> HYPERLINK \l _Toc13448 </w:instrText>
          </w:r>
          <w:r>
            <w:rPr>
              <w:rFonts w:ascii="Times New Roman" w:hAnsi="Times New Roman" w:cs="Times New Roman"/>
              <w:bCs/>
              <w:szCs w:val="20"/>
              <w:lang w:val="zh-CN"/>
            </w:rPr>
            <w:fldChar w:fldCharType="separate"/>
          </w:r>
          <w:r>
            <w:rPr>
              <w:rFonts w:hint="eastAsia" w:ascii="Times New Roman" w:hAnsi="Times New Roman" w:cs="Times New Roman"/>
              <w:bCs/>
              <w:szCs w:val="20"/>
              <w:highlight w:val="none"/>
            </w:rPr>
            <w:t>7.1 Baseline Data</w:t>
          </w:r>
          <w:r>
            <w:tab/>
          </w:r>
          <w:r>
            <w:fldChar w:fldCharType="begin"/>
          </w:r>
          <w:r>
            <w:instrText xml:space="preserve"> PAGEREF _Toc13448 \h </w:instrText>
          </w:r>
          <w:r>
            <w:fldChar w:fldCharType="separate"/>
          </w:r>
          <w:r>
            <w:t>11</w:t>
          </w:r>
          <w:r>
            <w:fldChar w:fldCharType="end"/>
          </w:r>
          <w:r>
            <w:rPr>
              <w:rFonts w:ascii="Times New Roman" w:hAnsi="Times New Roman" w:cs="Times New Roman"/>
              <w:bCs/>
              <w:szCs w:val="20"/>
              <w:lang w:val="zh-CN"/>
            </w:rPr>
            <w:fldChar w:fldCharType="end"/>
          </w:r>
        </w:p>
        <w:p w14:paraId="4642C471">
          <w:pPr>
            <w:pStyle w:val="17"/>
            <w:tabs>
              <w:tab w:val="right" w:leader="dot" w:pos="9746"/>
            </w:tabs>
          </w:pPr>
          <w:r>
            <w:rPr>
              <w:rFonts w:ascii="Times New Roman" w:hAnsi="Times New Roman" w:cs="Times New Roman"/>
              <w:bCs/>
              <w:szCs w:val="20"/>
              <w:lang w:val="zh-CN"/>
            </w:rPr>
            <w:fldChar w:fldCharType="begin"/>
          </w:r>
          <w:r>
            <w:rPr>
              <w:rFonts w:ascii="Times New Roman" w:hAnsi="Times New Roman" w:cs="Times New Roman"/>
              <w:bCs/>
              <w:szCs w:val="20"/>
              <w:lang w:val="zh-CN"/>
            </w:rPr>
            <w:instrText xml:space="preserve"> HYPERLINK \l _Toc28203 </w:instrText>
          </w:r>
          <w:r>
            <w:rPr>
              <w:rFonts w:ascii="Times New Roman" w:hAnsi="Times New Roman" w:cs="Times New Roman"/>
              <w:bCs/>
              <w:szCs w:val="20"/>
              <w:lang w:val="zh-CN"/>
            </w:rPr>
            <w:fldChar w:fldCharType="separate"/>
          </w:r>
          <w:r>
            <w:rPr>
              <w:rFonts w:ascii="Times New Roman" w:hAnsi="Times New Roman" w:cs="Times New Roman"/>
              <w:bCs/>
              <w:szCs w:val="20"/>
              <w:highlight w:val="none"/>
            </w:rPr>
            <w:t>7.2 Clinical Observational Items and Time Points</w:t>
          </w:r>
          <w:r>
            <w:tab/>
          </w:r>
          <w:r>
            <w:fldChar w:fldCharType="begin"/>
          </w:r>
          <w:r>
            <w:instrText xml:space="preserve"> PAGEREF _Toc28203 \h </w:instrText>
          </w:r>
          <w:r>
            <w:fldChar w:fldCharType="separate"/>
          </w:r>
          <w:r>
            <w:t>11</w:t>
          </w:r>
          <w:r>
            <w:fldChar w:fldCharType="end"/>
          </w:r>
          <w:r>
            <w:rPr>
              <w:rFonts w:ascii="Times New Roman" w:hAnsi="Times New Roman" w:cs="Times New Roman"/>
              <w:bCs/>
              <w:szCs w:val="20"/>
              <w:lang w:val="zh-CN"/>
            </w:rPr>
            <w:fldChar w:fldCharType="end"/>
          </w:r>
        </w:p>
        <w:p w14:paraId="4DFE1C4B">
          <w:pPr>
            <w:pStyle w:val="15"/>
            <w:tabs>
              <w:tab w:val="right" w:leader="dot" w:pos="9746"/>
              <w:tab w:val="clear" w:pos="9736"/>
            </w:tabs>
          </w:pPr>
          <w:r>
            <w:rPr>
              <w:rFonts w:ascii="Times New Roman" w:hAnsi="Times New Roman" w:cs="Times New Roman"/>
              <w:bCs/>
              <w:szCs w:val="20"/>
              <w:lang w:val="zh-CN"/>
            </w:rPr>
            <w:fldChar w:fldCharType="begin"/>
          </w:r>
          <w:r>
            <w:rPr>
              <w:rFonts w:ascii="Times New Roman" w:hAnsi="Times New Roman" w:cs="Times New Roman"/>
              <w:bCs/>
              <w:szCs w:val="20"/>
              <w:lang w:val="zh-CN"/>
            </w:rPr>
            <w:instrText xml:space="preserve"> HYPERLINK \l _Toc28513 </w:instrText>
          </w:r>
          <w:r>
            <w:rPr>
              <w:rFonts w:ascii="Times New Roman" w:hAnsi="Times New Roman" w:cs="Times New Roman"/>
              <w:bCs/>
              <w:szCs w:val="20"/>
              <w:lang w:val="zh-CN"/>
            </w:rPr>
            <w:fldChar w:fldCharType="separate"/>
          </w:r>
          <w:r>
            <w:rPr>
              <w:rFonts w:ascii="Times New Roman" w:hAnsi="Times New Roman" w:cs="Times New Roman"/>
              <w:bCs/>
              <w:szCs w:val="20"/>
              <w:highlight w:val="none"/>
            </w:rPr>
            <w:t>8. Observation of Adverse Events</w:t>
          </w:r>
          <w:r>
            <w:tab/>
          </w:r>
          <w:r>
            <w:fldChar w:fldCharType="begin"/>
          </w:r>
          <w:r>
            <w:instrText xml:space="preserve"> PAGEREF _Toc28513 \h </w:instrText>
          </w:r>
          <w:r>
            <w:fldChar w:fldCharType="separate"/>
          </w:r>
          <w:r>
            <w:t>12</w:t>
          </w:r>
          <w:r>
            <w:fldChar w:fldCharType="end"/>
          </w:r>
          <w:r>
            <w:rPr>
              <w:rFonts w:ascii="Times New Roman" w:hAnsi="Times New Roman" w:cs="Times New Roman"/>
              <w:bCs/>
              <w:szCs w:val="20"/>
              <w:lang w:val="zh-CN"/>
            </w:rPr>
            <w:fldChar w:fldCharType="end"/>
          </w:r>
        </w:p>
        <w:p w14:paraId="1D4CCEC7">
          <w:pPr>
            <w:pStyle w:val="17"/>
            <w:tabs>
              <w:tab w:val="right" w:leader="dot" w:pos="9746"/>
            </w:tabs>
          </w:pPr>
          <w:r>
            <w:rPr>
              <w:rFonts w:ascii="Times New Roman" w:hAnsi="Times New Roman" w:cs="Times New Roman"/>
              <w:bCs/>
              <w:szCs w:val="20"/>
              <w:lang w:val="zh-CN"/>
            </w:rPr>
            <w:fldChar w:fldCharType="begin"/>
          </w:r>
          <w:r>
            <w:rPr>
              <w:rFonts w:ascii="Times New Roman" w:hAnsi="Times New Roman" w:cs="Times New Roman"/>
              <w:bCs/>
              <w:szCs w:val="20"/>
              <w:lang w:val="zh-CN"/>
            </w:rPr>
            <w:instrText xml:space="preserve"> HYPERLINK \l _Toc2956 </w:instrText>
          </w:r>
          <w:r>
            <w:rPr>
              <w:rFonts w:ascii="Times New Roman" w:hAnsi="Times New Roman" w:cs="Times New Roman"/>
              <w:bCs/>
              <w:szCs w:val="20"/>
              <w:lang w:val="zh-CN"/>
            </w:rPr>
            <w:fldChar w:fldCharType="separate"/>
          </w:r>
          <w:r>
            <w:rPr>
              <w:rFonts w:ascii="Times New Roman" w:hAnsi="Times New Roman" w:cs="Times New Roman"/>
              <w:bCs/>
              <w:szCs w:val="20"/>
              <w:highlight w:val="none"/>
            </w:rPr>
            <w:t>8.1 Adverse Events</w:t>
          </w:r>
          <w:r>
            <w:tab/>
          </w:r>
          <w:r>
            <w:fldChar w:fldCharType="begin"/>
          </w:r>
          <w:r>
            <w:instrText xml:space="preserve"> PAGEREF _Toc2956 \h </w:instrText>
          </w:r>
          <w:r>
            <w:fldChar w:fldCharType="separate"/>
          </w:r>
          <w:r>
            <w:t>12</w:t>
          </w:r>
          <w:r>
            <w:fldChar w:fldCharType="end"/>
          </w:r>
          <w:r>
            <w:rPr>
              <w:rFonts w:ascii="Times New Roman" w:hAnsi="Times New Roman" w:cs="Times New Roman"/>
              <w:bCs/>
              <w:szCs w:val="20"/>
              <w:lang w:val="zh-CN"/>
            </w:rPr>
            <w:fldChar w:fldCharType="end"/>
          </w:r>
        </w:p>
        <w:p w14:paraId="3318EB7E">
          <w:pPr>
            <w:pStyle w:val="17"/>
            <w:tabs>
              <w:tab w:val="right" w:leader="dot" w:pos="9746"/>
            </w:tabs>
          </w:pPr>
          <w:r>
            <w:rPr>
              <w:rFonts w:ascii="Times New Roman" w:hAnsi="Times New Roman" w:cs="Times New Roman"/>
              <w:bCs/>
              <w:szCs w:val="20"/>
              <w:lang w:val="zh-CN"/>
            </w:rPr>
            <w:fldChar w:fldCharType="begin"/>
          </w:r>
          <w:r>
            <w:rPr>
              <w:rFonts w:ascii="Times New Roman" w:hAnsi="Times New Roman" w:cs="Times New Roman"/>
              <w:bCs/>
              <w:szCs w:val="20"/>
              <w:lang w:val="zh-CN"/>
            </w:rPr>
            <w:instrText xml:space="preserve"> HYPERLINK \l _Toc24723 </w:instrText>
          </w:r>
          <w:r>
            <w:rPr>
              <w:rFonts w:ascii="Times New Roman" w:hAnsi="Times New Roman" w:cs="Times New Roman"/>
              <w:bCs/>
              <w:szCs w:val="20"/>
              <w:lang w:val="zh-CN"/>
            </w:rPr>
            <w:fldChar w:fldCharType="separate"/>
          </w:r>
          <w:r>
            <w:rPr>
              <w:rFonts w:ascii="Times New Roman" w:hAnsi="Times New Roman" w:cs="Times New Roman"/>
              <w:bCs/>
              <w:szCs w:val="20"/>
              <w:highlight w:val="none"/>
            </w:rPr>
            <w:t>8.2 Potential Adverse Reactions to Acupuncture and Management</w:t>
          </w:r>
          <w:r>
            <w:tab/>
          </w:r>
          <w:r>
            <w:fldChar w:fldCharType="begin"/>
          </w:r>
          <w:r>
            <w:instrText xml:space="preserve"> PAGEREF _Toc24723 \h </w:instrText>
          </w:r>
          <w:r>
            <w:fldChar w:fldCharType="separate"/>
          </w:r>
          <w:r>
            <w:t>12</w:t>
          </w:r>
          <w:r>
            <w:fldChar w:fldCharType="end"/>
          </w:r>
          <w:r>
            <w:rPr>
              <w:rFonts w:ascii="Times New Roman" w:hAnsi="Times New Roman" w:cs="Times New Roman"/>
              <w:bCs/>
              <w:szCs w:val="20"/>
              <w:lang w:val="zh-CN"/>
            </w:rPr>
            <w:fldChar w:fldCharType="end"/>
          </w:r>
        </w:p>
        <w:p w14:paraId="0EFCF305">
          <w:pPr>
            <w:pStyle w:val="17"/>
            <w:tabs>
              <w:tab w:val="right" w:leader="dot" w:pos="9746"/>
            </w:tabs>
          </w:pPr>
          <w:r>
            <w:rPr>
              <w:rFonts w:ascii="Times New Roman" w:hAnsi="Times New Roman" w:cs="Times New Roman"/>
              <w:bCs/>
              <w:szCs w:val="20"/>
              <w:lang w:val="zh-CN"/>
            </w:rPr>
            <w:fldChar w:fldCharType="begin"/>
          </w:r>
          <w:r>
            <w:rPr>
              <w:rFonts w:ascii="Times New Roman" w:hAnsi="Times New Roman" w:cs="Times New Roman"/>
              <w:bCs/>
              <w:szCs w:val="20"/>
              <w:lang w:val="zh-CN"/>
            </w:rPr>
            <w:instrText xml:space="preserve"> HYPERLINK \l _Toc2583 </w:instrText>
          </w:r>
          <w:r>
            <w:rPr>
              <w:rFonts w:ascii="Times New Roman" w:hAnsi="Times New Roman" w:cs="Times New Roman"/>
              <w:bCs/>
              <w:szCs w:val="20"/>
              <w:lang w:val="zh-CN"/>
            </w:rPr>
            <w:fldChar w:fldCharType="separate"/>
          </w:r>
          <w:r>
            <w:rPr>
              <w:rFonts w:ascii="Times New Roman" w:hAnsi="Times New Roman" w:cs="Times New Roman"/>
              <w:bCs/>
              <w:szCs w:val="20"/>
              <w:highlight w:val="none"/>
            </w:rPr>
            <w:t>8.3 Adverse Event Recording and Reporting</w:t>
          </w:r>
          <w:r>
            <w:tab/>
          </w:r>
          <w:r>
            <w:fldChar w:fldCharType="begin"/>
          </w:r>
          <w:r>
            <w:instrText xml:space="preserve"> PAGEREF _Toc2583 \h </w:instrText>
          </w:r>
          <w:r>
            <w:fldChar w:fldCharType="separate"/>
          </w:r>
          <w:r>
            <w:t>13</w:t>
          </w:r>
          <w:r>
            <w:fldChar w:fldCharType="end"/>
          </w:r>
          <w:r>
            <w:rPr>
              <w:rFonts w:ascii="Times New Roman" w:hAnsi="Times New Roman" w:cs="Times New Roman"/>
              <w:bCs/>
              <w:szCs w:val="20"/>
              <w:lang w:val="zh-CN"/>
            </w:rPr>
            <w:fldChar w:fldCharType="end"/>
          </w:r>
        </w:p>
        <w:p w14:paraId="1F786A64">
          <w:pPr>
            <w:pStyle w:val="17"/>
            <w:tabs>
              <w:tab w:val="right" w:leader="dot" w:pos="9746"/>
            </w:tabs>
          </w:pPr>
          <w:r>
            <w:rPr>
              <w:rFonts w:ascii="Times New Roman" w:hAnsi="Times New Roman" w:cs="Times New Roman"/>
              <w:bCs/>
              <w:szCs w:val="20"/>
              <w:lang w:val="zh-CN"/>
            </w:rPr>
            <w:fldChar w:fldCharType="begin"/>
          </w:r>
          <w:r>
            <w:rPr>
              <w:rFonts w:ascii="Times New Roman" w:hAnsi="Times New Roman" w:cs="Times New Roman"/>
              <w:bCs/>
              <w:szCs w:val="20"/>
              <w:lang w:val="zh-CN"/>
            </w:rPr>
            <w:instrText xml:space="preserve"> HYPERLINK \l _Toc25648 </w:instrText>
          </w:r>
          <w:r>
            <w:rPr>
              <w:rFonts w:ascii="Times New Roman" w:hAnsi="Times New Roman" w:cs="Times New Roman"/>
              <w:bCs/>
              <w:szCs w:val="20"/>
              <w:lang w:val="zh-CN"/>
            </w:rPr>
            <w:fldChar w:fldCharType="separate"/>
          </w:r>
          <w:r>
            <w:rPr>
              <w:rFonts w:ascii="Times New Roman" w:hAnsi="Times New Roman" w:cs="Times New Roman"/>
              <w:bCs/>
              <w:szCs w:val="20"/>
              <w:highlight w:val="none"/>
            </w:rPr>
            <w:t>8.4 Reporting of Adverse Events</w:t>
          </w:r>
          <w:r>
            <w:tab/>
          </w:r>
          <w:r>
            <w:fldChar w:fldCharType="begin"/>
          </w:r>
          <w:r>
            <w:instrText xml:space="preserve"> PAGEREF _Toc25648 \h </w:instrText>
          </w:r>
          <w:r>
            <w:fldChar w:fldCharType="separate"/>
          </w:r>
          <w:r>
            <w:t>13</w:t>
          </w:r>
          <w:r>
            <w:fldChar w:fldCharType="end"/>
          </w:r>
          <w:r>
            <w:rPr>
              <w:rFonts w:ascii="Times New Roman" w:hAnsi="Times New Roman" w:cs="Times New Roman"/>
              <w:bCs/>
              <w:szCs w:val="20"/>
              <w:lang w:val="zh-CN"/>
            </w:rPr>
            <w:fldChar w:fldCharType="end"/>
          </w:r>
        </w:p>
        <w:p w14:paraId="00889EED">
          <w:pPr>
            <w:pStyle w:val="17"/>
            <w:tabs>
              <w:tab w:val="right" w:leader="dot" w:pos="9746"/>
            </w:tabs>
          </w:pPr>
          <w:r>
            <w:rPr>
              <w:rFonts w:ascii="Times New Roman" w:hAnsi="Times New Roman" w:cs="Times New Roman"/>
              <w:bCs/>
              <w:szCs w:val="20"/>
              <w:lang w:val="zh-CN"/>
            </w:rPr>
            <w:fldChar w:fldCharType="begin"/>
          </w:r>
          <w:r>
            <w:rPr>
              <w:rFonts w:ascii="Times New Roman" w:hAnsi="Times New Roman" w:cs="Times New Roman"/>
              <w:bCs/>
              <w:szCs w:val="20"/>
              <w:lang w:val="zh-CN"/>
            </w:rPr>
            <w:instrText xml:space="preserve"> HYPERLINK \l _Toc8361 </w:instrText>
          </w:r>
          <w:r>
            <w:rPr>
              <w:rFonts w:ascii="Times New Roman" w:hAnsi="Times New Roman" w:cs="Times New Roman"/>
              <w:bCs/>
              <w:szCs w:val="20"/>
              <w:lang w:val="zh-CN"/>
            </w:rPr>
            <w:fldChar w:fldCharType="separate"/>
          </w:r>
          <w:r>
            <w:rPr>
              <w:rFonts w:ascii="Times New Roman" w:hAnsi="Times New Roman" w:cs="Times New Roman"/>
              <w:bCs/>
              <w:szCs w:val="20"/>
              <w:highlight w:val="none"/>
            </w:rPr>
            <w:t>8.5 Management of Adverse Events</w:t>
          </w:r>
          <w:r>
            <w:tab/>
          </w:r>
          <w:r>
            <w:fldChar w:fldCharType="begin"/>
          </w:r>
          <w:r>
            <w:instrText xml:space="preserve"> PAGEREF _Toc8361 \h </w:instrText>
          </w:r>
          <w:r>
            <w:fldChar w:fldCharType="separate"/>
          </w:r>
          <w:r>
            <w:t>13</w:t>
          </w:r>
          <w:r>
            <w:fldChar w:fldCharType="end"/>
          </w:r>
          <w:r>
            <w:rPr>
              <w:rFonts w:ascii="Times New Roman" w:hAnsi="Times New Roman" w:cs="Times New Roman"/>
              <w:bCs/>
              <w:szCs w:val="20"/>
              <w:lang w:val="zh-CN"/>
            </w:rPr>
            <w:fldChar w:fldCharType="end"/>
          </w:r>
        </w:p>
        <w:p w14:paraId="61715012">
          <w:pPr>
            <w:pStyle w:val="15"/>
            <w:tabs>
              <w:tab w:val="right" w:leader="dot" w:pos="9746"/>
              <w:tab w:val="clear" w:pos="9736"/>
            </w:tabs>
          </w:pPr>
          <w:r>
            <w:rPr>
              <w:rFonts w:ascii="Times New Roman" w:hAnsi="Times New Roman" w:cs="Times New Roman"/>
              <w:bCs/>
              <w:szCs w:val="20"/>
              <w:lang w:val="zh-CN"/>
            </w:rPr>
            <w:fldChar w:fldCharType="begin"/>
          </w:r>
          <w:r>
            <w:rPr>
              <w:rFonts w:ascii="Times New Roman" w:hAnsi="Times New Roman" w:cs="Times New Roman"/>
              <w:bCs/>
              <w:szCs w:val="20"/>
              <w:lang w:val="zh-CN"/>
            </w:rPr>
            <w:instrText xml:space="preserve"> HYPERLINK \l _Toc24289 </w:instrText>
          </w:r>
          <w:r>
            <w:rPr>
              <w:rFonts w:ascii="Times New Roman" w:hAnsi="Times New Roman" w:cs="Times New Roman"/>
              <w:bCs/>
              <w:szCs w:val="20"/>
              <w:lang w:val="zh-CN"/>
            </w:rPr>
            <w:fldChar w:fldCharType="separate"/>
          </w:r>
          <w:r>
            <w:rPr>
              <w:rFonts w:hint="eastAsia" w:ascii="Times New Roman" w:hAnsi="Times New Roman" w:cs="Times New Roman"/>
              <w:bCs/>
              <w:szCs w:val="24"/>
              <w:highlight w:val="none"/>
            </w:rPr>
            <w:t>9. Quality Control and Quality Assurance in Research</w:t>
          </w:r>
          <w:r>
            <w:tab/>
          </w:r>
          <w:r>
            <w:fldChar w:fldCharType="begin"/>
          </w:r>
          <w:r>
            <w:instrText xml:space="preserve"> PAGEREF _Toc24289 \h </w:instrText>
          </w:r>
          <w:r>
            <w:fldChar w:fldCharType="separate"/>
          </w:r>
          <w:r>
            <w:t>14</w:t>
          </w:r>
          <w:r>
            <w:fldChar w:fldCharType="end"/>
          </w:r>
          <w:r>
            <w:rPr>
              <w:rFonts w:ascii="Times New Roman" w:hAnsi="Times New Roman" w:cs="Times New Roman"/>
              <w:bCs/>
              <w:szCs w:val="20"/>
              <w:lang w:val="zh-CN"/>
            </w:rPr>
            <w:fldChar w:fldCharType="end"/>
          </w:r>
        </w:p>
        <w:p w14:paraId="1AC53F54">
          <w:pPr>
            <w:pStyle w:val="15"/>
            <w:tabs>
              <w:tab w:val="right" w:leader="dot" w:pos="9746"/>
              <w:tab w:val="clear" w:pos="9736"/>
            </w:tabs>
          </w:pPr>
          <w:r>
            <w:rPr>
              <w:rFonts w:ascii="Times New Roman" w:hAnsi="Times New Roman" w:cs="Times New Roman"/>
              <w:bCs/>
              <w:szCs w:val="20"/>
              <w:lang w:val="zh-CN"/>
            </w:rPr>
            <w:fldChar w:fldCharType="begin"/>
          </w:r>
          <w:r>
            <w:rPr>
              <w:rFonts w:ascii="Times New Roman" w:hAnsi="Times New Roman" w:cs="Times New Roman"/>
              <w:bCs/>
              <w:szCs w:val="20"/>
              <w:lang w:val="zh-CN"/>
            </w:rPr>
            <w:instrText xml:space="preserve"> HYPERLINK \l _Toc3455 </w:instrText>
          </w:r>
          <w:r>
            <w:rPr>
              <w:rFonts w:ascii="Times New Roman" w:hAnsi="Times New Roman" w:cs="Times New Roman"/>
              <w:bCs/>
              <w:szCs w:val="20"/>
              <w:lang w:val="zh-CN"/>
            </w:rPr>
            <w:fldChar w:fldCharType="separate"/>
          </w:r>
          <w:r>
            <w:rPr>
              <w:rFonts w:hint="eastAsia" w:ascii="Times New Roman" w:hAnsi="Times New Roman" w:cs="Times New Roman"/>
              <w:bCs/>
              <w:szCs w:val="24"/>
              <w:highlight w:val="none"/>
            </w:rPr>
            <w:t>10. Data Safety Monitoring</w:t>
          </w:r>
          <w:r>
            <w:tab/>
          </w:r>
          <w:r>
            <w:fldChar w:fldCharType="begin"/>
          </w:r>
          <w:r>
            <w:instrText xml:space="preserve"> PAGEREF _Toc3455 \h </w:instrText>
          </w:r>
          <w:r>
            <w:fldChar w:fldCharType="separate"/>
          </w:r>
          <w:r>
            <w:t>14</w:t>
          </w:r>
          <w:r>
            <w:fldChar w:fldCharType="end"/>
          </w:r>
          <w:r>
            <w:rPr>
              <w:rFonts w:ascii="Times New Roman" w:hAnsi="Times New Roman" w:cs="Times New Roman"/>
              <w:bCs/>
              <w:szCs w:val="20"/>
              <w:lang w:val="zh-CN"/>
            </w:rPr>
            <w:fldChar w:fldCharType="end"/>
          </w:r>
        </w:p>
        <w:p w14:paraId="51251FCD">
          <w:pPr>
            <w:pStyle w:val="15"/>
            <w:tabs>
              <w:tab w:val="right" w:leader="dot" w:pos="9746"/>
              <w:tab w:val="clear" w:pos="9736"/>
            </w:tabs>
          </w:pPr>
          <w:r>
            <w:rPr>
              <w:rFonts w:ascii="Times New Roman" w:hAnsi="Times New Roman" w:cs="Times New Roman"/>
              <w:bCs/>
              <w:szCs w:val="20"/>
              <w:lang w:val="zh-CN"/>
            </w:rPr>
            <w:fldChar w:fldCharType="begin"/>
          </w:r>
          <w:r>
            <w:rPr>
              <w:rFonts w:ascii="Times New Roman" w:hAnsi="Times New Roman" w:cs="Times New Roman"/>
              <w:bCs/>
              <w:szCs w:val="20"/>
              <w:lang w:val="zh-CN"/>
            </w:rPr>
            <w:instrText xml:space="preserve"> HYPERLINK \l _Toc14659 </w:instrText>
          </w:r>
          <w:r>
            <w:rPr>
              <w:rFonts w:ascii="Times New Roman" w:hAnsi="Times New Roman" w:cs="Times New Roman"/>
              <w:bCs/>
              <w:szCs w:val="20"/>
              <w:lang w:val="zh-CN"/>
            </w:rPr>
            <w:fldChar w:fldCharType="separate"/>
          </w:r>
          <w:r>
            <w:rPr>
              <w:rFonts w:ascii="Times New Roman" w:hAnsi="Times New Roman" w:cs="Times New Roman"/>
              <w:bCs/>
              <w:szCs w:val="24"/>
              <w:highlight w:val="none"/>
            </w:rPr>
            <w:t>11. Statistical Analysis</w:t>
          </w:r>
          <w:r>
            <w:tab/>
          </w:r>
          <w:r>
            <w:fldChar w:fldCharType="begin"/>
          </w:r>
          <w:r>
            <w:instrText xml:space="preserve"> PAGEREF _Toc14659 \h </w:instrText>
          </w:r>
          <w:r>
            <w:fldChar w:fldCharType="separate"/>
          </w:r>
          <w:r>
            <w:t>15</w:t>
          </w:r>
          <w:r>
            <w:fldChar w:fldCharType="end"/>
          </w:r>
          <w:r>
            <w:rPr>
              <w:rFonts w:ascii="Times New Roman" w:hAnsi="Times New Roman" w:cs="Times New Roman"/>
              <w:bCs/>
              <w:szCs w:val="20"/>
              <w:lang w:val="zh-CN"/>
            </w:rPr>
            <w:fldChar w:fldCharType="end"/>
          </w:r>
        </w:p>
        <w:p w14:paraId="20D5095D">
          <w:pPr>
            <w:pStyle w:val="15"/>
            <w:tabs>
              <w:tab w:val="right" w:leader="dot" w:pos="9746"/>
              <w:tab w:val="clear" w:pos="9736"/>
            </w:tabs>
          </w:pPr>
          <w:r>
            <w:rPr>
              <w:rFonts w:ascii="Times New Roman" w:hAnsi="Times New Roman" w:cs="Times New Roman"/>
              <w:bCs/>
              <w:szCs w:val="20"/>
              <w:lang w:val="zh-CN"/>
            </w:rPr>
            <w:fldChar w:fldCharType="begin"/>
          </w:r>
          <w:r>
            <w:rPr>
              <w:rFonts w:ascii="Times New Roman" w:hAnsi="Times New Roman" w:cs="Times New Roman"/>
              <w:bCs/>
              <w:szCs w:val="20"/>
              <w:lang w:val="zh-CN"/>
            </w:rPr>
            <w:instrText xml:space="preserve"> HYPERLINK \l _Toc29903 </w:instrText>
          </w:r>
          <w:r>
            <w:rPr>
              <w:rFonts w:ascii="Times New Roman" w:hAnsi="Times New Roman" w:cs="Times New Roman"/>
              <w:bCs/>
              <w:szCs w:val="20"/>
              <w:lang w:val="zh-CN"/>
            </w:rPr>
            <w:fldChar w:fldCharType="separate"/>
          </w:r>
          <w:r>
            <w:rPr>
              <w:rFonts w:ascii="Times New Roman" w:hAnsi="Times New Roman" w:cs="Times New Roman"/>
              <w:bCs/>
              <w:szCs w:val="24"/>
              <w:highlight w:val="none"/>
            </w:rPr>
            <w:t>12. Ethics in Clinical Research</w:t>
          </w:r>
          <w:r>
            <w:tab/>
          </w:r>
          <w:r>
            <w:fldChar w:fldCharType="begin"/>
          </w:r>
          <w:r>
            <w:instrText xml:space="preserve"> PAGEREF _Toc29903 \h </w:instrText>
          </w:r>
          <w:r>
            <w:fldChar w:fldCharType="separate"/>
          </w:r>
          <w:r>
            <w:t>16</w:t>
          </w:r>
          <w:r>
            <w:fldChar w:fldCharType="end"/>
          </w:r>
          <w:r>
            <w:rPr>
              <w:rFonts w:ascii="Times New Roman" w:hAnsi="Times New Roman" w:cs="Times New Roman"/>
              <w:bCs/>
              <w:szCs w:val="20"/>
              <w:lang w:val="zh-CN"/>
            </w:rPr>
            <w:fldChar w:fldCharType="end"/>
          </w:r>
        </w:p>
        <w:p w14:paraId="22E205EA">
          <w:pPr>
            <w:pStyle w:val="15"/>
            <w:tabs>
              <w:tab w:val="right" w:leader="dot" w:pos="9746"/>
              <w:tab w:val="clear" w:pos="9736"/>
            </w:tabs>
          </w:pPr>
          <w:r>
            <w:rPr>
              <w:rFonts w:ascii="Times New Roman" w:hAnsi="Times New Roman" w:cs="Times New Roman"/>
              <w:bCs/>
              <w:szCs w:val="20"/>
              <w:lang w:val="zh-CN"/>
            </w:rPr>
            <w:fldChar w:fldCharType="begin"/>
          </w:r>
          <w:r>
            <w:rPr>
              <w:rFonts w:ascii="Times New Roman" w:hAnsi="Times New Roman" w:cs="Times New Roman"/>
              <w:bCs/>
              <w:szCs w:val="20"/>
              <w:lang w:val="zh-CN"/>
            </w:rPr>
            <w:instrText xml:space="preserve"> HYPERLINK \l _Toc5268 </w:instrText>
          </w:r>
          <w:r>
            <w:rPr>
              <w:rFonts w:ascii="Times New Roman" w:hAnsi="Times New Roman" w:cs="Times New Roman"/>
              <w:bCs/>
              <w:szCs w:val="20"/>
              <w:lang w:val="zh-CN"/>
            </w:rPr>
            <w:fldChar w:fldCharType="separate"/>
          </w:r>
          <w:r>
            <w:rPr>
              <w:rFonts w:ascii="Times New Roman" w:hAnsi="Times New Roman" w:cs="Times New Roman"/>
              <w:bCs/>
              <w:szCs w:val="24"/>
              <w:highlight w:val="none"/>
            </w:rPr>
            <w:t>13. Protocol Amendments</w:t>
          </w:r>
          <w:r>
            <w:tab/>
          </w:r>
          <w:r>
            <w:fldChar w:fldCharType="begin"/>
          </w:r>
          <w:r>
            <w:instrText xml:space="preserve"> PAGEREF _Toc5268 \h </w:instrText>
          </w:r>
          <w:r>
            <w:fldChar w:fldCharType="separate"/>
          </w:r>
          <w:r>
            <w:t>17</w:t>
          </w:r>
          <w:r>
            <w:fldChar w:fldCharType="end"/>
          </w:r>
          <w:r>
            <w:rPr>
              <w:rFonts w:ascii="Times New Roman" w:hAnsi="Times New Roman" w:cs="Times New Roman"/>
              <w:bCs/>
              <w:szCs w:val="20"/>
              <w:lang w:val="zh-CN"/>
            </w:rPr>
            <w:fldChar w:fldCharType="end"/>
          </w:r>
        </w:p>
        <w:p w14:paraId="2AB2263E">
          <w:pPr>
            <w:pStyle w:val="15"/>
            <w:tabs>
              <w:tab w:val="right" w:leader="dot" w:pos="9746"/>
              <w:tab w:val="clear" w:pos="9736"/>
            </w:tabs>
          </w:pPr>
          <w:r>
            <w:rPr>
              <w:rFonts w:ascii="Times New Roman" w:hAnsi="Times New Roman" w:cs="Times New Roman"/>
              <w:bCs/>
              <w:szCs w:val="20"/>
              <w:lang w:val="zh-CN"/>
            </w:rPr>
            <w:fldChar w:fldCharType="begin"/>
          </w:r>
          <w:r>
            <w:rPr>
              <w:rFonts w:ascii="Times New Roman" w:hAnsi="Times New Roman" w:cs="Times New Roman"/>
              <w:bCs/>
              <w:szCs w:val="20"/>
              <w:lang w:val="zh-CN"/>
            </w:rPr>
            <w:instrText xml:space="preserve"> HYPERLINK \l _Toc20788 </w:instrText>
          </w:r>
          <w:r>
            <w:rPr>
              <w:rFonts w:ascii="Times New Roman" w:hAnsi="Times New Roman" w:cs="Times New Roman"/>
              <w:bCs/>
              <w:szCs w:val="20"/>
              <w:lang w:val="zh-CN"/>
            </w:rPr>
            <w:fldChar w:fldCharType="separate"/>
          </w:r>
          <w:r>
            <w:rPr>
              <w:rFonts w:hint="eastAsia" w:ascii="Times New Roman" w:hAnsi="Times New Roman" w:cs="Times New Roman"/>
              <w:bCs/>
              <w:szCs w:val="24"/>
              <w:highlight w:val="none"/>
            </w:rPr>
            <w:t>14.</w:t>
          </w:r>
          <w:r>
            <w:rPr>
              <w:rFonts w:ascii="Times New Roman" w:hAnsi="Times New Roman" w:cs="Times New Roman"/>
              <w:bCs/>
              <w:szCs w:val="24"/>
              <w:highlight w:val="none"/>
            </w:rPr>
            <w:t>Funding</w:t>
          </w:r>
          <w:r>
            <w:tab/>
          </w:r>
          <w:r>
            <w:fldChar w:fldCharType="begin"/>
          </w:r>
          <w:r>
            <w:instrText xml:space="preserve"> PAGEREF _Toc20788 \h </w:instrText>
          </w:r>
          <w:r>
            <w:fldChar w:fldCharType="separate"/>
          </w:r>
          <w:r>
            <w:t>17</w:t>
          </w:r>
          <w:r>
            <w:fldChar w:fldCharType="end"/>
          </w:r>
          <w:r>
            <w:rPr>
              <w:rFonts w:ascii="Times New Roman" w:hAnsi="Times New Roman" w:cs="Times New Roman"/>
              <w:bCs/>
              <w:szCs w:val="20"/>
              <w:lang w:val="zh-CN"/>
            </w:rPr>
            <w:fldChar w:fldCharType="end"/>
          </w:r>
        </w:p>
        <w:p w14:paraId="6659B760">
          <w:pPr>
            <w:pStyle w:val="15"/>
            <w:tabs>
              <w:tab w:val="right" w:leader="dot" w:pos="9746"/>
              <w:tab w:val="clear" w:pos="9736"/>
            </w:tabs>
          </w:pPr>
          <w:r>
            <w:rPr>
              <w:rFonts w:ascii="Times New Roman" w:hAnsi="Times New Roman" w:cs="Times New Roman"/>
              <w:bCs/>
              <w:szCs w:val="20"/>
              <w:lang w:val="zh-CN"/>
            </w:rPr>
            <w:fldChar w:fldCharType="begin"/>
          </w:r>
          <w:r>
            <w:rPr>
              <w:rFonts w:ascii="Times New Roman" w:hAnsi="Times New Roman" w:cs="Times New Roman"/>
              <w:bCs/>
              <w:szCs w:val="20"/>
              <w:lang w:val="zh-CN"/>
            </w:rPr>
            <w:instrText xml:space="preserve"> HYPERLINK \l _Toc19961 </w:instrText>
          </w:r>
          <w:r>
            <w:rPr>
              <w:rFonts w:ascii="Times New Roman" w:hAnsi="Times New Roman" w:cs="Times New Roman"/>
              <w:bCs/>
              <w:szCs w:val="20"/>
              <w:lang w:val="zh-CN"/>
            </w:rPr>
            <w:fldChar w:fldCharType="separate"/>
          </w:r>
          <w:r>
            <w:rPr>
              <w:rFonts w:hint="eastAsia" w:ascii="Times New Roman" w:hAnsi="Times New Roman" w:cs="Times New Roman"/>
              <w:bCs/>
              <w:szCs w:val="24"/>
              <w:highlight w:val="none"/>
            </w:rPr>
            <w:t>15.</w:t>
          </w:r>
          <w:r>
            <w:rPr>
              <w:rFonts w:ascii="Times New Roman" w:hAnsi="Times New Roman" w:cs="Times New Roman"/>
              <w:bCs/>
              <w:szCs w:val="24"/>
              <w:highlight w:val="none"/>
            </w:rPr>
            <w:t>References</w:t>
          </w:r>
          <w:r>
            <w:tab/>
          </w:r>
          <w:r>
            <w:fldChar w:fldCharType="begin"/>
          </w:r>
          <w:r>
            <w:instrText xml:space="preserve"> PAGEREF _Toc19961 \h </w:instrText>
          </w:r>
          <w:r>
            <w:fldChar w:fldCharType="separate"/>
          </w:r>
          <w:r>
            <w:t>17</w:t>
          </w:r>
          <w:r>
            <w:fldChar w:fldCharType="end"/>
          </w:r>
          <w:r>
            <w:rPr>
              <w:rFonts w:ascii="Times New Roman" w:hAnsi="Times New Roman" w:cs="Times New Roman"/>
              <w:bCs/>
              <w:szCs w:val="20"/>
              <w:lang w:val="zh-CN"/>
            </w:rPr>
            <w:fldChar w:fldCharType="end"/>
          </w:r>
        </w:p>
        <w:p w14:paraId="6C220301">
          <w:pPr>
            <w:pStyle w:val="15"/>
            <w:tabs>
              <w:tab w:val="right" w:leader="dot" w:pos="9746"/>
              <w:tab w:val="clear" w:pos="9736"/>
            </w:tabs>
          </w:pPr>
          <w:r>
            <w:rPr>
              <w:rFonts w:ascii="Times New Roman" w:hAnsi="Times New Roman" w:cs="Times New Roman"/>
              <w:bCs/>
              <w:szCs w:val="20"/>
              <w:lang w:val="zh-CN"/>
            </w:rPr>
            <w:fldChar w:fldCharType="begin"/>
          </w:r>
          <w:r>
            <w:rPr>
              <w:rFonts w:ascii="Times New Roman" w:hAnsi="Times New Roman" w:cs="Times New Roman"/>
              <w:bCs/>
              <w:szCs w:val="20"/>
              <w:lang w:val="zh-CN"/>
            </w:rPr>
            <w:instrText xml:space="preserve"> HYPERLINK \l _Toc27760 </w:instrText>
          </w:r>
          <w:r>
            <w:rPr>
              <w:rFonts w:ascii="Times New Roman" w:hAnsi="Times New Roman" w:cs="Times New Roman"/>
              <w:bCs/>
              <w:szCs w:val="20"/>
              <w:lang w:val="zh-CN"/>
            </w:rPr>
            <w:fldChar w:fldCharType="separate"/>
          </w:r>
          <w:r>
            <w:rPr>
              <w:rFonts w:ascii="Times New Roman" w:hAnsi="Times New Roman" w:cs="Times New Roman"/>
              <w:bCs/>
              <w:szCs w:val="24"/>
              <w:highlight w:val="none"/>
            </w:rPr>
            <w:t>Informed Consent Form for Clinical Research (Experimental Study)</w:t>
          </w:r>
          <w:r>
            <w:tab/>
          </w:r>
          <w:r>
            <w:fldChar w:fldCharType="begin"/>
          </w:r>
          <w:r>
            <w:instrText xml:space="preserve"> PAGEREF _Toc27760 \h </w:instrText>
          </w:r>
          <w:r>
            <w:fldChar w:fldCharType="separate"/>
          </w:r>
          <w:r>
            <w:t>19</w:t>
          </w:r>
          <w:r>
            <w:fldChar w:fldCharType="end"/>
          </w:r>
          <w:r>
            <w:rPr>
              <w:rFonts w:ascii="Times New Roman" w:hAnsi="Times New Roman" w:cs="Times New Roman"/>
              <w:bCs/>
              <w:szCs w:val="20"/>
              <w:lang w:val="zh-CN"/>
            </w:rPr>
            <w:fldChar w:fldCharType="end"/>
          </w:r>
        </w:p>
        <w:p w14:paraId="77687C1C">
          <w:pPr>
            <w:rPr>
              <w:rFonts w:ascii="Times New Roman" w:hAnsi="Times New Roman" w:cs="Times New Roman"/>
              <w:b/>
              <w:bCs/>
              <w:sz w:val="20"/>
              <w:szCs w:val="20"/>
              <w:lang w:val="zh-CN"/>
            </w:rPr>
          </w:pPr>
          <w:r>
            <w:rPr>
              <w:rFonts w:ascii="Times New Roman" w:hAnsi="Times New Roman" w:cs="Times New Roman"/>
              <w:bCs/>
              <w:szCs w:val="20"/>
              <w:lang w:val="zh-CN"/>
            </w:rPr>
            <w:fldChar w:fldCharType="end"/>
          </w:r>
        </w:p>
      </w:sdtContent>
    </w:sdt>
    <w:p w14:paraId="7E6E2DF6">
      <w:pPr>
        <w:widowControl/>
        <w:jc w:val="left"/>
        <w:rPr>
          <w:rFonts w:hint="eastAsia"/>
        </w:rPr>
      </w:pPr>
      <w:r>
        <w:rPr>
          <w:rFonts w:hint="eastAsia"/>
        </w:rPr>
        <w:br w:type="page"/>
      </w:r>
    </w:p>
    <w:p w14:paraId="63E636DE">
      <w:pPr>
        <w:autoSpaceDE w:val="0"/>
        <w:autoSpaceDN w:val="0"/>
        <w:jc w:val="left"/>
        <w:outlineLvl w:val="0"/>
        <w:rPr>
          <w:rFonts w:ascii="Times New Roman" w:hAnsi="Times New Roman" w:cs="Times New Roman"/>
          <w:b/>
          <w:bCs/>
          <w:sz w:val="24"/>
          <w:szCs w:val="24"/>
        </w:rPr>
      </w:pPr>
      <w:bookmarkStart w:id="0" w:name="_Toc8935"/>
      <w:r>
        <w:rPr>
          <w:rFonts w:ascii="Times New Roman" w:hAnsi="Times New Roman" w:cs="Times New Roman"/>
          <w:b/>
          <w:bCs/>
          <w:sz w:val="24"/>
          <w:szCs w:val="24"/>
        </w:rPr>
        <w:t>1.</w:t>
      </w:r>
      <w:r>
        <w:rPr>
          <w:rFonts w:ascii="Times New Roman" w:hAnsi="Times New Roman" w:cs="Times New Roman"/>
          <w:b/>
          <w:bCs/>
          <w:color w:val="2A2F45"/>
          <w:sz w:val="24"/>
          <w:szCs w:val="24"/>
          <w:shd w:val="clear" w:color="auto" w:fill="FFFFFF"/>
        </w:rPr>
        <w:t xml:space="preserve"> Study </w:t>
      </w:r>
      <w:r>
        <w:rPr>
          <w:rFonts w:ascii="Times New Roman" w:hAnsi="Times New Roman" w:cs="Times New Roman"/>
          <w:b/>
          <w:bCs/>
          <w:sz w:val="24"/>
          <w:szCs w:val="24"/>
        </w:rPr>
        <w:t>Abstract</w:t>
      </w:r>
      <w:bookmarkEnd w:id="0"/>
    </w:p>
    <w:p w14:paraId="11D3D046">
      <w:pPr>
        <w:outlineLvl w:val="1"/>
        <w:rPr>
          <w:rFonts w:ascii="Times New Roman" w:hAnsi="Times New Roman" w:cs="Times New Roman"/>
          <w:b/>
          <w:bCs/>
          <w:sz w:val="20"/>
          <w:szCs w:val="20"/>
        </w:rPr>
      </w:pPr>
      <w:bookmarkStart w:id="1" w:name="_Toc14112"/>
      <w:r>
        <w:rPr>
          <w:rFonts w:ascii="Times New Roman" w:hAnsi="Times New Roman" w:cs="Times New Roman"/>
          <w:b/>
          <w:bCs/>
          <w:sz w:val="20"/>
          <w:szCs w:val="20"/>
        </w:rPr>
        <w:t>1.1 Study Name</w:t>
      </w:r>
      <w:bookmarkEnd w:id="1"/>
    </w:p>
    <w:p w14:paraId="05E9B6F2">
      <w:pPr>
        <w:rPr>
          <w:rFonts w:ascii="Times New Roman" w:hAnsi="Times New Roman" w:cs="Times New Roman"/>
          <w:sz w:val="20"/>
          <w:szCs w:val="20"/>
        </w:rPr>
      </w:pPr>
      <w:r>
        <w:rPr>
          <w:rFonts w:hint="eastAsia" w:ascii="Times New Roman" w:hAnsi="Times New Roman" w:cs="Times New Roman"/>
          <w:sz w:val="20"/>
          <w:szCs w:val="20"/>
        </w:rPr>
        <w:t>Acupuncture in the Treatment of Parkinson's Disease: A Prospective Randomized Controlled Clinical Trial</w:t>
      </w:r>
    </w:p>
    <w:p w14:paraId="721C0727">
      <w:pPr>
        <w:outlineLvl w:val="1"/>
        <w:rPr>
          <w:rFonts w:ascii="Times New Roman" w:hAnsi="Times New Roman" w:cs="Times New Roman"/>
          <w:b/>
          <w:bCs/>
          <w:sz w:val="20"/>
          <w:szCs w:val="20"/>
        </w:rPr>
      </w:pPr>
      <w:bookmarkStart w:id="2" w:name="_Toc10405"/>
      <w:r>
        <w:rPr>
          <w:rFonts w:ascii="Times New Roman" w:hAnsi="Times New Roman" w:cs="Times New Roman"/>
          <w:b/>
          <w:bCs/>
          <w:sz w:val="20"/>
          <w:szCs w:val="20"/>
        </w:rPr>
        <w:t>1.2 Study Objective</w:t>
      </w:r>
      <w:bookmarkEnd w:id="2"/>
    </w:p>
    <w:p w14:paraId="384B4793">
      <w:pPr>
        <w:rPr>
          <w:rFonts w:ascii="Times New Roman" w:hAnsi="Times New Roman" w:cs="Times New Roman"/>
          <w:sz w:val="20"/>
          <w:szCs w:val="20"/>
        </w:rPr>
      </w:pPr>
      <w:r>
        <w:rPr>
          <w:rFonts w:hint="eastAsia" w:ascii="Times New Roman" w:hAnsi="Times New Roman" w:cs="Times New Roman"/>
          <w:sz w:val="20"/>
          <w:szCs w:val="20"/>
        </w:rPr>
        <w:t>To investigate the clinical efficacy of acupuncture treatment in patients with Parkinson's disease.</w:t>
      </w:r>
    </w:p>
    <w:p w14:paraId="3B05952A">
      <w:pPr>
        <w:outlineLvl w:val="1"/>
        <w:rPr>
          <w:rFonts w:ascii="Times New Roman" w:hAnsi="Times New Roman" w:cs="Times New Roman"/>
          <w:b/>
          <w:bCs/>
          <w:color w:val="000000" w:themeColor="text1"/>
          <w:sz w:val="20"/>
          <w:szCs w:val="20"/>
          <w:highlight w:val="none"/>
          <w14:textFill>
            <w14:solidFill>
              <w14:schemeClr w14:val="tx1"/>
            </w14:solidFill>
          </w14:textFill>
        </w:rPr>
      </w:pPr>
      <w:bookmarkStart w:id="3" w:name="_Toc31162"/>
      <w:r>
        <w:rPr>
          <w:rFonts w:ascii="Times New Roman" w:hAnsi="Times New Roman" w:cs="Times New Roman"/>
          <w:b/>
          <w:bCs/>
          <w:color w:val="000000" w:themeColor="text1"/>
          <w:sz w:val="20"/>
          <w:szCs w:val="20"/>
          <w:highlight w:val="none"/>
          <w14:textFill>
            <w14:solidFill>
              <w14:schemeClr w14:val="tx1"/>
            </w14:solidFill>
          </w14:textFill>
        </w:rPr>
        <w:t>1.3 Study Design</w:t>
      </w:r>
      <w:bookmarkEnd w:id="3"/>
    </w:p>
    <w:p w14:paraId="60384007">
      <w:pPr>
        <w:autoSpaceDE w:val="0"/>
        <w:autoSpaceDN w:val="0"/>
        <w:jc w:val="left"/>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This is a parallel, two-arm, randomized, single-blind trial.</w:t>
      </w:r>
    </w:p>
    <w:p w14:paraId="68FD293A">
      <w:pPr>
        <w:outlineLvl w:val="1"/>
        <w:rPr>
          <w:rFonts w:ascii="Times New Roman" w:hAnsi="Times New Roman" w:cs="Times New Roman"/>
          <w:b/>
          <w:bCs/>
          <w:color w:val="000000" w:themeColor="text1"/>
          <w:sz w:val="20"/>
          <w:szCs w:val="20"/>
          <w:highlight w:val="none"/>
          <w14:textFill>
            <w14:solidFill>
              <w14:schemeClr w14:val="tx1"/>
            </w14:solidFill>
          </w14:textFill>
        </w:rPr>
      </w:pPr>
      <w:bookmarkStart w:id="4" w:name="_Toc17661"/>
      <w:r>
        <w:rPr>
          <w:rFonts w:ascii="Times New Roman" w:hAnsi="Times New Roman" w:cs="Times New Roman"/>
          <w:b/>
          <w:bCs/>
          <w:color w:val="000000" w:themeColor="text1"/>
          <w:sz w:val="20"/>
          <w:szCs w:val="20"/>
          <w:highlight w:val="none"/>
          <w14:textFill>
            <w14:solidFill>
              <w14:schemeClr w14:val="tx1"/>
            </w14:solidFill>
          </w14:textFill>
        </w:rPr>
        <w:t>1.4 Sample Size</w:t>
      </w:r>
      <w:bookmarkEnd w:id="4"/>
    </w:p>
    <w:p w14:paraId="53238A5C">
      <w:pPr>
        <w:autoSpaceDE w:val="0"/>
        <w:autoSpaceDN w:val="0"/>
        <w:jc w:val="left"/>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58 Parkinson's disease patients; 46 healthy controls.</w:t>
      </w:r>
    </w:p>
    <w:p w14:paraId="157FC1AB">
      <w:pPr>
        <w:outlineLvl w:val="1"/>
        <w:rPr>
          <w:rFonts w:ascii="Times New Roman" w:hAnsi="Times New Roman" w:cs="Times New Roman"/>
          <w:b/>
          <w:bCs/>
          <w:color w:val="000000" w:themeColor="text1"/>
          <w:sz w:val="20"/>
          <w:szCs w:val="20"/>
          <w:highlight w:val="none"/>
          <w14:textFill>
            <w14:solidFill>
              <w14:schemeClr w14:val="tx1"/>
            </w14:solidFill>
          </w14:textFill>
        </w:rPr>
      </w:pPr>
      <w:bookmarkStart w:id="5" w:name="_Toc22881"/>
      <w:r>
        <w:rPr>
          <w:rFonts w:ascii="Times New Roman" w:hAnsi="Times New Roman" w:cs="Times New Roman"/>
          <w:b/>
          <w:bCs/>
          <w:color w:val="000000" w:themeColor="text1"/>
          <w:sz w:val="20"/>
          <w:szCs w:val="20"/>
          <w:highlight w:val="none"/>
          <w14:textFill>
            <w14:solidFill>
              <w14:schemeClr w14:val="tx1"/>
            </w14:solidFill>
          </w14:textFill>
        </w:rPr>
        <w:t>1.5 Patients</w:t>
      </w:r>
      <w:bookmarkEnd w:id="5"/>
    </w:p>
    <w:p w14:paraId="61357338">
      <w:pPr>
        <w:autoSpaceDE w:val="0"/>
        <w:autoSpaceDN w:val="0"/>
        <w:jc w:val="left"/>
        <w:outlineLvl w:val="2"/>
        <w:rPr>
          <w:rFonts w:ascii="Times New Roman" w:hAnsi="Times New Roman" w:cs="Times New Roman"/>
          <w:color w:val="000000" w:themeColor="text1"/>
          <w:sz w:val="20"/>
          <w:szCs w:val="20"/>
          <w:highlight w:val="none"/>
          <w14:textFill>
            <w14:solidFill>
              <w14:schemeClr w14:val="tx1"/>
            </w14:solidFill>
          </w14:textFill>
        </w:rPr>
      </w:pPr>
      <w:bookmarkStart w:id="6" w:name="_Toc25755"/>
      <w:r>
        <w:rPr>
          <w:rFonts w:ascii="Times New Roman" w:hAnsi="Times New Roman" w:cs="Times New Roman"/>
          <w:b/>
          <w:bCs/>
          <w:color w:val="000000" w:themeColor="text1"/>
          <w:sz w:val="20"/>
          <w:szCs w:val="20"/>
          <w:highlight w:val="none"/>
          <w14:textFill>
            <w14:solidFill>
              <w14:schemeClr w14:val="tx1"/>
            </w14:solidFill>
          </w14:textFill>
        </w:rPr>
        <w:t>1.5.1 Inclusion Criteria</w:t>
      </w:r>
      <w:bookmarkEnd w:id="6"/>
    </w:p>
    <w:p w14:paraId="747C2608">
      <w:pPr>
        <w:autoSpaceDE w:val="0"/>
        <w:autoSpaceDN w:val="0"/>
        <w:jc w:val="left"/>
        <w:rPr>
          <w:rFonts w:hint="eastAsia"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(1) Patients diagnosed with Parkinson's disease according to Western medical diagnostic criteria;</w:t>
      </w:r>
    </w:p>
    <w:p w14:paraId="153C6BF1">
      <w:pPr>
        <w:autoSpaceDE w:val="0"/>
        <w:autoSpaceDN w:val="0"/>
        <w:jc w:val="left"/>
        <w:rPr>
          <w:rFonts w:hint="eastAsia"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(2) Aged between 25 and 80 years;</w:t>
      </w:r>
    </w:p>
    <w:p w14:paraId="694B8C7A">
      <w:pPr>
        <w:autoSpaceDE w:val="0"/>
        <w:autoSpaceDN w:val="0"/>
        <w:jc w:val="left"/>
        <w:rPr>
          <w:rFonts w:hint="eastAsia"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(3) Hoehn &amp; Yahr stage I-IV;</w:t>
      </w:r>
    </w:p>
    <w:p w14:paraId="46B67766">
      <w:pPr>
        <w:autoSpaceDE w:val="0"/>
        <w:autoSpaceDN w:val="0"/>
        <w:jc w:val="left"/>
        <w:rPr>
          <w:rFonts w:hint="eastAsia"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(4) Alert consciousness, stable vital signs, no significant cognitive impairment, and no significant hearing impairment;</w:t>
      </w:r>
    </w:p>
    <w:p w14:paraId="590B56AA">
      <w:pPr>
        <w:autoSpaceDE w:val="0"/>
        <w:autoSpaceDN w:val="0"/>
        <w:jc w:val="left"/>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(5) Signed written informed consent.</w:t>
      </w:r>
    </w:p>
    <w:p w14:paraId="61B64543">
      <w:pPr>
        <w:autoSpaceDE w:val="0"/>
        <w:autoSpaceDN w:val="0"/>
        <w:jc w:val="left"/>
        <w:outlineLvl w:val="2"/>
        <w:rPr>
          <w:rFonts w:ascii="Times New Roman" w:hAnsi="Times New Roman" w:cs="Times New Roman"/>
          <w:color w:val="000000" w:themeColor="text1"/>
          <w:sz w:val="20"/>
          <w:szCs w:val="20"/>
          <w:highlight w:val="none"/>
          <w14:textFill>
            <w14:solidFill>
              <w14:schemeClr w14:val="tx1"/>
            </w14:solidFill>
          </w14:textFill>
        </w:rPr>
      </w:pPr>
      <w:bookmarkStart w:id="7" w:name="_Toc10474"/>
      <w:r>
        <w:rPr>
          <w:rFonts w:ascii="Times New Roman" w:hAnsi="Times New Roman" w:cs="Times New Roman"/>
          <w:b/>
          <w:bCs/>
          <w:color w:val="000000" w:themeColor="text1"/>
          <w:sz w:val="20"/>
          <w:szCs w:val="20"/>
          <w:highlight w:val="none"/>
          <w14:textFill>
            <w14:solidFill>
              <w14:schemeClr w14:val="tx1"/>
            </w14:solidFill>
          </w14:textFill>
        </w:rPr>
        <w:t>1.5.2 Exclusion Criteria</w:t>
      </w:r>
      <w:bookmarkEnd w:id="7"/>
    </w:p>
    <w:p w14:paraId="7F9CE92A">
      <w:pPr>
        <w:autoSpaceDE w:val="0"/>
        <w:autoSpaceDN w:val="0"/>
        <w:jc w:val="left"/>
        <w:rPr>
          <w:rFonts w:hint="eastAsia"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(1) Patients with Parkinsonian syndromes (e.g., vascular, drug-induced, toxic) or parkinsonism-plus syndromes (e.g., progressive supranuclear palsy, multiple system atrophy, dementia with Lewy bodies, corticobasal degeneration);</w:t>
      </w:r>
    </w:p>
    <w:p w14:paraId="1791AE08">
      <w:pPr>
        <w:autoSpaceDE w:val="0"/>
        <w:autoSpaceDN w:val="0"/>
        <w:jc w:val="left"/>
        <w:rPr>
          <w:rFonts w:hint="eastAsia"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(2) Patients with significant comorbid medical conditions, such as severe hepatic or renal impairment, hematological diseases, active malignancy, uncontrolled endocrine disorders, or chronic pain conditions;</w:t>
      </w:r>
    </w:p>
    <w:p w14:paraId="73125937">
      <w:pPr>
        <w:autoSpaceDE w:val="0"/>
        <w:autoSpaceDN w:val="0"/>
        <w:jc w:val="left"/>
        <w:rPr>
          <w:rFonts w:hint="eastAsia"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(3) Participation in any other interventional clinical trial (investigational drugs or acupuncture);</w:t>
      </w:r>
    </w:p>
    <w:p w14:paraId="5B332997">
      <w:pPr>
        <w:autoSpaceDE w:val="0"/>
        <w:autoSpaceDN w:val="0"/>
        <w:jc w:val="left"/>
        <w:rPr>
          <w:rFonts w:hint="eastAsia"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(4) Presence of psychiatric disorders;</w:t>
      </w:r>
    </w:p>
    <w:p w14:paraId="00635DDD">
      <w:pPr>
        <w:autoSpaceDE w:val="0"/>
        <w:autoSpaceDN w:val="0"/>
        <w:jc w:val="left"/>
        <w:rPr>
          <w:rFonts w:hint="eastAsia"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(5) Deafness or any other condition that would significantly impede communication;</w:t>
      </w:r>
    </w:p>
    <w:p w14:paraId="77B74B84">
      <w:pPr>
        <w:autoSpaceDE w:val="0"/>
        <w:autoSpaceDN w:val="0"/>
        <w:jc w:val="left"/>
        <w:rPr>
          <w:rFonts w:hint="eastAsia"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(6) History of alcohol abuse or drug abuse;</w:t>
      </w:r>
    </w:p>
    <w:p w14:paraId="1F32C292">
      <w:pPr>
        <w:autoSpaceDE w:val="0"/>
        <w:autoSpaceDN w:val="0"/>
        <w:jc w:val="left"/>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(7) Pregnancy or planned pregnancy.</w:t>
      </w:r>
    </w:p>
    <w:p w14:paraId="795F219E">
      <w:pPr>
        <w:autoSpaceDE w:val="0"/>
        <w:autoSpaceDN w:val="0"/>
        <w:jc w:val="left"/>
        <w:outlineLvl w:val="1"/>
        <w:rPr>
          <w:rFonts w:ascii="Times New Roman" w:hAnsi="Times New Roman" w:cs="Times New Roman"/>
          <w:b/>
          <w:bCs/>
          <w:color w:val="000000" w:themeColor="text1"/>
          <w:sz w:val="20"/>
          <w:szCs w:val="20"/>
          <w:highlight w:val="none"/>
          <w14:textFill>
            <w14:solidFill>
              <w14:schemeClr w14:val="tx1"/>
            </w14:solidFill>
          </w14:textFill>
        </w:rPr>
      </w:pPr>
      <w:bookmarkStart w:id="8" w:name="_Toc11380"/>
      <w:r>
        <w:rPr>
          <w:rFonts w:ascii="Times New Roman" w:hAnsi="Times New Roman" w:cs="Times New Roman"/>
          <w:b/>
          <w:bCs/>
          <w:color w:val="000000" w:themeColor="text1"/>
          <w:sz w:val="20"/>
          <w:szCs w:val="20"/>
          <w:highlight w:val="none"/>
          <w14:textFill>
            <w14:solidFill>
              <w14:schemeClr w14:val="tx1"/>
            </w14:solidFill>
          </w14:textFill>
        </w:rPr>
        <w:t>1.6 Treatment Protocol</w:t>
      </w:r>
      <w:bookmarkEnd w:id="8"/>
    </w:p>
    <w:p w14:paraId="77EAA6FF">
      <w:pPr>
        <w:autoSpaceDE w:val="0"/>
        <w:autoSpaceDN w:val="0"/>
        <w:jc w:val="left"/>
        <w:rPr>
          <w:rFonts w:hint="eastAsia"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Patients enrolled in the study will continue their pre-enrollment medication regimen.</w:t>
      </w:r>
    </w:p>
    <w:p w14:paraId="12E93117">
      <w:pPr>
        <w:autoSpaceDE w:val="0"/>
        <w:autoSpaceDN w:val="0"/>
        <w:jc w:val="left"/>
        <w:rPr>
          <w:rFonts w:hint="eastAsia"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Treatment Group: Will receive acupuncture therapy in addition to baseline treatment.</w:t>
      </w:r>
    </w:p>
    <w:p w14:paraId="6CDB603C">
      <w:pPr>
        <w:autoSpaceDE w:val="0"/>
        <w:autoSpaceDN w:val="0"/>
        <w:jc w:val="left"/>
        <w:rPr>
          <w:rFonts w:hint="eastAsia"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Control Group: Will receive sham acupuncture in addition to baseline treatment.</w:t>
      </w:r>
    </w:p>
    <w:p w14:paraId="683267C1">
      <w:pPr>
        <w:autoSpaceDE w:val="0"/>
        <w:autoSpaceDN w:val="0"/>
        <w:jc w:val="left"/>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Healthy Control Group: No intervention; baseline ultrasound and MRI assessments only.</w:t>
      </w:r>
    </w:p>
    <w:p w14:paraId="70C33572">
      <w:pPr>
        <w:autoSpaceDE w:val="0"/>
        <w:autoSpaceDN w:val="0"/>
        <w:jc w:val="left"/>
        <w:outlineLvl w:val="1"/>
        <w:rPr>
          <w:rFonts w:ascii="Times New Roman" w:hAnsi="Times New Roman" w:cs="Times New Roman"/>
          <w:b/>
          <w:bCs/>
          <w:color w:val="000000" w:themeColor="text1"/>
          <w:sz w:val="20"/>
          <w:szCs w:val="20"/>
          <w:highlight w:val="none"/>
          <w14:textFill>
            <w14:solidFill>
              <w14:schemeClr w14:val="tx1"/>
            </w14:solidFill>
          </w14:textFill>
        </w:rPr>
      </w:pPr>
      <w:bookmarkStart w:id="9" w:name="_Toc26916"/>
      <w:r>
        <w:rPr>
          <w:rFonts w:ascii="Times New Roman" w:hAnsi="Times New Roman" w:cs="Times New Roman"/>
          <w:b/>
          <w:bCs/>
          <w:color w:val="000000" w:themeColor="text1"/>
          <w:sz w:val="20"/>
          <w:szCs w:val="20"/>
          <w:highlight w:val="none"/>
          <w14:textFill>
            <w14:solidFill>
              <w14:schemeClr w14:val="tx1"/>
            </w14:solidFill>
          </w14:textFill>
        </w:rPr>
        <w:t>1.7 Efficacy Assessment</w:t>
      </w:r>
      <w:bookmarkEnd w:id="9"/>
    </w:p>
    <w:p w14:paraId="0BE64A8E">
      <w:pPr>
        <w:autoSpaceDE w:val="0"/>
        <w:autoSpaceDN w:val="0"/>
        <w:jc w:val="left"/>
        <w:outlineLvl w:val="2"/>
        <w:rPr>
          <w:rFonts w:ascii="Times New Roman" w:hAnsi="Times New Roman" w:cs="Times New Roman"/>
          <w:b/>
          <w:bCs/>
          <w:color w:val="000000" w:themeColor="text1"/>
          <w:sz w:val="20"/>
          <w:szCs w:val="20"/>
          <w:highlight w:val="none"/>
          <w14:textFill>
            <w14:solidFill>
              <w14:schemeClr w14:val="tx1"/>
            </w14:solidFill>
          </w14:textFill>
        </w:rPr>
      </w:pPr>
      <w:bookmarkStart w:id="10" w:name="_Toc29470"/>
      <w:r>
        <w:rPr>
          <w:rFonts w:ascii="Times New Roman" w:hAnsi="Times New Roman" w:cs="Times New Roman"/>
          <w:b/>
          <w:bCs/>
          <w:color w:val="000000" w:themeColor="text1"/>
          <w:sz w:val="20"/>
          <w:szCs w:val="20"/>
          <w:highlight w:val="none"/>
          <w14:textFill>
            <w14:solidFill>
              <w14:schemeClr w14:val="tx1"/>
            </w14:solidFill>
          </w14:textFill>
        </w:rPr>
        <w:t>1.7.1 Primary Outcomes</w:t>
      </w:r>
      <w:bookmarkEnd w:id="10"/>
      <w:r>
        <w:rPr>
          <w:rFonts w:ascii="Times New Roman" w:hAnsi="Times New Roman" w:cs="Times New Roman"/>
          <w:b/>
          <w:bCs/>
          <w:color w:val="000000" w:themeColor="text1"/>
          <w:sz w:val="20"/>
          <w:szCs w:val="20"/>
          <w:highlight w:val="none"/>
          <w14:textFill>
            <w14:solidFill>
              <w14:schemeClr w14:val="tx1"/>
            </w14:solidFill>
          </w14:textFill>
        </w:rPr>
        <w:t xml:space="preserve"> </w:t>
      </w:r>
    </w:p>
    <w:p w14:paraId="1CC6F20B">
      <w:pPr>
        <w:autoSpaceDE w:val="0"/>
        <w:autoSpaceDN w:val="0"/>
        <w:jc w:val="left"/>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Unified Parkinson's Disease Rating Scale Part III (UPDRS-III). Overall improvement in motor symptoms among Parkinson's disease patients in both groups post-treatment will be determined by comparing UPDRS-III scores.</w:t>
      </w:r>
    </w:p>
    <w:p w14:paraId="17405C47">
      <w:pPr>
        <w:autoSpaceDE w:val="0"/>
        <w:autoSpaceDN w:val="0"/>
        <w:jc w:val="left"/>
        <w:outlineLvl w:val="2"/>
        <w:rPr>
          <w:rFonts w:ascii="Times New Roman" w:hAnsi="Times New Roman" w:cs="Times New Roman"/>
          <w:b/>
          <w:bCs/>
          <w:color w:val="000000" w:themeColor="text1"/>
          <w:sz w:val="20"/>
          <w:szCs w:val="20"/>
          <w:highlight w:val="none"/>
          <w14:textFill>
            <w14:solidFill>
              <w14:schemeClr w14:val="tx1"/>
            </w14:solidFill>
          </w14:textFill>
        </w:rPr>
      </w:pPr>
      <w:bookmarkStart w:id="11" w:name="_Toc4931"/>
      <w:r>
        <w:rPr>
          <w:rFonts w:ascii="Times New Roman" w:hAnsi="Times New Roman" w:cs="Times New Roman"/>
          <w:b/>
          <w:bCs/>
          <w:color w:val="000000" w:themeColor="text1"/>
          <w:sz w:val="20"/>
          <w:szCs w:val="20"/>
          <w:highlight w:val="none"/>
          <w14:textFill>
            <w14:solidFill>
              <w14:schemeClr w14:val="tx1"/>
            </w14:solidFill>
          </w14:textFill>
        </w:rPr>
        <w:t>1.7.2 Secondary Outcomes</w:t>
      </w:r>
      <w:bookmarkEnd w:id="11"/>
    </w:p>
    <w:p w14:paraId="7BBC15DA">
      <w:pPr>
        <w:autoSpaceDE w:val="0"/>
        <w:autoSpaceDN w:val="0"/>
        <w:jc w:val="left"/>
        <w:rPr>
          <w:rFonts w:hint="eastAsia"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(1) Improvement in non-motor symptoms before and after treatment will be assessed using changes in NMSS scores. Changes in quality of daily life before and after treatment will be evaluated using PDQ-39 scores.</w:t>
      </w:r>
    </w:p>
    <w:p w14:paraId="006A5BDE">
      <w:pPr>
        <w:autoSpaceDE w:val="0"/>
        <w:autoSpaceDN w:val="0"/>
        <w:jc w:val="left"/>
        <w:rPr>
          <w:rFonts w:hint="eastAsia"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(2) Changes in motor function before and after treatment will be assessed using deep learning-based markerless motion capture (mocap) and the Synapsys human postural balance system.</w:t>
      </w:r>
    </w:p>
    <w:p w14:paraId="3342651A">
      <w:pPr>
        <w:autoSpaceDE w:val="0"/>
        <w:autoSpaceDN w:val="0"/>
        <w:jc w:val="left"/>
        <w:rPr>
          <w:rFonts w:hint="eastAsia"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(3) Improvements in muscle tone before and after treatment will be assessed by measuring changes in elastic force of affected limb muscles via shear wave elastography (SWE). Changes in substantia nigra hyperechogenicity and cerebral hemodynamics will be assessed using transcranial sonography (TCS).</w:t>
      </w:r>
    </w:p>
    <w:p w14:paraId="0BE19F6D">
      <w:pPr>
        <w:autoSpaceDE w:val="0"/>
        <w:autoSpaceDN w:val="0"/>
        <w:jc w:val="left"/>
        <w:rPr>
          <w:rFonts w:hint="eastAsia"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(4) Differences in standardized brain function and microstructural improvements between the treatment and control groups before and after treatment will be analyzed using resting-state functional MRI (rs-fMRI) and diffusion tensor imaging (DTI). Changes in the substantia nigra and locus coeruleus before and after intervention will be analyzed using susceptibility-weighted imaging (SWI) and neuromelanin-sensitive MRI (NM-MRI). Sciatic and tibial nerve damage will be assessed using multi-parameter quantitative MRI (qMRI).</w:t>
      </w:r>
    </w:p>
    <w:p w14:paraId="6D6BAC50">
      <w:pPr>
        <w:autoSpaceDE w:val="0"/>
        <w:autoSpaceDN w:val="0"/>
        <w:jc w:val="left"/>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(5) Changes in serum levels of SOD, GSH-PX, TNF-α, IL-6, IL-1β, TGF-β1, neuronal α-synuclein monomers and aggregates, peripheral blood mononuclear cell (PBMC) single-cell transcriptomics, and three refined components of neuronal α-synuclein and 5-HT expression levels carried by brain extracellular vesicle subpopulations before and after treatment will be assessed to determine improvements in the patients' internal milieu.</w:t>
      </w:r>
    </w:p>
    <w:p w14:paraId="526BC5B0">
      <w:pPr>
        <w:autoSpaceDE w:val="0"/>
        <w:autoSpaceDN w:val="0"/>
        <w:jc w:val="left"/>
        <w:outlineLvl w:val="2"/>
        <w:rPr>
          <w:rFonts w:ascii="Times New Roman" w:hAnsi="Times New Roman" w:cs="Times New Roman"/>
          <w:b/>
          <w:bCs/>
          <w:color w:val="000000" w:themeColor="text1"/>
          <w:sz w:val="20"/>
          <w:szCs w:val="20"/>
          <w:highlight w:val="none"/>
          <w14:textFill>
            <w14:solidFill>
              <w14:schemeClr w14:val="tx1"/>
            </w14:solidFill>
          </w14:textFill>
        </w:rPr>
      </w:pPr>
      <w:bookmarkStart w:id="12" w:name="_Toc15883"/>
      <w:r>
        <w:rPr>
          <w:rFonts w:ascii="Times New Roman" w:hAnsi="Times New Roman" w:cs="Times New Roman"/>
          <w:b/>
          <w:bCs/>
          <w:color w:val="000000" w:themeColor="text1"/>
          <w:sz w:val="20"/>
          <w:szCs w:val="20"/>
          <w:highlight w:val="none"/>
          <w14:textFill>
            <w14:solidFill>
              <w14:schemeClr w14:val="tx1"/>
            </w14:solidFill>
          </w14:textFill>
        </w:rPr>
        <w:t>1.7.3 Safety Evaluation Criteria</w:t>
      </w:r>
      <w:bookmarkEnd w:id="12"/>
    </w:p>
    <w:p w14:paraId="691AF3C3">
      <w:pPr>
        <w:autoSpaceDE w:val="0"/>
        <w:autoSpaceDN w:val="0"/>
        <w:jc w:val="left"/>
        <w:rPr>
          <w:rFonts w:hint="eastAsia"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Complete blood count, thyroid function, liver function, renal function, adverse events (AE), and serious adverse events (SAE).</w:t>
      </w:r>
    </w:p>
    <w:p w14:paraId="0B8BC815">
      <w:pPr>
        <w:autoSpaceDE w:val="0"/>
        <w:autoSpaceDN w:val="0"/>
        <w:jc w:val="left"/>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If a subject withdraws due to adverse reactions, the reason for withdrawal must be documented and relevant data properly retained. Adverse reactions during the study implementation, including needle syncope, needle breakage, hematoma, infection, their severity, and management approaches, will be recorded and the treatment method evaluated accordingly. For cases discontinued or excluded due to serious adverse events, complete the record form detailing the reason for discontinuation, the date of the last treatment, and the assessment items completed. Cases discontinued due to adverse reactions shall be included in adverse reaction statistical analysis.</w:t>
      </w:r>
    </w:p>
    <w:p w14:paraId="0C878AA0">
      <w:pPr>
        <w:autoSpaceDE w:val="0"/>
        <w:autoSpaceDN w:val="0"/>
        <w:jc w:val="left"/>
        <w:outlineLvl w:val="1"/>
        <w:rPr>
          <w:rFonts w:ascii="Times New Roman" w:hAnsi="Times New Roman" w:cs="Times New Roman"/>
          <w:b/>
          <w:bCs/>
          <w:color w:val="000000" w:themeColor="text1"/>
          <w:sz w:val="20"/>
          <w:szCs w:val="20"/>
          <w:highlight w:val="none"/>
          <w14:textFill>
            <w14:solidFill>
              <w14:schemeClr w14:val="tx1"/>
            </w14:solidFill>
          </w14:textFill>
        </w:rPr>
      </w:pPr>
      <w:bookmarkStart w:id="13" w:name="_Toc3001"/>
      <w:r>
        <w:rPr>
          <w:rFonts w:ascii="Times New Roman" w:hAnsi="Times New Roman" w:cs="Times New Roman"/>
          <w:b/>
          <w:bCs/>
          <w:color w:val="000000" w:themeColor="text1"/>
          <w:sz w:val="20"/>
          <w:szCs w:val="20"/>
          <w:highlight w:val="none"/>
          <w14:textFill>
            <w14:solidFill>
              <w14:schemeClr w14:val="tx1"/>
            </w14:solidFill>
          </w14:textFill>
        </w:rPr>
        <w:t>1.8 Statistical Methods</w:t>
      </w:r>
      <w:bookmarkEnd w:id="13"/>
    </w:p>
    <w:p w14:paraId="46DDCA0E">
      <w:pPr>
        <w:autoSpaceDE w:val="0"/>
        <w:autoSpaceDN w:val="0"/>
        <w:jc w:val="left"/>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Data analysis will be performed using SPSS 24.0 statistical software. All statistical tests will employ two-tailed tests, with P values less than 0.05 indicating statistically significant differences.</w:t>
      </w:r>
    </w:p>
    <w:p w14:paraId="459D6230">
      <w:pPr>
        <w:autoSpaceDE w:val="0"/>
        <w:autoSpaceDN w:val="0"/>
        <w:jc w:val="left"/>
        <w:rPr>
          <w:rFonts w:ascii="Times New Roman" w:hAnsi="Times New Roman" w:cs="Times New Roman"/>
          <w:color w:val="000000" w:themeColor="text1"/>
          <w:sz w:val="20"/>
          <w:szCs w:val="20"/>
          <w:highlight w:val="none"/>
          <w14:textFill>
            <w14:solidFill>
              <w14:schemeClr w14:val="tx1"/>
            </w14:solidFill>
          </w14:textFill>
        </w:rPr>
      </w:pPr>
    </w:p>
    <w:p w14:paraId="41CCA2E1">
      <w:pPr>
        <w:autoSpaceDE w:val="0"/>
        <w:autoSpaceDN w:val="0"/>
        <w:jc w:val="left"/>
        <w:outlineLvl w:val="0"/>
        <w:rPr>
          <w:rFonts w:ascii="Times New Roman" w:hAnsi="Times New Roman" w:cs="Times New Roman"/>
          <w:b/>
          <w:bCs/>
          <w:color w:val="000000" w:themeColor="text1"/>
          <w:sz w:val="24"/>
          <w:szCs w:val="24"/>
          <w:highlight w:val="none"/>
          <w14:textFill>
            <w14:solidFill>
              <w14:schemeClr w14:val="tx1"/>
            </w14:solidFill>
          </w14:textFill>
        </w:rPr>
      </w:pPr>
      <w:bookmarkStart w:id="14" w:name="_Toc10633"/>
      <w:r>
        <w:rPr>
          <w:rFonts w:ascii="Times New Roman" w:hAnsi="Times New Roman" w:cs="Times New Roman"/>
          <w:b/>
          <w:bCs/>
          <w:color w:val="000000" w:themeColor="text1"/>
          <w:sz w:val="24"/>
          <w:szCs w:val="24"/>
          <w:highlight w:val="none"/>
          <w14:textFill>
            <w14:solidFill>
              <w14:schemeClr w14:val="tx1"/>
            </w14:solidFill>
          </w14:textFill>
        </w:rPr>
        <w:t>2.Background</w:t>
      </w:r>
      <w:bookmarkEnd w:id="14"/>
    </w:p>
    <w:p w14:paraId="5A898C7D">
      <w:pPr>
        <w:rPr>
          <w:rFonts w:hint="eastAsia"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Parkinson's disease (PD) is a lifelong progressive neurodegenerative disorder characterized clinically by resting tremor, muscle rigidity, bradykinesia, and postural gait balance disorders, often accompanied by depression, constipation, pain, hyposmia, and sleep disturbances. As the disease progresses, both motor symptoms and non-motor symptoms (NMS) worsen progressively. In later stages, motor complications such as diminished drug response, "on-off" phenomena, and dyskinesias frequently emerge. Patients with advanced PD often experience severe impairment of daily activities due to balance disorders, falls, freezing of gait, dysphagia, and speech difficulties, leading to loss of independence, prolonged bed rest, and significantly diminished quality of life</w:t>
      </w:r>
      <w:r>
        <w:rPr>
          <w:rFonts w:hint="eastAsia" w:ascii="Times New Roman" w:hAnsi="Times New Roman" w:cs="Times New Roman"/>
          <w:color w:val="000000" w:themeColor="text1"/>
          <w:sz w:val="20"/>
          <w:szCs w:val="20"/>
          <w:highlight w:val="none"/>
          <w:vertAlign w:val="superscript"/>
          <w14:textFill>
            <w14:solidFill>
              <w14:schemeClr w14:val="tx1"/>
            </w14:solidFill>
          </w14:textFill>
        </w:rPr>
        <w:t>1</w:t>
      </w:r>
      <w:r>
        <w:rPr>
          <w:rFonts w:hint="eastAsia" w:ascii="Times New Roman" w:hAnsi="Times New Roman" w:cs="Times New Roman"/>
          <w:color w:val="000000" w:themeColor="text1"/>
          <w:sz w:val="20"/>
          <w:szCs w:val="20"/>
          <w:highlight w:val="none"/>
          <w14:textFill>
            <w14:solidFill>
              <w14:schemeClr w14:val="tx1"/>
            </w14:solidFill>
          </w14:textFill>
        </w:rPr>
        <w:t>.According to the Global Burden of Disease Study, neurological disorders are currently the leading cause of disability worldwide, with PD identified as the fastest-growing among them</w:t>
      </w:r>
      <w:r>
        <w:rPr>
          <w:rFonts w:hint="eastAsia" w:ascii="Times New Roman" w:hAnsi="Times New Roman" w:cs="Times New Roman"/>
          <w:color w:val="000000" w:themeColor="text1"/>
          <w:sz w:val="20"/>
          <w:szCs w:val="20"/>
          <w:highlight w:val="none"/>
          <w:vertAlign w:val="superscript"/>
          <w14:textFill>
            <w14:solidFill>
              <w14:schemeClr w14:val="tx1"/>
            </w14:solidFill>
          </w14:textFill>
        </w:rPr>
        <w:t>2</w:t>
      </w:r>
      <w:r>
        <w:rPr>
          <w:rFonts w:hint="eastAsia" w:ascii="Times New Roman" w:hAnsi="Times New Roman" w:cs="Times New Roman"/>
          <w:color w:val="000000" w:themeColor="text1"/>
          <w:sz w:val="20"/>
          <w:szCs w:val="20"/>
          <w:highlight w:val="none"/>
          <w14:textFill>
            <w14:solidFill>
              <w14:schemeClr w14:val="tx1"/>
            </w14:solidFill>
          </w14:textFill>
        </w:rPr>
        <w:t>. With the aging of China's population, the number of PD patients in China is projected to reach 5 million by 2030, accounting for approximately 50% of the global total, imposing substantial economic and psychological burdens on families and society</w:t>
      </w:r>
      <w:r>
        <w:rPr>
          <w:rFonts w:hint="eastAsia" w:ascii="Times New Roman" w:hAnsi="Times New Roman" w:cs="Times New Roman"/>
          <w:color w:val="000000" w:themeColor="text1"/>
          <w:sz w:val="20"/>
          <w:szCs w:val="20"/>
          <w:highlight w:val="none"/>
          <w:vertAlign w:val="superscript"/>
          <w14:textFill>
            <w14:solidFill>
              <w14:schemeClr w14:val="tx1"/>
            </w14:solidFill>
          </w14:textFill>
        </w:rPr>
        <w:t>3</w:t>
      </w:r>
      <w:r>
        <w:rPr>
          <w:rFonts w:hint="eastAsia" w:ascii="Times New Roman" w:hAnsi="Times New Roman" w:cs="Times New Roman"/>
          <w:color w:val="000000" w:themeColor="text1"/>
          <w:sz w:val="20"/>
          <w:szCs w:val="20"/>
          <w:highlight w:val="none"/>
          <w14:textFill>
            <w14:solidFill>
              <w14:schemeClr w14:val="tx1"/>
            </w14:solidFill>
          </w14:textFill>
        </w:rPr>
        <w:t>.</w:t>
      </w:r>
    </w:p>
    <w:p w14:paraId="1797D9D3">
      <w:pPr>
        <w:rPr>
          <w:rFonts w:hint="eastAsia"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The etiology and pathogenesis of PD remain unclear, though it is widely believed that the primary pathological changes involve progressive loss of dopaminergic neurons in the nigrostriatal pathway and the formation of Lewy bodies/Lewy neurites within non-nigral central neurons. PD diagnosis relies primarily on clinical data such as medical history and physical examination, with a high rate of misdiagnosis in early stages. The prevalence of PD in China among individuals over 60 years reaches 1.7%, with a trend toward younger onset in recent years, and a higher prevalence in males than females</w:t>
      </w:r>
      <w:r>
        <w:rPr>
          <w:rFonts w:hint="eastAsia" w:ascii="Times New Roman" w:hAnsi="Times New Roman" w:cs="Times New Roman"/>
          <w:color w:val="000000" w:themeColor="text1"/>
          <w:sz w:val="20"/>
          <w:szCs w:val="20"/>
          <w:highlight w:val="none"/>
          <w:vertAlign w:val="superscript"/>
          <w14:textFill>
            <w14:solidFill>
              <w14:schemeClr w14:val="tx1"/>
            </w14:solidFill>
          </w14:textFill>
        </w:rPr>
        <w:t>4</w:t>
      </w:r>
      <w:r>
        <w:rPr>
          <w:rFonts w:hint="eastAsia" w:ascii="Times New Roman" w:hAnsi="Times New Roman" w:cs="Times New Roman"/>
          <w:color w:val="000000" w:themeColor="text1"/>
          <w:sz w:val="20"/>
          <w:szCs w:val="20"/>
          <w:highlight w:val="none"/>
          <w14:textFill>
            <w14:solidFill>
              <w14:schemeClr w14:val="tx1"/>
            </w14:solidFill>
          </w14:textFill>
        </w:rPr>
        <w:t>. Based on age of onset, PD can be classified as early-onset PD (EOPD, onset age ≤50 years) and late-onset PD (LOPD, onset age &gt;50 years), with EOPD accounting for 5-10% of cases. These two groups demonstrate significant differences in clinical manifestations, genetic characteristics, disease progression rate, response to dopaminergic therapy, and prognosis</w:t>
      </w:r>
      <w:r>
        <w:rPr>
          <w:rFonts w:hint="eastAsia" w:ascii="Times New Roman" w:hAnsi="Times New Roman" w:cs="Times New Roman"/>
          <w:color w:val="000000" w:themeColor="text1"/>
          <w:sz w:val="20"/>
          <w:szCs w:val="20"/>
          <w:highlight w:val="none"/>
          <w:vertAlign w:val="superscript"/>
          <w14:textFill>
            <w14:solidFill>
              <w14:schemeClr w14:val="tx1"/>
            </w14:solidFill>
          </w14:textFill>
        </w:rPr>
        <w:t>5, 6</w:t>
      </w:r>
      <w:r>
        <w:rPr>
          <w:rFonts w:hint="eastAsia" w:ascii="Times New Roman" w:hAnsi="Times New Roman" w:cs="Times New Roman"/>
          <w:color w:val="000000" w:themeColor="text1"/>
          <w:sz w:val="20"/>
          <w:szCs w:val="20"/>
          <w:highlight w:val="none"/>
          <w14:textFill>
            <w14:solidFill>
              <w14:schemeClr w14:val="tx1"/>
            </w14:solidFill>
          </w14:textFill>
        </w:rPr>
        <w:t>. Studies have found that LOPD presents with more typical initial symptoms, with mixed symptoms of tremor, rigidity, and bradykinesia being more common than in EOPD. In contrast, EOPD presents with relatively atypical symptoms and greater clinical heterogeneity, characterized by focal dystonia, higher risk of non-motor symptoms and motor complications, slower progression, longer disease duration, and poorer quality of life</w:t>
      </w:r>
      <w:r>
        <w:rPr>
          <w:rFonts w:hint="eastAsia" w:ascii="Times New Roman" w:hAnsi="Times New Roman" w:cs="Times New Roman"/>
          <w:color w:val="000000" w:themeColor="text1"/>
          <w:sz w:val="20"/>
          <w:szCs w:val="20"/>
          <w:highlight w:val="none"/>
          <w:vertAlign w:val="superscript"/>
          <w14:textFill>
            <w14:solidFill>
              <w14:schemeClr w14:val="tx1"/>
            </w14:solidFill>
          </w14:textFill>
        </w:rPr>
        <w:t>7</w:t>
      </w:r>
      <w:r>
        <w:rPr>
          <w:rFonts w:hint="eastAsia" w:ascii="Times New Roman" w:hAnsi="Times New Roman" w:cs="Times New Roman"/>
          <w:color w:val="000000" w:themeColor="text1"/>
          <w:sz w:val="20"/>
          <w:szCs w:val="20"/>
          <w:highlight w:val="none"/>
          <w14:textFill>
            <w14:solidFill>
              <w14:schemeClr w14:val="tx1"/>
            </w14:solidFill>
          </w14:textFill>
        </w:rPr>
        <w:t>.</w:t>
      </w:r>
    </w:p>
    <w:p w14:paraId="6C15834E">
      <w:pPr>
        <w:rPr>
          <w:rFonts w:hint="eastAsia"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According to the "Criteria for Diagnosis and Efficacy Evaluation of Senile Tremor Syndrome in Traditional Chinese Medicine" formulated in 1991, PD is classified as "tremor syndrome"</w:t>
      </w:r>
      <w:r>
        <w:rPr>
          <w:rFonts w:hint="eastAsia" w:ascii="Times New Roman" w:hAnsi="Times New Roman" w:cs="Times New Roman"/>
          <w:color w:val="000000" w:themeColor="text1"/>
          <w:sz w:val="20"/>
          <w:szCs w:val="20"/>
          <w:highlight w:val="none"/>
          <w:vertAlign w:val="superscript"/>
          <w14:textFill>
            <w14:solidFill>
              <w14:schemeClr w14:val="tx1"/>
            </w14:solidFill>
          </w14:textFill>
        </w:rPr>
        <w:t>8</w:t>
      </w:r>
      <w:r>
        <w:rPr>
          <w:rFonts w:hint="eastAsia" w:ascii="Times New Roman" w:hAnsi="Times New Roman" w:cs="Times New Roman"/>
          <w:color w:val="000000" w:themeColor="text1"/>
          <w:sz w:val="20"/>
          <w:szCs w:val="20"/>
          <w:highlight w:val="none"/>
          <w14:textFill>
            <w14:solidFill>
              <w14:schemeClr w14:val="tx1"/>
            </w14:solidFill>
          </w14:textFill>
        </w:rPr>
        <w:t>. Traditional Chinese Medicine views acupuncture as a distinctive therapeutic modality that unblocks the body's meridians, connects the interior and exterior, circulates qi and blood, and connects the zang-fu organs, thereby achieving a state of yin-yang balance. The acupuncture technique employed in this study ingeniously integrates the characteristics of the long needle, large needle, round-sharp needle, and filiform needle from the nine needles of the Yellow Emperor's Inner Canon, employing the "five needling methods" as the operational technique, and utilizing the zang-fu theory and meridian theory as the diagnostic and therapeutic framework, aiming to combine the disease location, needling technique, and needle selection to achieve targeted treatment. Clinical operation emphasizes "lightness" and "speed" — selecting few but precise acupoints, with gentle manipulation and minimal stimulation; rapid insertion, rapid manipulation, no needle retention, and short treatment courses</w:t>
      </w:r>
      <w:r>
        <w:rPr>
          <w:rFonts w:hint="eastAsia" w:ascii="Times New Roman" w:hAnsi="Times New Roman" w:cs="Times New Roman"/>
          <w:color w:val="000000" w:themeColor="text1"/>
          <w:sz w:val="20"/>
          <w:szCs w:val="20"/>
          <w:highlight w:val="none"/>
          <w:vertAlign w:val="superscript"/>
          <w14:textFill>
            <w14:solidFill>
              <w14:schemeClr w14:val="tx1"/>
            </w14:solidFill>
          </w14:textFill>
        </w:rPr>
        <w:t>9</w:t>
      </w:r>
      <w:r>
        <w:rPr>
          <w:rFonts w:hint="eastAsia" w:ascii="Times New Roman" w:hAnsi="Times New Roman" w:cs="Times New Roman"/>
          <w:color w:val="000000" w:themeColor="text1"/>
          <w:sz w:val="20"/>
          <w:szCs w:val="20"/>
          <w:highlight w:val="none"/>
          <w14:textFill>
            <w14:solidFill>
              <w14:schemeClr w14:val="tx1"/>
            </w14:solidFill>
          </w14:textFill>
        </w:rPr>
        <w:t>. Previous studies have demonstrated that this treatment protocol improves both motor and non-motor symptoms in PD after 4 weeks of treatment</w:t>
      </w:r>
      <w:r>
        <w:rPr>
          <w:rFonts w:hint="eastAsia" w:ascii="Times New Roman" w:hAnsi="Times New Roman" w:cs="Times New Roman"/>
          <w:color w:val="000000" w:themeColor="text1"/>
          <w:sz w:val="20"/>
          <w:szCs w:val="20"/>
          <w:highlight w:val="none"/>
          <w:vertAlign w:val="superscript"/>
          <w14:textFill>
            <w14:solidFill>
              <w14:schemeClr w14:val="tx1"/>
            </w14:solidFill>
          </w14:textFill>
        </w:rPr>
        <w:t>10</w:t>
      </w:r>
      <w:r>
        <w:rPr>
          <w:rFonts w:hint="eastAsia" w:ascii="Times New Roman" w:hAnsi="Times New Roman" w:cs="Times New Roman"/>
          <w:color w:val="000000" w:themeColor="text1"/>
          <w:sz w:val="20"/>
          <w:szCs w:val="20"/>
          <w:highlight w:val="none"/>
          <w14:textFill>
            <w14:solidFill>
              <w14:schemeClr w14:val="tx1"/>
            </w14:solidFill>
          </w14:textFill>
        </w:rPr>
        <w:t>. Clinical experimental studies indicate that acupuncture can mitigate damage to substantia nigra dopaminergic neurons by regulating the body's oxidative stress response, inflammatory response, and α-synuclein levels</w:t>
      </w:r>
      <w:r>
        <w:rPr>
          <w:rFonts w:hint="eastAsia" w:ascii="Times New Roman" w:hAnsi="Times New Roman" w:cs="Times New Roman"/>
          <w:color w:val="000000" w:themeColor="text1"/>
          <w:sz w:val="20"/>
          <w:szCs w:val="20"/>
          <w:highlight w:val="none"/>
          <w:vertAlign w:val="superscript"/>
          <w14:textFill>
            <w14:solidFill>
              <w14:schemeClr w14:val="tx1"/>
            </w14:solidFill>
          </w14:textFill>
        </w:rPr>
        <w:t>11</w:t>
      </w:r>
      <w:r>
        <w:rPr>
          <w:rFonts w:hint="eastAsia" w:ascii="Times New Roman" w:hAnsi="Times New Roman" w:cs="Times New Roman"/>
          <w:color w:val="000000" w:themeColor="text1"/>
          <w:sz w:val="20"/>
          <w:szCs w:val="20"/>
          <w:highlight w:val="none"/>
          <w14:textFill>
            <w14:solidFill>
              <w14:schemeClr w14:val="tx1"/>
            </w14:solidFill>
          </w14:textFill>
        </w:rPr>
        <w:t>. According to reports, acupuncture can modulate cerebellar-thalamo-cortical (CTC) neural pathways to alleviate tremor symptoms in PD patients</w:t>
      </w:r>
      <w:r>
        <w:rPr>
          <w:rFonts w:hint="eastAsia" w:ascii="Times New Roman" w:hAnsi="Times New Roman" w:cs="Times New Roman"/>
          <w:color w:val="000000" w:themeColor="text1"/>
          <w:sz w:val="20"/>
          <w:szCs w:val="20"/>
          <w:highlight w:val="none"/>
          <w:vertAlign w:val="superscript"/>
          <w14:textFill>
            <w14:solidFill>
              <w14:schemeClr w14:val="tx1"/>
            </w14:solidFill>
          </w14:textFill>
        </w:rPr>
        <w:t>12</w:t>
      </w:r>
      <w:r>
        <w:rPr>
          <w:rFonts w:hint="eastAsia" w:ascii="Times New Roman" w:hAnsi="Times New Roman" w:cs="Times New Roman"/>
          <w:color w:val="000000" w:themeColor="text1"/>
          <w:sz w:val="20"/>
          <w:szCs w:val="20"/>
          <w:highlight w:val="none"/>
          <w14:textFill>
            <w14:solidFill>
              <w14:schemeClr w14:val="tx1"/>
            </w14:solidFill>
          </w14:textFill>
        </w:rPr>
        <w:t>. Additionally, acupuncture has been shown to enhance the efficacy of levodopa preparations, reduce the required dosage, and minimize associated adverse reactions</w:t>
      </w:r>
      <w:r>
        <w:rPr>
          <w:rFonts w:hint="eastAsia" w:ascii="Times New Roman" w:hAnsi="Times New Roman" w:cs="Times New Roman"/>
          <w:color w:val="000000" w:themeColor="text1"/>
          <w:sz w:val="20"/>
          <w:szCs w:val="20"/>
          <w:highlight w:val="none"/>
          <w:vertAlign w:val="superscript"/>
          <w14:textFill>
            <w14:solidFill>
              <w14:schemeClr w14:val="tx1"/>
            </w14:solidFill>
          </w14:textFill>
        </w:rPr>
        <w:t>13</w:t>
      </w:r>
      <w:r>
        <w:rPr>
          <w:rFonts w:hint="eastAsia" w:ascii="Times New Roman" w:hAnsi="Times New Roman" w:cs="Times New Roman"/>
          <w:color w:val="000000" w:themeColor="text1"/>
          <w:sz w:val="20"/>
          <w:szCs w:val="20"/>
          <w:highlight w:val="none"/>
          <w14:textFill>
            <w14:solidFill>
              <w14:schemeClr w14:val="tx1"/>
            </w14:solidFill>
          </w14:textFill>
        </w:rPr>
        <w:t>. Therefore, acupuncture treatment achieves the effects of improving PD symptoms, reducing complications, and controlling disease progression. Compared with modern medicine, acupuncture offers significant advantages including remarkable efficacy, high safety, simple operation, broad applicability, and cost-effectiveness, with greater developmental potential in future medicine.</w:t>
      </w:r>
    </w:p>
    <w:p w14:paraId="4F2BE2DB">
      <w:pPr>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Transcranial sonography (TCS) is an emerging non-invasive neuroimaging technique that combines transcranial B-mode ultrasound with Doppler ultrasound, imaging intracranial structures through the temporal and occipital windows while simultaneously detecting hemodynamic features, demonstrating significant potential in the diagnosis and evaluation of PD</w:t>
      </w:r>
      <w:r>
        <w:rPr>
          <w:rFonts w:hint="eastAsia" w:ascii="Times New Roman" w:hAnsi="Times New Roman" w:cs="Times New Roman"/>
          <w:color w:val="000000" w:themeColor="text1"/>
          <w:sz w:val="20"/>
          <w:szCs w:val="20"/>
          <w:highlight w:val="none"/>
          <w:vertAlign w:val="superscript"/>
          <w14:textFill>
            <w14:solidFill>
              <w14:schemeClr w14:val="tx1"/>
            </w14:solidFill>
          </w14:textFill>
        </w:rPr>
        <w:t>14</w:t>
      </w:r>
      <w:r>
        <w:rPr>
          <w:rFonts w:hint="eastAsia" w:ascii="Times New Roman" w:hAnsi="Times New Roman" w:cs="Times New Roman"/>
          <w:color w:val="000000" w:themeColor="text1"/>
          <w:sz w:val="20"/>
          <w:szCs w:val="20"/>
          <w:highlight w:val="none"/>
          <w14:textFill>
            <w14:solidFill>
              <w14:schemeClr w14:val="tx1"/>
            </w14:solidFill>
          </w14:textFill>
        </w:rPr>
        <w:t>. Muscle shear wave elastography (SWE) has also been increasingly applied in the assessment of PD to investigate structural and functional changes in the muscles of PD patients</w:t>
      </w:r>
      <w:r>
        <w:rPr>
          <w:rFonts w:hint="eastAsia" w:ascii="Times New Roman" w:hAnsi="Times New Roman" w:cs="Times New Roman"/>
          <w:color w:val="000000" w:themeColor="text1"/>
          <w:sz w:val="20"/>
          <w:szCs w:val="20"/>
          <w:highlight w:val="none"/>
          <w:vertAlign w:val="superscript"/>
          <w14:textFill>
            <w14:solidFill>
              <w14:schemeClr w14:val="tx1"/>
            </w14:solidFill>
          </w14:textFill>
        </w:rPr>
        <w:t>15</w:t>
      </w:r>
      <w:r>
        <w:rPr>
          <w:rFonts w:hint="eastAsia" w:ascii="Times New Roman" w:hAnsi="Times New Roman" w:cs="Times New Roman"/>
          <w:color w:val="000000" w:themeColor="text1"/>
          <w:sz w:val="20"/>
          <w:szCs w:val="20"/>
          <w:highlight w:val="none"/>
          <w14:textFill>
            <w14:solidFill>
              <w14:schemeClr w14:val="tx1"/>
            </w14:solidFill>
          </w14:textFill>
        </w:rPr>
        <w:t>. Furthermore, recent studies indicate that deep learning-based markerless motion capture (mocap) demonstrates good accuracy in capturing human movement, showing great potential in biomechanical research and promising to become a powerful tool for assessing motor symptoms in Parkinson's disease</w:t>
      </w:r>
      <w:r>
        <w:rPr>
          <w:rFonts w:hint="eastAsia" w:ascii="Times New Roman" w:hAnsi="Times New Roman" w:cs="Times New Roman"/>
          <w:color w:val="000000" w:themeColor="text1"/>
          <w:sz w:val="20"/>
          <w:szCs w:val="20"/>
          <w:highlight w:val="none"/>
          <w:vertAlign w:val="superscript"/>
          <w14:textFill>
            <w14:solidFill>
              <w14:schemeClr w14:val="tx1"/>
            </w14:solidFill>
          </w14:textFill>
        </w:rPr>
        <w:t>16</w:t>
      </w:r>
      <w:r>
        <w:rPr>
          <w:rFonts w:hint="eastAsia" w:ascii="Times New Roman" w:hAnsi="Times New Roman" w:cs="Times New Roman"/>
          <w:color w:val="000000" w:themeColor="text1"/>
          <w:sz w:val="20"/>
          <w:szCs w:val="20"/>
          <w:highlight w:val="none"/>
          <w14:textFill>
            <w14:solidFill>
              <w14:schemeClr w14:val="tx1"/>
            </w14:solidFill>
          </w14:textFill>
        </w:rPr>
        <w:t>. Brain extracellular vesicle technology has received extensive attention in recent years</w:t>
      </w:r>
      <w:r>
        <w:rPr>
          <w:rFonts w:hint="eastAsia" w:ascii="Times New Roman" w:hAnsi="Times New Roman" w:cs="Times New Roman"/>
          <w:color w:val="000000" w:themeColor="text1"/>
          <w:sz w:val="20"/>
          <w:szCs w:val="20"/>
          <w:highlight w:val="none"/>
          <w:vertAlign w:val="superscript"/>
          <w14:textFill>
            <w14:solidFill>
              <w14:schemeClr w14:val="tx1"/>
            </w14:solidFill>
          </w14:textFill>
        </w:rPr>
        <w:t>17</w:t>
      </w:r>
      <w:r>
        <w:rPr>
          <w:rFonts w:hint="eastAsia" w:ascii="Times New Roman" w:hAnsi="Times New Roman" w:cs="Times New Roman"/>
          <w:color w:val="000000" w:themeColor="text1"/>
          <w:sz w:val="20"/>
          <w:szCs w:val="20"/>
          <w:highlight w:val="none"/>
          <w14:textFill>
            <w14:solidFill>
              <w14:schemeClr w14:val="tx1"/>
            </w14:solidFill>
          </w14:textFill>
        </w:rPr>
        <w:t>. Studies show that total α-synuclein carried by brain extracellular vesicles has higher diagnostic accuracy for PD than free α-synuclein and total vesicle-carried α-synuclein</w:t>
      </w:r>
      <w:r>
        <w:rPr>
          <w:rFonts w:hint="eastAsia" w:ascii="Times New Roman" w:hAnsi="Times New Roman" w:cs="Times New Roman"/>
          <w:color w:val="000000" w:themeColor="text1"/>
          <w:sz w:val="20"/>
          <w:szCs w:val="20"/>
          <w:highlight w:val="none"/>
          <w:vertAlign w:val="superscript"/>
          <w14:textFill>
            <w14:solidFill>
              <w14:schemeClr w14:val="tx1"/>
            </w14:solidFill>
          </w14:textFill>
        </w:rPr>
        <w:t>18</w:t>
      </w:r>
      <w:r>
        <w:rPr>
          <w:rFonts w:hint="eastAsia" w:ascii="Times New Roman" w:hAnsi="Times New Roman" w:cs="Times New Roman"/>
          <w:color w:val="000000" w:themeColor="text1"/>
          <w:sz w:val="20"/>
          <w:szCs w:val="20"/>
          <w:highlight w:val="none"/>
          <w14:textFill>
            <w14:solidFill>
              <w14:schemeClr w14:val="tx1"/>
            </w14:solidFill>
          </w14:textFill>
        </w:rPr>
        <w:t>. Current diagnostic accuracy using mixed populations of extracellular vesicles for PD can reach AUC 0.75</w:t>
      </w:r>
      <w:r>
        <w:rPr>
          <w:rFonts w:hint="eastAsia" w:ascii="Times New Roman" w:hAnsi="Times New Roman" w:cs="Times New Roman"/>
          <w:color w:val="000000" w:themeColor="text1"/>
          <w:sz w:val="20"/>
          <w:szCs w:val="20"/>
          <w:highlight w:val="none"/>
          <w:vertAlign w:val="superscript"/>
          <w14:textFill>
            <w14:solidFill>
              <w14:schemeClr w14:val="tx1"/>
            </w14:solidFill>
          </w14:textFill>
        </w:rPr>
        <w:t>19</w:t>
      </w:r>
      <w:r>
        <w:rPr>
          <w:rFonts w:hint="eastAsia" w:ascii="Times New Roman" w:hAnsi="Times New Roman" w:cs="Times New Roman"/>
          <w:color w:val="000000" w:themeColor="text1"/>
          <w:sz w:val="20"/>
          <w:szCs w:val="20"/>
          <w:highlight w:val="none"/>
          <w14:textFill>
            <w14:solidFill>
              <w14:schemeClr w14:val="tx1"/>
            </w14:solidFill>
          </w14:textFill>
        </w:rPr>
        <w:t>, but still cannot meet clinical needs. Investigating specific biomarkers carried by brain extracellular vesicles has high value and potential for discovery.</w:t>
      </w:r>
    </w:p>
    <w:p w14:paraId="6FFAC3FC">
      <w:pPr>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This protocol provides new research approaches for the diagnosis and treatment of PD. Using disposable sterile acupoint needles (Chongqing Medical Device Approval: 20202200072), acupoints are selected according to meridian differentiation based on the motor and non-motor symptom characteristics of PD, with needling applied according to the method, to determine the optimal treatment plan.</w:t>
      </w:r>
    </w:p>
    <w:p w14:paraId="6E63D73C">
      <w:pPr>
        <w:autoSpaceDE w:val="0"/>
        <w:autoSpaceDN w:val="0"/>
        <w:jc w:val="left"/>
        <w:outlineLvl w:val="0"/>
        <w:rPr>
          <w:rFonts w:ascii="Times New Roman" w:hAnsi="Times New Roman" w:cs="Times New Roman"/>
          <w:b/>
          <w:bCs/>
          <w:color w:val="000000" w:themeColor="text1"/>
          <w:sz w:val="24"/>
          <w:szCs w:val="24"/>
          <w:highlight w:val="none"/>
          <w14:textFill>
            <w14:solidFill>
              <w14:schemeClr w14:val="tx1"/>
            </w14:solidFill>
          </w14:textFill>
        </w:rPr>
      </w:pPr>
      <w:bookmarkStart w:id="15" w:name="_Toc10429"/>
      <w:r>
        <w:rPr>
          <w:rFonts w:ascii="Times New Roman" w:hAnsi="Times New Roman" w:cs="Times New Roman"/>
          <w:b/>
          <w:bCs/>
          <w:color w:val="000000" w:themeColor="text1"/>
          <w:sz w:val="24"/>
          <w:szCs w:val="24"/>
          <w:highlight w:val="none"/>
          <w14:textFill>
            <w14:solidFill>
              <w14:schemeClr w14:val="tx1"/>
            </w14:solidFill>
          </w14:textFill>
        </w:rPr>
        <w:t>3.Trial Objective</w:t>
      </w:r>
      <w:bookmarkEnd w:id="15"/>
    </w:p>
    <w:p w14:paraId="7E44E48B">
      <w:pPr>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To investigate the clinical efficacy of acupuncture treatment in patients with Parkinson's disease.</w:t>
      </w:r>
    </w:p>
    <w:p w14:paraId="3400A122">
      <w:pPr>
        <w:autoSpaceDE w:val="0"/>
        <w:autoSpaceDN w:val="0"/>
        <w:jc w:val="left"/>
        <w:outlineLvl w:val="0"/>
        <w:rPr>
          <w:rFonts w:ascii="Times New Roman" w:hAnsi="Times New Roman" w:cs="Times New Roman"/>
          <w:b/>
          <w:bCs/>
          <w:color w:val="000000" w:themeColor="text1"/>
          <w:sz w:val="24"/>
          <w:szCs w:val="24"/>
          <w:highlight w:val="none"/>
          <w14:textFill>
            <w14:solidFill>
              <w14:schemeClr w14:val="tx1"/>
            </w14:solidFill>
          </w14:textFill>
        </w:rPr>
      </w:pPr>
      <w:bookmarkStart w:id="16" w:name="_Toc6567"/>
      <w:r>
        <w:rPr>
          <w:rFonts w:ascii="Times New Roman" w:hAnsi="Times New Roman" w:cs="Times New Roman"/>
          <w:b/>
          <w:bCs/>
          <w:color w:val="000000" w:themeColor="text1"/>
          <w:sz w:val="24"/>
          <w:szCs w:val="24"/>
          <w:highlight w:val="none"/>
          <w14:textFill>
            <w14:solidFill>
              <w14:schemeClr w14:val="tx1"/>
            </w14:solidFill>
          </w14:textFill>
        </w:rPr>
        <w:t>4.Trial Design</w:t>
      </w:r>
      <w:bookmarkEnd w:id="16"/>
    </w:p>
    <w:p w14:paraId="173259EA">
      <w:pPr>
        <w:outlineLvl w:val="1"/>
        <w:rPr>
          <w:rFonts w:ascii="Times New Roman" w:hAnsi="Times New Roman" w:cs="Times New Roman"/>
          <w:b/>
          <w:bCs/>
          <w:color w:val="000000" w:themeColor="text1"/>
          <w:sz w:val="20"/>
          <w:szCs w:val="20"/>
          <w:highlight w:val="none"/>
          <w14:textFill>
            <w14:solidFill>
              <w14:schemeClr w14:val="tx1"/>
            </w14:solidFill>
          </w14:textFill>
        </w:rPr>
      </w:pPr>
      <w:bookmarkStart w:id="17" w:name="_Toc21001"/>
      <w:r>
        <w:rPr>
          <w:rFonts w:ascii="Times New Roman" w:hAnsi="Times New Roman" w:cs="Times New Roman"/>
          <w:b/>
          <w:bCs/>
          <w:color w:val="000000" w:themeColor="text1"/>
          <w:sz w:val="20"/>
          <w:szCs w:val="20"/>
          <w:highlight w:val="none"/>
          <w14:textFill>
            <w14:solidFill>
              <w14:schemeClr w14:val="tx1"/>
            </w14:solidFill>
          </w14:textFill>
        </w:rPr>
        <w:t>4.1 Trial Type</w:t>
      </w:r>
      <w:bookmarkEnd w:id="17"/>
    </w:p>
    <w:p w14:paraId="01B02135">
      <w:pPr>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This is a prospective, randomized, parallel-group, interventional trial.</w:t>
      </w:r>
    </w:p>
    <w:p w14:paraId="5CF68E66">
      <w:pPr>
        <w:outlineLvl w:val="1"/>
        <w:rPr>
          <w:rFonts w:ascii="Times New Roman" w:hAnsi="Times New Roman" w:cs="Times New Roman"/>
          <w:b/>
          <w:bCs/>
          <w:color w:val="000000" w:themeColor="text1"/>
          <w:sz w:val="20"/>
          <w:szCs w:val="20"/>
          <w:highlight w:val="none"/>
          <w14:textFill>
            <w14:solidFill>
              <w14:schemeClr w14:val="tx1"/>
            </w14:solidFill>
          </w14:textFill>
        </w:rPr>
      </w:pPr>
      <w:bookmarkStart w:id="18" w:name="_Toc17272"/>
      <w:r>
        <w:rPr>
          <w:rFonts w:ascii="Times New Roman" w:hAnsi="Times New Roman" w:cs="Times New Roman"/>
          <w:b/>
          <w:bCs/>
          <w:color w:val="000000" w:themeColor="text1"/>
          <w:sz w:val="20"/>
          <w:szCs w:val="20"/>
          <w:highlight w:val="none"/>
          <w14:textFill>
            <w14:solidFill>
              <w14:schemeClr w14:val="tx1"/>
            </w14:solidFill>
          </w14:textFill>
        </w:rPr>
        <w:t>4.2 Randomization and Grouping Method</w:t>
      </w:r>
      <w:bookmarkEnd w:id="18"/>
    </w:p>
    <w:p w14:paraId="6C1604EA">
      <w:pPr>
        <w:rPr>
          <w:rFonts w:hint="eastAsia"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 xml:space="preserve">Subjects meeting the inclusion and exclusion criteria will be assigned using a randomized allocation method. A total of </w:t>
      </w:r>
      <w:r>
        <w:rPr>
          <w:rFonts w:hint="eastAsia" w:ascii="Times New Roman" w:hAnsi="Times New Roman" w:cs="Times New Roman"/>
          <w:color w:val="000000" w:themeColor="text1"/>
          <w:sz w:val="20"/>
          <w:szCs w:val="20"/>
          <w:highlight w:val="none"/>
          <w:lang w:val="en-US" w:eastAsia="zh-CN"/>
          <w14:textFill>
            <w14:solidFill>
              <w14:schemeClr w14:val="tx1"/>
            </w14:solidFill>
          </w14:textFill>
        </w:rPr>
        <w:t>58</w:t>
      </w:r>
      <w:r>
        <w:rPr>
          <w:rFonts w:hint="eastAsia" w:ascii="Times New Roman" w:hAnsi="Times New Roman" w:cs="Times New Roman"/>
          <w:color w:val="000000" w:themeColor="text1"/>
          <w:sz w:val="20"/>
          <w:szCs w:val="20"/>
          <w:highlight w:val="none"/>
          <w14:textFill>
            <w14:solidFill>
              <w14:schemeClr w14:val="tx1"/>
            </w14:solidFill>
          </w14:textFill>
        </w:rPr>
        <w:t xml:space="preserve"> eligible subjects will be randomly assigned in a 1:1 ratio to either the acupuncture group or the sham acupuncture group, with </w:t>
      </w:r>
      <w:r>
        <w:rPr>
          <w:rFonts w:hint="eastAsia" w:ascii="Times New Roman" w:hAnsi="Times New Roman" w:cs="Times New Roman"/>
          <w:color w:val="000000" w:themeColor="text1"/>
          <w:sz w:val="20"/>
          <w:szCs w:val="20"/>
          <w:highlight w:val="none"/>
          <w:lang w:val="en-US" w:eastAsia="zh-CN"/>
          <w14:textFill>
            <w14:solidFill>
              <w14:schemeClr w14:val="tx1"/>
            </w14:solidFill>
          </w14:textFill>
        </w:rPr>
        <w:t>29</w:t>
      </w:r>
      <w:r>
        <w:rPr>
          <w:rFonts w:hint="eastAsia" w:ascii="Times New Roman" w:hAnsi="Times New Roman" w:cs="Times New Roman"/>
          <w:color w:val="000000" w:themeColor="text1"/>
          <w:sz w:val="20"/>
          <w:szCs w:val="20"/>
          <w:highlight w:val="none"/>
          <w14:textFill>
            <w14:solidFill>
              <w14:schemeClr w14:val="tx1"/>
            </w14:solidFill>
          </w14:textFill>
        </w:rPr>
        <w:t xml:space="preserve"> subjects in each group. Randomization will be performed using random number generation via a central randomization system with block randomization. The central randomization system will automatically assign patients to groups. The development and execution of the randomization system will be completed by personnel from the Clinical Research and Data Center of Guangzhou University of Chinese Medicine. Allocation concealment and implementation: When the researcher confirms an eligible case, an application will be submitted to the central randomization system, which will automatically assign group information and send it to the researcher. The researcher will then assign the intervention to the subject based on the group information.</w:t>
      </w:r>
    </w:p>
    <w:p w14:paraId="79C1B5F8">
      <w:pPr>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Additionally, 46 healthy controls matched for age and sex with the Parkinson's disease patients will be recruited to provide baseline ultrasound and MRI data.</w:t>
      </w:r>
    </w:p>
    <w:p w14:paraId="176EF6EA">
      <w:pPr>
        <w:outlineLvl w:val="1"/>
        <w:rPr>
          <w:rFonts w:ascii="Times New Roman" w:hAnsi="Times New Roman" w:cs="Times New Roman"/>
          <w:b/>
          <w:bCs/>
          <w:color w:val="000000" w:themeColor="text1"/>
          <w:sz w:val="20"/>
          <w:szCs w:val="20"/>
          <w:highlight w:val="none"/>
          <w14:textFill>
            <w14:solidFill>
              <w14:schemeClr w14:val="tx1"/>
            </w14:solidFill>
          </w14:textFill>
        </w:rPr>
      </w:pPr>
      <w:bookmarkStart w:id="19" w:name="_Toc11163"/>
      <w:r>
        <w:rPr>
          <w:rFonts w:ascii="Times New Roman" w:hAnsi="Times New Roman" w:cs="Times New Roman"/>
          <w:b/>
          <w:bCs/>
          <w:color w:val="000000" w:themeColor="text1"/>
          <w:sz w:val="20"/>
          <w:szCs w:val="20"/>
          <w:highlight w:val="none"/>
          <w14:textFill>
            <w14:solidFill>
              <w14:schemeClr w14:val="tx1"/>
            </w14:solidFill>
          </w14:textFill>
        </w:rPr>
        <w:t>4.3 Blinding</w:t>
      </w:r>
      <w:bookmarkEnd w:id="19"/>
    </w:p>
    <w:p w14:paraId="4478E1C3">
      <w:pPr>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Blinding will be implemented for patients, outcome assessors, and data analysts. Personnel responsible for efficacy assessment will be third-party individuals who remain unaware of patient groupings. A primary blind will be established for the statistical database, preventing statisticians from knowing specific group assignments. All procedures will be conducted in accordance with Standard Operating Procedures (SOP). At study completion, physicians and patients will undergo blinding assessment.</w:t>
      </w:r>
    </w:p>
    <w:p w14:paraId="6DFE4456">
      <w:pPr>
        <w:outlineLvl w:val="1"/>
        <w:rPr>
          <w:rFonts w:ascii="Times New Roman" w:hAnsi="Times New Roman" w:cs="Times New Roman"/>
          <w:b/>
          <w:bCs/>
          <w:color w:val="000000" w:themeColor="text1"/>
          <w:sz w:val="20"/>
          <w:szCs w:val="20"/>
          <w:highlight w:val="none"/>
          <w14:textFill>
            <w14:solidFill>
              <w14:schemeClr w14:val="tx1"/>
            </w14:solidFill>
          </w14:textFill>
        </w:rPr>
      </w:pPr>
      <w:bookmarkStart w:id="20" w:name="_Toc22864"/>
      <w:r>
        <w:rPr>
          <w:rFonts w:ascii="Times New Roman" w:hAnsi="Times New Roman" w:cs="Times New Roman"/>
          <w:b/>
          <w:bCs/>
          <w:color w:val="000000" w:themeColor="text1"/>
          <w:sz w:val="20"/>
          <w:szCs w:val="20"/>
          <w:highlight w:val="none"/>
          <w14:textFill>
            <w14:solidFill>
              <w14:schemeClr w14:val="tx1"/>
            </w14:solidFill>
          </w14:textFill>
        </w:rPr>
        <w:t>4.4 Trail Center</w:t>
      </w:r>
      <w:bookmarkEnd w:id="20"/>
    </w:p>
    <w:p w14:paraId="4E90974B">
      <w:pP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The First Affiliated Hospital of Guangzhou University of Chinese Medicine.</w:t>
      </w:r>
    </w:p>
    <w:p w14:paraId="1C09026C">
      <w:pPr>
        <w:outlineLvl w:val="1"/>
        <w:rPr>
          <w:rFonts w:ascii="Times New Roman" w:hAnsi="Times New Roman" w:cs="Times New Roman"/>
          <w:b/>
          <w:bCs/>
          <w:color w:val="000000" w:themeColor="text1"/>
          <w:sz w:val="20"/>
          <w:szCs w:val="20"/>
          <w:highlight w:val="none"/>
          <w14:textFill>
            <w14:solidFill>
              <w14:schemeClr w14:val="tx1"/>
            </w14:solidFill>
          </w14:textFill>
        </w:rPr>
      </w:pPr>
      <w:bookmarkStart w:id="21" w:name="_Toc2948"/>
      <w:r>
        <w:rPr>
          <w:rFonts w:ascii="Times New Roman" w:hAnsi="Times New Roman" w:cs="Times New Roman"/>
          <w:b/>
          <w:bCs/>
          <w:color w:val="000000" w:themeColor="text1"/>
          <w:sz w:val="20"/>
          <w:szCs w:val="20"/>
          <w:highlight w:val="none"/>
          <w14:textFill>
            <w14:solidFill>
              <w14:schemeClr w14:val="tx1"/>
            </w14:solidFill>
          </w14:textFill>
        </w:rPr>
        <w:t>4.5 Sample Size Calculation</w:t>
      </w:r>
      <w:bookmarkEnd w:id="21"/>
    </w:p>
    <w:p w14:paraId="20AEAB79">
      <w:pPr>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Based on the team's preliminary experimental results: Group A (acupuncture + baseline medication) showed a change in UPDRS Part III scores of 14 ± 9.94 before and after treatment; Group B (sham acupuncture + baseline medication) showed a change of 2.84 ± 3.08. With a 1:1 sample ratio, power (1-β) = 0.9, α = 0.05, using PASS 15.0 software (NCSS, LLC. Kaysville, Utah, USA) for calculation with Multiple Comparisons (All Pairs - Tukey Kramer), and accounting for a 20% dropout rate, a total of 58 subjects are required across both groups. An independent healthy control group (n=46) will be established to provide normal reference values for baseline ultrasound and MRI assessments, with no dropout rate considered.</w:t>
      </w:r>
    </w:p>
    <w:p w14:paraId="67F50A4F">
      <w:pPr>
        <w:jc w:val="center"/>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eastAsia="宋体" w:cs="Times New Roman"/>
          <w:color w:val="000000"/>
          <w:kern w:val="2"/>
          <w:sz w:val="22"/>
          <w:szCs w:val="22"/>
          <w:shd w:val="clear" w:color="auto" w:fill="auto"/>
          <w:lang w:val="en-US" w:eastAsia="zh-CN" w:bidi="ar-SA"/>
        </w:rPr>
        <w:drawing>
          <wp:inline distT="0" distB="0" distL="114300" distR="114300">
            <wp:extent cx="6028690" cy="1009650"/>
            <wp:effectExtent l="0" t="0" r="635" b="0"/>
            <wp:docPr id="42" name="图片 1" descr="1730384943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 descr="1730384943909"/>
                    <pic:cNvPicPr>
                      <a:picLocks noChangeAspect="1"/>
                    </pic:cNvPicPr>
                  </pic:nvPicPr>
                  <pic:blipFill>
                    <a:blip r:embed="rId5"/>
                    <a:stretch>
                      <a:fillRect/>
                    </a:stretch>
                  </pic:blipFill>
                  <pic:spPr>
                    <a:xfrm>
                      <a:off x="0" y="0"/>
                      <a:ext cx="6028690" cy="1009650"/>
                    </a:xfrm>
                    <a:prstGeom prst="rect">
                      <a:avLst/>
                    </a:prstGeom>
                    <a:noFill/>
                    <a:ln>
                      <a:noFill/>
                    </a:ln>
                  </pic:spPr>
                </pic:pic>
              </a:graphicData>
            </a:graphic>
          </wp:inline>
        </w:drawing>
      </w:r>
    </w:p>
    <w:p w14:paraId="3E99723C">
      <w:pPr>
        <w:jc w:val="left"/>
        <w:rPr>
          <w:rFonts w:ascii="Arial" w:hAnsi="Arial" w:cs="Arial"/>
          <w:b/>
          <w:bCs/>
          <w:color w:val="000000" w:themeColor="text1"/>
          <w:sz w:val="20"/>
          <w:szCs w:val="20"/>
          <w:highlight w:val="none"/>
          <w14:textFill>
            <w14:solidFill>
              <w14:schemeClr w14:val="tx1"/>
            </w14:solidFill>
          </w14:textFill>
        </w:rPr>
      </w:pPr>
      <w:r>
        <w:rPr>
          <w:rFonts w:ascii="Arial" w:hAnsi="Arial" w:cs="Arial"/>
          <w:b/>
          <w:bCs/>
          <w:color w:val="000000" w:themeColor="text1"/>
          <w:sz w:val="20"/>
          <w:szCs w:val="20"/>
          <w:highlight w:val="none"/>
          <w14:textFill>
            <w14:solidFill>
              <w14:schemeClr w14:val="tx1"/>
            </w14:solidFill>
          </w14:textFill>
        </w:rPr>
        <w:t>Fig 1 Sample Size Calculation</w:t>
      </w:r>
    </w:p>
    <w:p w14:paraId="1FC0331A">
      <w:pPr>
        <w:outlineLvl w:val="1"/>
        <w:rPr>
          <w:rFonts w:ascii="Times New Roman" w:hAnsi="Times New Roman" w:cs="Times New Roman"/>
          <w:b/>
          <w:bCs/>
          <w:color w:val="000000" w:themeColor="text1"/>
          <w:sz w:val="20"/>
          <w:szCs w:val="20"/>
          <w:highlight w:val="none"/>
          <w14:textFill>
            <w14:solidFill>
              <w14:schemeClr w14:val="tx1"/>
            </w14:solidFill>
          </w14:textFill>
        </w:rPr>
      </w:pPr>
    </w:p>
    <w:p w14:paraId="2B7534FA">
      <w:pPr>
        <w:outlineLvl w:val="1"/>
        <w:rPr>
          <w:rFonts w:ascii="Times New Roman" w:hAnsi="Times New Roman" w:cs="Times New Roman"/>
          <w:b/>
          <w:bCs/>
          <w:color w:val="000000" w:themeColor="text1"/>
          <w:sz w:val="20"/>
          <w:szCs w:val="20"/>
          <w:highlight w:val="none"/>
          <w14:textFill>
            <w14:solidFill>
              <w14:schemeClr w14:val="tx1"/>
            </w14:solidFill>
          </w14:textFill>
        </w:rPr>
        <w:sectPr>
          <w:pgSz w:w="11906" w:h="16838"/>
          <w:pgMar w:top="1440" w:right="1080" w:bottom="1440" w:left="1080" w:header="851" w:footer="992" w:gutter="0"/>
          <w:cols w:space="720" w:num="1"/>
          <w:docGrid w:type="lines" w:linePitch="312" w:charSpace="0"/>
        </w:sectPr>
      </w:pPr>
    </w:p>
    <w:p w14:paraId="359A6F29">
      <w:pPr>
        <w:autoSpaceDE w:val="0"/>
        <w:autoSpaceDN w:val="0"/>
        <w:jc w:val="left"/>
        <w:outlineLvl w:val="0"/>
        <w:rPr>
          <w:rFonts w:ascii="Times New Roman" w:hAnsi="Times New Roman" w:cs="Times New Roman"/>
          <w:b/>
          <w:bCs/>
          <w:color w:val="000000" w:themeColor="text1"/>
          <w:sz w:val="24"/>
          <w:szCs w:val="24"/>
          <w:highlight w:val="none"/>
          <w14:textFill>
            <w14:solidFill>
              <w14:schemeClr w14:val="tx1"/>
            </w14:solidFill>
          </w14:textFill>
        </w:rPr>
      </w:pPr>
      <w:bookmarkStart w:id="22" w:name="_Toc14820"/>
      <w:r>
        <w:rPr>
          <w:rFonts w:ascii="Times New Roman" w:hAnsi="Times New Roman" w:cs="Times New Roman"/>
          <w:b/>
          <w:bCs/>
          <w:color w:val="000000" w:themeColor="text1"/>
          <w:sz w:val="24"/>
          <w:szCs w:val="24"/>
          <w:highlight w:val="none"/>
          <w14:textFill>
            <w14:solidFill>
              <w14:schemeClr w14:val="tx1"/>
            </w14:solidFill>
          </w14:textFill>
        </w:rPr>
        <w:t>5. Patients</w:t>
      </w:r>
      <w:bookmarkEnd w:id="22"/>
    </w:p>
    <w:p w14:paraId="00A7350A">
      <w:pPr>
        <w:autoSpaceDE w:val="0"/>
        <w:autoSpaceDN w:val="0"/>
        <w:jc w:val="left"/>
        <w:outlineLvl w:val="1"/>
        <w:rPr>
          <w:rFonts w:ascii="Times New Roman" w:hAnsi="Times New Roman" w:cs="Times New Roman"/>
          <w:b/>
          <w:bCs/>
          <w:color w:val="000000" w:themeColor="text1"/>
          <w:sz w:val="20"/>
          <w:szCs w:val="20"/>
          <w:highlight w:val="none"/>
          <w14:textFill>
            <w14:solidFill>
              <w14:schemeClr w14:val="tx1"/>
            </w14:solidFill>
          </w14:textFill>
        </w:rPr>
      </w:pPr>
      <w:bookmarkStart w:id="23" w:name="_Toc15099"/>
      <w:r>
        <w:rPr>
          <w:rFonts w:ascii="Times New Roman" w:hAnsi="Times New Roman" w:cs="Times New Roman"/>
          <w:b/>
          <w:bCs/>
          <w:color w:val="000000" w:themeColor="text1"/>
          <w:sz w:val="20"/>
          <w:szCs w:val="20"/>
          <w:highlight w:val="none"/>
          <w14:textFill>
            <w14:solidFill>
              <w14:schemeClr w14:val="tx1"/>
            </w14:solidFill>
          </w14:textFill>
        </w:rPr>
        <w:t>5.1 Inclusion Criteria</w:t>
      </w:r>
      <w:bookmarkEnd w:id="23"/>
    </w:p>
    <w:p w14:paraId="10A11B16">
      <w:pPr>
        <w:autoSpaceDE w:val="0"/>
        <w:autoSpaceDN w:val="0"/>
        <w:jc w:val="left"/>
        <w:rPr>
          <w:rFonts w:hint="eastAsia"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(1) Patients diagnosed with Parkinson's disease according to Western medical diagnostic criteria;</w:t>
      </w:r>
    </w:p>
    <w:p w14:paraId="3153DC72">
      <w:pPr>
        <w:autoSpaceDE w:val="0"/>
        <w:autoSpaceDN w:val="0"/>
        <w:jc w:val="left"/>
        <w:rPr>
          <w:rFonts w:hint="eastAsia"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(2) Aged between 25 and 80 years;</w:t>
      </w:r>
    </w:p>
    <w:p w14:paraId="2ACD88E0">
      <w:pPr>
        <w:autoSpaceDE w:val="0"/>
        <w:autoSpaceDN w:val="0"/>
        <w:jc w:val="left"/>
        <w:rPr>
          <w:rFonts w:hint="eastAsia"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(3) Hoehn &amp; Yahr stage I-IV;</w:t>
      </w:r>
    </w:p>
    <w:p w14:paraId="4B1B104D">
      <w:pPr>
        <w:autoSpaceDE w:val="0"/>
        <w:autoSpaceDN w:val="0"/>
        <w:jc w:val="left"/>
        <w:rPr>
          <w:rFonts w:hint="eastAsia"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(4) Alert consciousness, stable vital signs, no significant cognitive impairment, and no significant hearing impairment;</w:t>
      </w:r>
    </w:p>
    <w:p w14:paraId="29AA7C81">
      <w:pPr>
        <w:autoSpaceDE w:val="0"/>
        <w:autoSpaceDN w:val="0"/>
        <w:jc w:val="left"/>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(5) Signed written informed consent.</w:t>
      </w:r>
      <w:r>
        <w:rPr>
          <w:rFonts w:ascii="Times New Roman" w:hAnsi="Times New Roman" w:cs="Times New Roman"/>
          <w:color w:val="000000" w:themeColor="text1"/>
          <w:sz w:val="20"/>
          <w:szCs w:val="20"/>
          <w:highlight w:val="none"/>
          <w14:textFill>
            <w14:solidFill>
              <w14:schemeClr w14:val="tx1"/>
            </w14:solidFill>
          </w14:textFill>
        </w:rPr>
        <w:t>.</w:t>
      </w:r>
    </w:p>
    <w:p w14:paraId="0C77195D">
      <w:pPr>
        <w:autoSpaceDE w:val="0"/>
        <w:autoSpaceDN w:val="0"/>
        <w:jc w:val="left"/>
        <w:outlineLvl w:val="1"/>
        <w:rPr>
          <w:rFonts w:ascii="Times New Roman" w:hAnsi="Times New Roman" w:cs="Times New Roman"/>
          <w:b/>
          <w:bCs/>
          <w:color w:val="000000" w:themeColor="text1"/>
          <w:sz w:val="20"/>
          <w:szCs w:val="20"/>
          <w:highlight w:val="none"/>
          <w14:textFill>
            <w14:solidFill>
              <w14:schemeClr w14:val="tx1"/>
            </w14:solidFill>
          </w14:textFill>
        </w:rPr>
      </w:pPr>
      <w:bookmarkStart w:id="24" w:name="_Toc16764"/>
      <w:r>
        <w:rPr>
          <w:rFonts w:ascii="Times New Roman" w:hAnsi="Times New Roman" w:cs="Times New Roman"/>
          <w:b/>
          <w:bCs/>
          <w:color w:val="000000" w:themeColor="text1"/>
          <w:sz w:val="20"/>
          <w:szCs w:val="20"/>
          <w:highlight w:val="none"/>
          <w14:textFill>
            <w14:solidFill>
              <w14:schemeClr w14:val="tx1"/>
            </w14:solidFill>
          </w14:textFill>
        </w:rPr>
        <w:t>5.2 Exclusion Criteria</w:t>
      </w:r>
      <w:bookmarkEnd w:id="24"/>
    </w:p>
    <w:p w14:paraId="245308D9">
      <w:pPr>
        <w:autoSpaceDE w:val="0"/>
        <w:autoSpaceDN w:val="0"/>
        <w:jc w:val="left"/>
        <w:rPr>
          <w:rFonts w:hint="eastAsia"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(1) Patients with Parkinsonian syndromes (e.g., vascular, drug-induced, toxic) or parkinsonism-plus syndromes (e.g., progressive supranuclear palsy, multiple system atrophy, dementia with Lewy bodies, corticobasal degeneration);</w:t>
      </w:r>
    </w:p>
    <w:p w14:paraId="2624C5D6">
      <w:pPr>
        <w:autoSpaceDE w:val="0"/>
        <w:autoSpaceDN w:val="0"/>
        <w:jc w:val="left"/>
        <w:rPr>
          <w:rFonts w:hint="eastAsia"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(2) Patients with significant comorbid medical conditions, such as severe hepatic or renal impairment, hematological diseases, active malignancy, uncontrolled endocrine disorders, or chronic pain conditions;</w:t>
      </w:r>
    </w:p>
    <w:p w14:paraId="2C0BEE5A">
      <w:pPr>
        <w:autoSpaceDE w:val="0"/>
        <w:autoSpaceDN w:val="0"/>
        <w:jc w:val="left"/>
        <w:rPr>
          <w:rFonts w:hint="eastAsia"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(3) Participation in any other interventional clinical trial (investigational drugs or acupuncture);</w:t>
      </w:r>
    </w:p>
    <w:p w14:paraId="07DC2792">
      <w:pPr>
        <w:autoSpaceDE w:val="0"/>
        <w:autoSpaceDN w:val="0"/>
        <w:jc w:val="left"/>
        <w:rPr>
          <w:rFonts w:hint="eastAsia"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(4) Presence of psychiatric disorders;</w:t>
      </w:r>
    </w:p>
    <w:p w14:paraId="75438C23">
      <w:pPr>
        <w:autoSpaceDE w:val="0"/>
        <w:autoSpaceDN w:val="0"/>
        <w:jc w:val="left"/>
        <w:rPr>
          <w:rFonts w:hint="eastAsia"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(5) Deafness or any other condition that would significantly impede communication;</w:t>
      </w:r>
    </w:p>
    <w:p w14:paraId="73D8CBE2">
      <w:pPr>
        <w:autoSpaceDE w:val="0"/>
        <w:autoSpaceDN w:val="0"/>
        <w:jc w:val="left"/>
        <w:rPr>
          <w:rFonts w:hint="eastAsia"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(6) History of alcohol abuse or drug abuse;</w:t>
      </w:r>
    </w:p>
    <w:p w14:paraId="5014C21D">
      <w:pPr>
        <w:autoSpaceDE w:val="0"/>
        <w:autoSpaceDN w:val="0"/>
        <w:jc w:val="left"/>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(7) Pregnancy or planned pregnancy</w:t>
      </w:r>
      <w:r>
        <w:rPr>
          <w:rFonts w:ascii="Times New Roman" w:hAnsi="Times New Roman" w:cs="Times New Roman"/>
          <w:color w:val="000000" w:themeColor="text1"/>
          <w:sz w:val="20"/>
          <w:szCs w:val="20"/>
          <w:highlight w:val="none"/>
          <w14:textFill>
            <w14:solidFill>
              <w14:schemeClr w14:val="tx1"/>
            </w14:solidFill>
          </w14:textFill>
        </w:rPr>
        <w:t>.</w:t>
      </w:r>
    </w:p>
    <w:p w14:paraId="4767B301">
      <w:pPr>
        <w:tabs>
          <w:tab w:val="left" w:pos="2226"/>
        </w:tabs>
        <w:outlineLvl w:val="1"/>
        <w:rPr>
          <w:rFonts w:ascii="Times New Roman" w:hAnsi="Times New Roman" w:cs="Times New Roman"/>
          <w:b/>
          <w:bCs/>
          <w:color w:val="000000" w:themeColor="text1"/>
          <w:sz w:val="20"/>
          <w:szCs w:val="20"/>
          <w:highlight w:val="none"/>
          <w14:textFill>
            <w14:solidFill>
              <w14:schemeClr w14:val="tx1"/>
            </w14:solidFill>
          </w14:textFill>
        </w:rPr>
      </w:pPr>
      <w:bookmarkStart w:id="25" w:name="_Toc17754"/>
      <w:r>
        <w:rPr>
          <w:rFonts w:ascii="Times New Roman" w:hAnsi="Times New Roman" w:cs="Times New Roman"/>
          <w:b/>
          <w:bCs/>
          <w:color w:val="000000" w:themeColor="text1"/>
          <w:sz w:val="20"/>
          <w:szCs w:val="20"/>
          <w:highlight w:val="none"/>
          <w14:textFill>
            <w14:solidFill>
              <w14:schemeClr w14:val="tx1"/>
            </w14:solidFill>
          </w14:textFill>
        </w:rPr>
        <w:t>5.3 Elimination Criteria</w:t>
      </w:r>
      <w:bookmarkEnd w:id="25"/>
    </w:p>
    <w:p w14:paraId="5FD3168B">
      <w:pPr>
        <w:tabs>
          <w:tab w:val="left" w:pos="2226"/>
        </w:tabs>
        <w:rPr>
          <w:rFonts w:hint="eastAsia"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Subjects who have been enrolled but meet any of the following conditions shall be eliminated:</w:t>
      </w:r>
    </w:p>
    <w:p w14:paraId="09CDED1E">
      <w:pPr>
        <w:tabs>
          <w:tab w:val="left" w:pos="2226"/>
        </w:tabs>
        <w:rPr>
          <w:rFonts w:hint="eastAsia"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(1) Those who discontinued treatment for reasons unrelated to efficacy;</w:t>
      </w:r>
    </w:p>
    <w:p w14:paraId="6C192494">
      <w:pPr>
        <w:tabs>
          <w:tab w:val="left" w:pos="2226"/>
        </w:tabs>
        <w:rPr>
          <w:rFonts w:hint="eastAsia"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(2) Subjects incorrectly enrolled due to non-compliance with inclusion criteria after enrollment;</w:t>
      </w:r>
    </w:p>
    <w:p w14:paraId="1EAB3735">
      <w:pPr>
        <w:tabs>
          <w:tab w:val="left" w:pos="2226"/>
        </w:tabs>
        <w:rPr>
          <w:rFonts w:hint="eastAsia"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(3) Subjects who did not receive acupuncture treatment as specified;</w:t>
      </w:r>
    </w:p>
    <w:p w14:paraId="167D2975">
      <w:pPr>
        <w:tabs>
          <w:tab w:val="left" w:pos="2226"/>
        </w:tabs>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(4) Subjects for whom the efficacy of this method cannot be determined because they concurrently used other therapies or medications to accelerate treatment.</w:t>
      </w:r>
      <w:r>
        <w:rPr>
          <w:rFonts w:ascii="Times New Roman" w:hAnsi="Times New Roman" w:cs="Times New Roman"/>
          <w:color w:val="000000" w:themeColor="text1"/>
          <w:sz w:val="20"/>
          <w:szCs w:val="20"/>
          <w:highlight w:val="none"/>
          <w14:textFill>
            <w14:solidFill>
              <w14:schemeClr w14:val="tx1"/>
            </w14:solidFill>
          </w14:textFill>
        </w:rPr>
        <w:t>.</w:t>
      </w:r>
    </w:p>
    <w:p w14:paraId="5AAC39C8">
      <w:pPr>
        <w:tabs>
          <w:tab w:val="left" w:pos="2226"/>
        </w:tabs>
        <w:outlineLvl w:val="1"/>
        <w:rPr>
          <w:rFonts w:ascii="Times New Roman" w:hAnsi="Times New Roman" w:cs="Times New Roman"/>
          <w:b/>
          <w:bCs/>
          <w:color w:val="000000" w:themeColor="text1"/>
          <w:sz w:val="20"/>
          <w:szCs w:val="20"/>
          <w:highlight w:val="none"/>
          <w14:textFill>
            <w14:solidFill>
              <w14:schemeClr w14:val="tx1"/>
            </w14:solidFill>
          </w14:textFill>
        </w:rPr>
      </w:pPr>
      <w:bookmarkStart w:id="26" w:name="_Toc5520"/>
      <w:r>
        <w:rPr>
          <w:rFonts w:ascii="Times New Roman" w:hAnsi="Times New Roman" w:cs="Times New Roman"/>
          <w:b/>
          <w:bCs/>
          <w:color w:val="000000" w:themeColor="text1"/>
          <w:sz w:val="20"/>
          <w:szCs w:val="20"/>
          <w:highlight w:val="none"/>
          <w14:textFill>
            <w14:solidFill>
              <w14:schemeClr w14:val="tx1"/>
            </w14:solidFill>
          </w14:textFill>
        </w:rPr>
        <w:t>5.4 Withdrawal Criteria</w:t>
      </w:r>
      <w:bookmarkEnd w:id="26"/>
    </w:p>
    <w:p w14:paraId="205A6E3B">
      <w:pPr>
        <w:tabs>
          <w:tab w:val="left" w:pos="2226"/>
        </w:tabs>
        <w:rPr>
          <w:rFonts w:hint="eastAsia"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(1) Voluntary Withdrawal: Patients may voluntarily withdraw from the study at any time during its course for any personal reason. The research team will respect the patient's decision and ensure withdrawal does not affect subsequent medical care or daily life.</w:t>
      </w:r>
    </w:p>
    <w:p w14:paraId="39F7A4B6">
      <w:pPr>
        <w:tabs>
          <w:tab w:val="left" w:pos="2226"/>
        </w:tabs>
        <w:rPr>
          <w:rFonts w:hint="eastAsia"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(2) Adverse Events: Should a patient experience a serious adverse event during the study—including but not limited to severe infection, neurological injury, vascular injury, or other study-related complications—the physician shall promptly assess the severity of the event. If continued participation is deemed risky for the patient, they shall be advised to withdraw from the study.</w:t>
      </w:r>
    </w:p>
    <w:p w14:paraId="43EB30BB">
      <w:pPr>
        <w:tabs>
          <w:tab w:val="left" w:pos="2226"/>
        </w:tabs>
        <w:rPr>
          <w:rFonts w:hint="eastAsia"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(3) Poor Compliance: Failure by the patient to adhere to the treatment regimen, evaluation schedule, or follow-up requirements as specified in the study protocol, thereby compromising the integrity of study data.</w:t>
      </w:r>
    </w:p>
    <w:p w14:paraId="73F26C62">
      <w:pPr>
        <w:tabs>
          <w:tab w:val="left" w:pos="2226"/>
        </w:tabs>
        <w:rPr>
          <w:rFonts w:hint="eastAsia"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(4) Health Status Changes: If a patient's health status changes during the study period—including newly diagnosed serious illnesses or significant deterioration in physical or mental health—the appropriateness of continued participation must be evaluated. The physician has the authority to determine whether the patient should withdraw from the study.</w:t>
      </w:r>
    </w:p>
    <w:p w14:paraId="4E9B8570">
      <w:pPr>
        <w:tabs>
          <w:tab w:val="left" w:pos="2226"/>
        </w:tabs>
        <w:rPr>
          <w:rFonts w:hint="eastAsia"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(5) Ethical and Safety Concerns: The research team may recommend withdrawal if continued participation is deemed to pose risks to the patient's physical or mental health, or safety. This includes, but is not limited to, the emergence of ethical issues or risks to study compliance.</w:t>
      </w:r>
    </w:p>
    <w:p w14:paraId="2BA9A3E2">
      <w:pPr>
        <w:tabs>
          <w:tab w:val="left" w:pos="2226"/>
        </w:tabs>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(6) Other Unforeseen Circumstances: Patients will be advised to withdraw if any unforeseeable events (such as natural disasters or public health crises) prevent the study from proceeding safely and normally.</w:t>
      </w:r>
    </w:p>
    <w:p w14:paraId="2600EC8B">
      <w:pPr>
        <w:tabs>
          <w:tab w:val="left" w:pos="2226"/>
        </w:tabs>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If a patient expresses a desire to withdraw or shows signs of potential withdrawal, the research team will arrange a detailed discussion with the patient to understand the reasons and provide professional advice. The patient must submit a withdrawal request form stating the reasons for withdrawal. The patient signs the form to confirm their withdrawal decision. The research team will document the withdrawal in detail, including the reason, date, any related adverse events, or changes in health status, and securely retain all relevant documentation. For withdrawn patients, the research team should provide appropriate medical advice and arrange follow-up visits when feasible to safeguard the patient's health interests. Cases withdrawn due to adverse reactions must have the management process and outcomes thoroughly documented and included in the adverse reaction statistical analysis</w:t>
      </w:r>
      <w:r>
        <w:rPr>
          <w:rFonts w:ascii="Times New Roman" w:hAnsi="Times New Roman" w:cs="Times New Roman"/>
          <w:color w:val="000000" w:themeColor="text1"/>
          <w:sz w:val="20"/>
          <w:szCs w:val="20"/>
          <w:highlight w:val="none"/>
          <w14:textFill>
            <w14:solidFill>
              <w14:schemeClr w14:val="tx1"/>
            </w14:solidFill>
          </w14:textFill>
        </w:rPr>
        <w:t>.</w:t>
      </w:r>
    </w:p>
    <w:p w14:paraId="0C7F695D">
      <w:pPr>
        <w:tabs>
          <w:tab w:val="left" w:pos="2226"/>
        </w:tabs>
        <w:rPr>
          <w:rFonts w:ascii="Times New Roman" w:hAnsi="Times New Roman" w:cs="Times New Roman"/>
          <w:color w:val="000000" w:themeColor="text1"/>
          <w:sz w:val="20"/>
          <w:szCs w:val="20"/>
          <w:highlight w:val="none"/>
          <w14:textFill>
            <w14:solidFill>
              <w14:schemeClr w14:val="tx1"/>
            </w14:solidFill>
          </w14:textFill>
        </w:rPr>
      </w:pPr>
    </w:p>
    <w:p w14:paraId="0EF9D899">
      <w:pPr>
        <w:autoSpaceDE w:val="0"/>
        <w:autoSpaceDN w:val="0"/>
        <w:jc w:val="left"/>
        <w:outlineLvl w:val="0"/>
        <w:rPr>
          <w:rFonts w:ascii="Times New Roman" w:hAnsi="Times New Roman" w:cs="Times New Roman"/>
          <w:b/>
          <w:bCs/>
          <w:color w:val="000000" w:themeColor="text1"/>
          <w:sz w:val="24"/>
          <w:szCs w:val="24"/>
          <w:highlight w:val="none"/>
          <w14:textFill>
            <w14:solidFill>
              <w14:schemeClr w14:val="tx1"/>
            </w14:solidFill>
          </w14:textFill>
        </w:rPr>
      </w:pPr>
      <w:bookmarkStart w:id="27" w:name="_Toc27564"/>
      <w:r>
        <w:rPr>
          <w:rFonts w:ascii="Times New Roman" w:hAnsi="Times New Roman" w:cs="Times New Roman"/>
          <w:b/>
          <w:bCs/>
          <w:color w:val="000000" w:themeColor="text1"/>
          <w:sz w:val="24"/>
          <w:szCs w:val="24"/>
          <w:highlight w:val="none"/>
          <w14:textFill>
            <w14:solidFill>
              <w14:schemeClr w14:val="tx1"/>
            </w14:solidFill>
          </w14:textFill>
        </w:rPr>
        <w:t>6. Research Methodology</w:t>
      </w:r>
      <w:bookmarkEnd w:id="27"/>
    </w:p>
    <w:p w14:paraId="21F727D2">
      <w:pPr>
        <w:tabs>
          <w:tab w:val="left" w:pos="2226"/>
        </w:tabs>
        <w:outlineLvl w:val="1"/>
        <w:rPr>
          <w:rFonts w:ascii="Times New Roman" w:hAnsi="Times New Roman" w:cs="Times New Roman"/>
          <w:b/>
          <w:bCs/>
          <w:color w:val="000000" w:themeColor="text1"/>
          <w:sz w:val="20"/>
          <w:szCs w:val="20"/>
          <w:highlight w:val="none"/>
          <w14:textFill>
            <w14:solidFill>
              <w14:schemeClr w14:val="tx1"/>
            </w14:solidFill>
          </w14:textFill>
        </w:rPr>
      </w:pPr>
      <w:bookmarkStart w:id="28" w:name="_Toc18064"/>
      <w:r>
        <w:rPr>
          <w:rFonts w:ascii="Times New Roman" w:hAnsi="Times New Roman" w:cs="Times New Roman"/>
          <w:b/>
          <w:bCs/>
          <w:color w:val="000000" w:themeColor="text1"/>
          <w:sz w:val="20"/>
          <w:szCs w:val="20"/>
          <w:highlight w:val="none"/>
          <w14:textFill>
            <w14:solidFill>
              <w14:schemeClr w14:val="tx1"/>
            </w14:solidFill>
          </w14:textFill>
        </w:rPr>
        <w:t>6.1 Concomitant Medication Management</w:t>
      </w:r>
      <w:bookmarkEnd w:id="28"/>
    </w:p>
    <w:p w14:paraId="21BF6CA5">
      <w:pPr>
        <w:tabs>
          <w:tab w:val="left" w:pos="2226"/>
        </w:tabs>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Participants already on medication prior to the study will continue their foundational Western pharmacological treatment. For those taking levodopa and/or other anti-Parkinson's drugs (e.g., Pribedil, Pramipexole, Entacapone, Amantadine, Benzhexol) at enrollment, the Levodopa Equivalent Daily Dose (LEDD) will be calculated. Any subsequent adjustments (increases or decreases) to medication will be meticulously recorded. Participants not on medication at baseline will not be initiated on any.</w:t>
      </w:r>
    </w:p>
    <w:p w14:paraId="47B7C91D">
      <w:pPr>
        <w:tabs>
          <w:tab w:val="left" w:pos="2226"/>
        </w:tabs>
        <w:outlineLvl w:val="1"/>
        <w:rPr>
          <w:rFonts w:ascii="Times New Roman" w:hAnsi="Times New Roman" w:cs="Times New Roman"/>
          <w:b/>
          <w:bCs/>
          <w:color w:val="000000" w:themeColor="text1"/>
          <w:sz w:val="20"/>
          <w:szCs w:val="20"/>
          <w:highlight w:val="none"/>
          <w14:textFill>
            <w14:solidFill>
              <w14:schemeClr w14:val="tx1"/>
            </w14:solidFill>
          </w14:textFill>
        </w:rPr>
      </w:pPr>
      <w:bookmarkStart w:id="29" w:name="_Toc18926"/>
      <w:r>
        <w:rPr>
          <w:rFonts w:ascii="Times New Roman" w:hAnsi="Times New Roman" w:cs="Times New Roman"/>
          <w:b/>
          <w:bCs/>
          <w:color w:val="000000" w:themeColor="text1"/>
          <w:sz w:val="20"/>
          <w:szCs w:val="20"/>
          <w:highlight w:val="none"/>
          <w14:textFill>
            <w14:solidFill>
              <w14:schemeClr w14:val="tx1"/>
            </w14:solidFill>
          </w14:textFill>
        </w:rPr>
        <w:t>6.2 Treatment Protocol</w:t>
      </w:r>
      <w:bookmarkEnd w:id="29"/>
    </w:p>
    <w:p w14:paraId="70AB28D6">
      <w:pPr>
        <w:tabs>
          <w:tab w:val="left" w:pos="2226"/>
        </w:tabs>
        <w:outlineLvl w:val="2"/>
        <w:rPr>
          <w:rFonts w:ascii="Times New Roman" w:hAnsi="Times New Roman" w:cs="Times New Roman"/>
          <w:b/>
          <w:bCs/>
          <w:color w:val="000000" w:themeColor="text1"/>
          <w:sz w:val="20"/>
          <w:szCs w:val="20"/>
          <w:highlight w:val="none"/>
          <w14:textFill>
            <w14:solidFill>
              <w14:schemeClr w14:val="tx1"/>
            </w14:solidFill>
          </w14:textFill>
        </w:rPr>
      </w:pPr>
      <w:bookmarkStart w:id="30" w:name="_Toc16548"/>
      <w:r>
        <w:rPr>
          <w:rFonts w:ascii="Times New Roman" w:hAnsi="Times New Roman" w:cs="Times New Roman"/>
          <w:b/>
          <w:bCs/>
          <w:color w:val="000000" w:themeColor="text1"/>
          <w:sz w:val="20"/>
          <w:szCs w:val="20"/>
          <w:highlight w:val="none"/>
          <w14:textFill>
            <w14:solidFill>
              <w14:schemeClr w14:val="tx1"/>
            </w14:solidFill>
          </w14:textFill>
        </w:rPr>
        <w:t>6.2.1 Treatment Group</w:t>
      </w:r>
      <w:bookmarkEnd w:id="30"/>
    </w:p>
    <w:p w14:paraId="000E7939">
      <w:pPr>
        <w:tabs>
          <w:tab w:val="left" w:pos="2226"/>
        </w:tabs>
        <w:rPr>
          <w:rFonts w:hint="eastAsia"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Baseline medication + Acupuncture treatment.</w:t>
      </w:r>
    </w:p>
    <w:p w14:paraId="5368A876">
      <w:pPr>
        <w:tabs>
          <w:tab w:val="left" w:pos="2226"/>
        </w:tabs>
        <w:rPr>
          <w:rFonts w:hint="eastAsia" w:ascii="Times New Roman" w:hAnsi="Times New Roman" w:cs="Times New Roman" w:eastAsiaTheme="minorEastAsia"/>
          <w:color w:val="000000" w:themeColor="text1"/>
          <w:sz w:val="20"/>
          <w:szCs w:val="20"/>
          <w:highlight w:val="none"/>
          <w:lang w:val="en-US" w:eastAsia="zh-CN"/>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(1) Acupoint Selection:</w:t>
      </w:r>
      <w:r>
        <w:rPr>
          <w:rFonts w:hint="eastAsia" w:ascii="Times New Roman" w:hAnsi="Times New Roman" w:cs="Times New Roman"/>
          <w:color w:val="000000" w:themeColor="text1"/>
          <w:sz w:val="20"/>
          <w:szCs w:val="20"/>
          <w:highlight w:val="none"/>
          <w:lang w:val="en-US" w:eastAsia="zh-CN"/>
          <w14:textFill>
            <w14:solidFill>
              <w14:schemeClr w14:val="tx1"/>
            </w14:solidFill>
          </w14:textFill>
        </w:rPr>
        <w:t xml:space="preserve"> Acupoint localization will be based on the Acupuncture and Moxibustion textbook</w:t>
      </w:r>
      <w:r>
        <w:rPr>
          <w:rFonts w:hint="eastAsia" w:ascii="Times New Roman" w:hAnsi="Times New Roman" w:cs="Times New Roman"/>
          <w:color w:val="000000" w:themeColor="text1"/>
          <w:sz w:val="20"/>
          <w:szCs w:val="20"/>
          <w:highlight w:val="none"/>
          <w:vertAlign w:val="superscript"/>
          <w:lang w:val="en-US" w:eastAsia="zh-CN"/>
          <w14:textFill>
            <w14:solidFill>
              <w14:schemeClr w14:val="tx1"/>
            </w14:solidFill>
          </w14:textFill>
        </w:rPr>
        <w:t>20</w:t>
      </w:r>
      <w:r>
        <w:rPr>
          <w:rFonts w:hint="eastAsia" w:ascii="Times New Roman" w:hAnsi="Times New Roman" w:cs="Times New Roman"/>
          <w:color w:val="000000" w:themeColor="text1"/>
          <w:sz w:val="20"/>
          <w:szCs w:val="20"/>
          <w:highlight w:val="none"/>
          <w:lang w:val="en-US" w:eastAsia="zh-CN"/>
          <w14:textFill>
            <w14:solidFill>
              <w14:schemeClr w14:val="tx1"/>
            </w14:solidFill>
          </w14:textFill>
        </w:rPr>
        <w:t>. The acupoints selected for acupuncture are two sets of points chosen by Director Zhenhu Chen based on clinical experience</w:t>
      </w:r>
      <w:r>
        <w:rPr>
          <w:rFonts w:hint="eastAsia" w:ascii="Times New Roman" w:hAnsi="Times New Roman" w:cs="Times New Roman"/>
          <w:color w:val="000000" w:themeColor="text1"/>
          <w:sz w:val="20"/>
          <w:szCs w:val="20"/>
          <w:highlight w:val="none"/>
          <w:vertAlign w:val="superscript"/>
          <w:lang w:val="en-US" w:eastAsia="zh-CN"/>
          <w14:textFill>
            <w14:solidFill>
              <w14:schemeClr w14:val="tx1"/>
            </w14:solidFill>
          </w14:textFill>
        </w:rPr>
        <w:t>21</w:t>
      </w:r>
      <w:r>
        <w:rPr>
          <w:rFonts w:hint="eastAsia" w:ascii="Times New Roman" w:hAnsi="Times New Roman" w:cs="Times New Roman"/>
          <w:color w:val="000000" w:themeColor="text1"/>
          <w:sz w:val="20"/>
          <w:szCs w:val="20"/>
          <w:highlight w:val="none"/>
          <w:lang w:val="en-US" w:eastAsia="zh-CN"/>
          <w14:textFill>
            <w14:solidFill>
              <w14:schemeClr w14:val="tx1"/>
            </w14:solidFill>
          </w14:textFill>
        </w:rPr>
        <w:t>.</w:t>
      </w:r>
    </w:p>
    <w:p w14:paraId="0DDE7ED1">
      <w:pPr>
        <w:tabs>
          <w:tab w:val="left" w:pos="2226"/>
        </w:tabs>
        <w:rPr>
          <w:rFonts w:hint="eastAsia"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 xml:space="preserve">Acupoint </w:t>
      </w:r>
      <w:r>
        <w:rPr>
          <w:rFonts w:hint="eastAsia" w:ascii="Times New Roman" w:hAnsi="Times New Roman" w:cs="Times New Roman"/>
          <w:color w:val="000000" w:themeColor="text1"/>
          <w:sz w:val="20"/>
          <w:szCs w:val="20"/>
          <w:highlight w:val="none"/>
          <w14:textFill>
            <w14:solidFill>
              <w14:schemeClr w14:val="tx1"/>
            </w14:solidFill>
          </w14:textFill>
        </w:rPr>
        <w:t xml:space="preserve">Formula 1 (bilateral): EX-HN3 (Yintang), LI10 (Shousanli), TE4 (Yangchi), BL24 (Qihaishu), GB33 (Xiyangguan), BL58 (Feiyang). </w:t>
      </w:r>
    </w:p>
    <w:p w14:paraId="7C906F11">
      <w:pPr>
        <w:tabs>
          <w:tab w:val="left" w:pos="2226"/>
        </w:tabs>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 xml:space="preserve">Acupoint </w:t>
      </w:r>
      <w:r>
        <w:rPr>
          <w:rFonts w:hint="eastAsia" w:ascii="Times New Roman" w:hAnsi="Times New Roman" w:cs="Times New Roman"/>
          <w:color w:val="000000" w:themeColor="text1"/>
          <w:sz w:val="20"/>
          <w:szCs w:val="20"/>
          <w:highlight w:val="none"/>
          <w14:textFill>
            <w14:solidFill>
              <w14:schemeClr w14:val="tx1"/>
            </w14:solidFill>
          </w14:textFill>
        </w:rPr>
        <w:t>Formula 2 (bilateral): GV20 (Baihui), Xiaochan</w:t>
      </w:r>
      <w:r>
        <w:rPr>
          <w:rFonts w:hint="eastAsia" w:ascii="Times New Roman" w:hAnsi="Times New Roman" w:cs="Times New Roman"/>
          <w:color w:val="000000" w:themeColor="text1"/>
          <w:sz w:val="20"/>
          <w:szCs w:val="20"/>
          <w:highlight w:val="none"/>
          <w:lang w:val="en-US" w:eastAsia="zh-CN"/>
          <w14:textFill>
            <w14:solidFill>
              <w14:schemeClr w14:val="tx1"/>
            </w14:solidFill>
          </w14:textFill>
        </w:rPr>
        <w:t xml:space="preserve"> </w:t>
      </w:r>
      <w:r>
        <w:rPr>
          <w:rFonts w:ascii="Times New Roman" w:hAnsi="Times New Roman" w:cs="Times New Roman"/>
          <w:color w:val="000000" w:themeColor="text1"/>
          <w:sz w:val="20"/>
          <w:szCs w:val="20"/>
          <w:highlight w:val="none"/>
          <w14:textFill>
            <w14:solidFill>
              <w14:schemeClr w14:val="tx1"/>
            </w14:solidFill>
          </w14:textFill>
        </w:rPr>
        <w:t>(Extra Point)</w:t>
      </w:r>
      <w:r>
        <w:rPr>
          <w:rFonts w:hint="eastAsia" w:ascii="Times New Roman" w:hAnsi="Times New Roman" w:cs="Times New Roman"/>
          <w:color w:val="000000" w:themeColor="text1"/>
          <w:sz w:val="20"/>
          <w:szCs w:val="20"/>
          <w:highlight w:val="none"/>
          <w14:textFill>
            <w14:solidFill>
              <w14:schemeClr w14:val="tx1"/>
            </w14:solidFill>
          </w14:textFill>
        </w:rPr>
        <w:t>, PC7 (Daling), BL20 (Pishu), BL40 (Weizhong), GB34 (Yanglingquan).</w:t>
      </w:r>
      <w:bookmarkStart w:id="58" w:name="_GoBack"/>
      <w:bookmarkEnd w:id="58"/>
    </w:p>
    <w:p w14:paraId="4C01E299">
      <w:pPr>
        <w:tabs>
          <w:tab w:val="left" w:pos="2226"/>
        </w:tabs>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(2) Procedure: </w:t>
      </w:r>
      <w:r>
        <w:rPr>
          <w:rFonts w:hint="eastAsia" w:ascii="Times New Roman" w:hAnsi="Times New Roman" w:cs="Times New Roman"/>
          <w:color w:val="000000" w:themeColor="text1"/>
          <w:sz w:val="20"/>
          <w:szCs w:val="20"/>
          <w:highlight w:val="none"/>
          <w14:textFill>
            <w14:solidFill>
              <w14:schemeClr w14:val="tx1"/>
            </w14:solidFill>
          </w14:textFill>
        </w:rPr>
        <w:t>During needling, the patient maintains a comfortable position with acupoints fully exposed. After routine disinfection with 0.5% iodophor or 75% alcohol, a 0.5mm × 50mm disposable sterile acupoint needle (Chongqing Medical Device Approval: 20202200072) is selected for needling. The SPAD device is placed on the skin over the acupoint, and the actual needle with a sharp tip is inserted through the base, penetrating the skin. The needle is inserted to approximately 1.5 cun in depth. After obtaining deqi sensation, the needle is withdrawn to the insertion point, and Hegu needling is performed at approximately 30 degrees superiorly and inferiorly before withdrawal. The needle site is pressed with a sterile cotton ball for a brief moment</w:t>
      </w:r>
      <w:r>
        <w:rPr>
          <w:rFonts w:ascii="Times New Roman" w:hAnsi="Times New Roman" w:cs="Times New Roman"/>
          <w:color w:val="000000" w:themeColor="text1"/>
          <w:sz w:val="20"/>
          <w:szCs w:val="20"/>
          <w:highlight w:val="none"/>
          <w14:textFill>
            <w14:solidFill>
              <w14:schemeClr w14:val="tx1"/>
            </w14:solidFill>
          </w14:textFill>
        </w:rPr>
        <w:t>.</w:t>
      </w:r>
      <w:r>
        <w:rPr>
          <w:rFonts w:hint="eastAsia" w:ascii="Times New Roman" w:hAnsi="Times New Roman" w:cs="Times New Roman"/>
          <w:color w:val="000000" w:themeColor="text1"/>
          <w:sz w:val="20"/>
          <w:szCs w:val="20"/>
          <w:highlight w:val="none"/>
          <w:lang w:val="en-US" w:eastAsia="zh-CN"/>
          <w14:textFill>
            <w14:solidFill>
              <w14:schemeClr w14:val="tx1"/>
            </w14:solidFill>
          </w14:textFill>
        </w:rPr>
        <w:t xml:space="preserve"> </w:t>
      </w:r>
      <w:r>
        <w:rPr>
          <w:rFonts w:ascii="Times New Roman" w:hAnsi="Times New Roman" w:cs="Times New Roman"/>
          <w:color w:val="000000" w:themeColor="text1"/>
          <w:sz w:val="20"/>
          <w:szCs w:val="20"/>
          <w:highlight w:val="none"/>
          <w14:textFill>
            <w14:solidFill>
              <w14:schemeClr w14:val="tx1"/>
            </w14:solidFill>
          </w14:textFill>
        </w:rPr>
        <w:t xml:space="preserve">Detailed descriptions of point locations and needling techniques are provided in </w:t>
      </w:r>
      <w:r>
        <w:rPr>
          <w:rFonts w:hint="eastAsia" w:ascii="Times New Roman" w:hAnsi="Times New Roman" w:cs="Times New Roman"/>
          <w:color w:val="0000FF"/>
          <w:sz w:val="20"/>
          <w:szCs w:val="20"/>
          <w:highlight w:val="none"/>
          <w:lang w:val="en-US" w:eastAsia="zh-CN"/>
        </w:rPr>
        <w:t>e</w:t>
      </w:r>
      <w:r>
        <w:rPr>
          <w:rFonts w:ascii="Times New Roman" w:hAnsi="Times New Roman" w:cs="Times New Roman"/>
          <w:color w:val="0000FF"/>
          <w:sz w:val="20"/>
          <w:szCs w:val="20"/>
          <w:highlight w:val="none"/>
        </w:rPr>
        <w:t>Table 1.</w:t>
      </w:r>
    </w:p>
    <w:p w14:paraId="7F5EF87F">
      <w:pPr>
        <w:tabs>
          <w:tab w:val="left" w:pos="2226"/>
        </w:tabs>
        <w:spacing w:line="360" w:lineRule="auto"/>
        <w:outlineLvl w:val="2"/>
        <w:rPr>
          <w:rFonts w:ascii="Times New Roman" w:hAnsi="Times New Roman" w:cs="Times New Roman"/>
          <w:b/>
          <w:bCs/>
          <w:color w:val="000000" w:themeColor="text1"/>
          <w:sz w:val="20"/>
          <w:szCs w:val="20"/>
          <w:highlight w:val="none"/>
          <w14:textFill>
            <w14:solidFill>
              <w14:schemeClr w14:val="tx1"/>
            </w14:solidFill>
          </w14:textFill>
        </w:rPr>
      </w:pPr>
      <w:bookmarkStart w:id="31" w:name="_Toc25407"/>
      <w:r>
        <w:rPr>
          <w:rFonts w:ascii="Times New Roman" w:hAnsi="Times New Roman" w:cs="Times New Roman"/>
          <w:b/>
          <w:bCs/>
          <w:color w:val="000000" w:themeColor="text1"/>
          <w:sz w:val="20"/>
          <w:szCs w:val="20"/>
          <w:highlight w:val="none"/>
          <w14:textFill>
            <w14:solidFill>
              <w14:schemeClr w14:val="tx1"/>
            </w14:solidFill>
          </w14:textFill>
        </w:rPr>
        <w:t>6.2.2 Control Group</w:t>
      </w:r>
      <w:bookmarkEnd w:id="31"/>
    </w:p>
    <w:p w14:paraId="79701612">
      <w:pPr>
        <w:tabs>
          <w:tab w:val="left" w:pos="2226"/>
        </w:tabs>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Baseline medication + Sham acupuncture.</w:t>
      </w:r>
    </w:p>
    <w:p w14:paraId="46FE40FA">
      <w:pPr>
        <w:tabs>
          <w:tab w:val="left" w:pos="2226"/>
        </w:tabs>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A blunt-tip needle will be used with the Sham Placebo Acupuncture Device (SPAD) (Patent No.: 2023215153288</w:t>
      </w:r>
      <w:r>
        <w:rPr>
          <w:rFonts w:hint="eastAsia" w:ascii="Times New Roman" w:hAnsi="Times New Roman" w:cs="Times New Roman"/>
          <w:color w:val="000000" w:themeColor="text1"/>
          <w:sz w:val="20"/>
          <w:szCs w:val="20"/>
          <w:highlight w:val="none"/>
          <w:lang w:val="en-US" w:eastAsia="zh-CN"/>
          <w14:textFill>
            <w14:solidFill>
              <w14:schemeClr w14:val="tx1"/>
            </w14:solidFill>
          </w14:textFill>
        </w:rPr>
        <w:t xml:space="preserve"> </w:t>
      </w:r>
      <w:r>
        <w:rPr>
          <w:rFonts w:hint="eastAsia" w:ascii="Times New Roman" w:hAnsi="Times New Roman" w:cs="Times New Roman"/>
          <w:color w:val="000000" w:themeColor="text1"/>
          <w:sz w:val="20"/>
          <w:szCs w:val="20"/>
          <w:highlight w:val="none"/>
          <w14:textFill>
            <w14:solidFill>
              <w14:schemeClr w14:val="tx1"/>
            </w14:solidFill>
          </w14:textFill>
        </w:rPr>
        <w:t>) for sham needling at true acupoints. Procedure: Acupoint selection, needling angle, and manipulation techniques are the same as the true acupoints in the treatment group. Figure 2 shows the simulation of the needles and blinding devices for the true and sham acupuncture groups. The acupuncturist inserts the needle into the SPAD base; when the blunt tip contacts the skin, the micro-needles of the SPAD device simultaneously contact the skin, simulating the sensation of needle insertion. After the follow-up period concludes, patients will receive 8 free acupuncture sessions following the same treatment protocol as the acupuncture group.</w:t>
      </w:r>
    </w:p>
    <w:p w14:paraId="290D7F78">
      <w:pPr>
        <w:tabs>
          <w:tab w:val="left" w:pos="2226"/>
        </w:tabs>
        <w:spacing w:line="360" w:lineRule="auto"/>
        <w:rPr>
          <w:rFonts w:ascii="Times New Roman" w:hAnsi="Times New Roman" w:cs="Times New Roman"/>
          <w:color w:val="000000" w:themeColor="text1"/>
          <w:szCs w:val="21"/>
          <w:highlight w:val="none"/>
          <w14:textFill>
            <w14:solidFill>
              <w14:schemeClr w14:val="tx1"/>
            </w14:solidFill>
          </w14:textFill>
        </w:rPr>
      </w:pPr>
    </w:p>
    <w:p w14:paraId="05DFFA4F">
      <w:pPr>
        <w:spacing w:line="360" w:lineRule="auto"/>
        <w:rPr>
          <w:rFonts w:ascii="Times New Roman" w:hAnsi="Times New Roman" w:cs="Times New Roman"/>
          <w:b/>
          <w:bCs/>
          <w:color w:val="000000" w:themeColor="text1"/>
          <w:szCs w:val="21"/>
          <w:highlight w:val="none"/>
          <w14:textFill>
            <w14:solidFill>
              <w14:schemeClr w14:val="tx1"/>
            </w14:solidFill>
          </w14:textFill>
        </w:rPr>
      </w:pPr>
    </w:p>
    <w:p w14:paraId="7C9268C2">
      <w:pPr>
        <w:spacing w:line="360" w:lineRule="auto"/>
        <w:rPr>
          <w:rFonts w:ascii="Times New Roman" w:hAnsi="Times New Roman" w:cs="Times New Roman"/>
          <w:b/>
          <w:bCs/>
          <w:color w:val="000000" w:themeColor="text1"/>
          <w:szCs w:val="21"/>
          <w:highlight w:val="none"/>
          <w14:textFill>
            <w14:solidFill>
              <w14:schemeClr w14:val="tx1"/>
            </w14:solidFill>
          </w14:textFill>
        </w:rPr>
      </w:pPr>
    </w:p>
    <w:p w14:paraId="17C9E64C">
      <w:pPr>
        <w:spacing w:line="360" w:lineRule="auto"/>
        <w:rPr>
          <w:rFonts w:ascii="Times New Roman" w:hAnsi="Times New Roman" w:cs="Times New Roman"/>
          <w:b/>
          <w:bCs/>
          <w:color w:val="000000" w:themeColor="text1"/>
          <w:szCs w:val="21"/>
          <w:highlight w:val="none"/>
          <w14:textFill>
            <w14:solidFill>
              <w14:schemeClr w14:val="tx1"/>
            </w14:solidFill>
          </w14:textFill>
        </w:rPr>
        <w:sectPr>
          <w:pgSz w:w="11906" w:h="16838"/>
          <w:pgMar w:top="1440" w:right="1080" w:bottom="1440" w:left="1080" w:header="851" w:footer="992" w:gutter="0"/>
          <w:cols w:space="720" w:num="1"/>
          <w:docGrid w:type="lines" w:linePitch="312" w:charSpace="0"/>
        </w:sectPr>
      </w:pPr>
    </w:p>
    <w:p w14:paraId="057EDBBE">
      <w:pPr>
        <w:rPr>
          <w:rFonts w:ascii="Arial" w:hAnsi="Arial" w:cs="Arial"/>
          <w:b/>
          <w:bCs/>
          <w:color w:val="000000" w:themeColor="text1"/>
          <w:sz w:val="24"/>
          <w:szCs w:val="24"/>
          <w:highlight w:val="none"/>
          <w14:textFill>
            <w14:solidFill>
              <w14:schemeClr w14:val="tx1"/>
            </w14:solidFill>
          </w14:textFill>
        </w:rPr>
      </w:pPr>
      <w:r>
        <w:rPr>
          <w:rFonts w:ascii="Arial" w:hAnsi="Arial" w:cs="Arial"/>
          <w:b/>
          <w:bCs/>
          <w:color w:val="000000" w:themeColor="text1"/>
          <w:sz w:val="24"/>
          <w:szCs w:val="24"/>
          <w:highlight w:val="none"/>
          <w14:textFill>
            <w14:solidFill>
              <w14:schemeClr w14:val="tx1"/>
            </w14:solidFill>
          </w14:textFill>
        </w:rPr>
        <w:t>Table 1. Locations and manipulations of the acupoints</w:t>
      </w:r>
    </w:p>
    <w:tbl>
      <w:tblPr>
        <w:tblStyle w:val="21"/>
        <w:tblW w:w="1559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96" w:type="dxa"/>
          <w:bottom w:w="45" w:type="dxa"/>
          <w:right w:w="96" w:type="dxa"/>
        </w:tblCellMar>
      </w:tblPr>
      <w:tblGrid>
        <w:gridCol w:w="1358"/>
        <w:gridCol w:w="2112"/>
        <w:gridCol w:w="6347"/>
        <w:gridCol w:w="5773"/>
      </w:tblGrid>
      <w:tr w14:paraId="02A32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96" w:type="dxa"/>
            <w:bottom w:w="45" w:type="dxa"/>
            <w:right w:w="96" w:type="dxa"/>
          </w:tblCellMar>
        </w:tblPrEx>
        <w:trPr>
          <w:tblHeader/>
          <w:jc w:val="center"/>
        </w:trPr>
        <w:tc>
          <w:tcPr>
            <w:tcW w:w="1358" w:type="dxa"/>
            <w:tcBorders>
              <w:top w:val="single" w:color="auto" w:sz="8" w:space="0"/>
              <w:left w:val="nil"/>
              <w:bottom w:val="single" w:color="auto" w:sz="8" w:space="0"/>
              <w:right w:val="nil"/>
            </w:tcBorders>
            <w:noWrap/>
            <w:vAlign w:val="center"/>
          </w:tcPr>
          <w:p w14:paraId="454C129E">
            <w:pPr>
              <w:snapToGrid w:val="0"/>
              <w:jc w:val="center"/>
              <w:rPr>
                <w:rFonts w:ascii="Arial" w:hAnsi="Arial" w:eastAsia="等线" w:cs="Arial"/>
                <w:b/>
                <w:bCs/>
                <w:color w:val="000000" w:themeColor="text1"/>
                <w:sz w:val="20"/>
                <w:szCs w:val="20"/>
                <w:highlight w:val="none"/>
                <w14:textFill>
                  <w14:solidFill>
                    <w14:schemeClr w14:val="tx1"/>
                  </w14:solidFill>
                </w14:textFill>
              </w:rPr>
            </w:pPr>
            <w:r>
              <w:rPr>
                <w:rFonts w:ascii="Arial" w:hAnsi="Arial" w:eastAsia="等线" w:cs="Arial"/>
                <w:b/>
                <w:bCs/>
                <w:color w:val="000000" w:themeColor="text1"/>
                <w:sz w:val="20"/>
                <w:szCs w:val="20"/>
                <w:highlight w:val="none"/>
                <w14:textFill>
                  <w14:solidFill>
                    <w14:schemeClr w14:val="tx1"/>
                  </w14:solidFill>
                </w14:textFill>
              </w:rPr>
              <w:t>Group</w:t>
            </w:r>
          </w:p>
        </w:tc>
        <w:tc>
          <w:tcPr>
            <w:tcW w:w="2112" w:type="dxa"/>
            <w:tcBorders>
              <w:top w:val="single" w:color="auto" w:sz="8" w:space="0"/>
              <w:left w:val="nil"/>
              <w:bottom w:val="single" w:color="auto" w:sz="8" w:space="0"/>
              <w:right w:val="nil"/>
            </w:tcBorders>
            <w:vAlign w:val="center"/>
          </w:tcPr>
          <w:p w14:paraId="57BF083B">
            <w:pPr>
              <w:snapToGrid w:val="0"/>
              <w:jc w:val="center"/>
              <w:rPr>
                <w:rFonts w:ascii="Arial" w:hAnsi="Arial" w:eastAsia="等线" w:cs="Arial"/>
                <w:b/>
                <w:bCs/>
                <w:color w:val="000000" w:themeColor="text1"/>
                <w:sz w:val="20"/>
                <w:szCs w:val="20"/>
                <w:highlight w:val="none"/>
                <w14:textFill>
                  <w14:solidFill>
                    <w14:schemeClr w14:val="tx1"/>
                  </w14:solidFill>
                </w14:textFill>
              </w:rPr>
            </w:pPr>
            <w:r>
              <w:rPr>
                <w:rFonts w:ascii="Arial" w:hAnsi="Arial" w:eastAsia="等线" w:cs="Arial"/>
                <w:b/>
                <w:bCs/>
                <w:color w:val="000000" w:themeColor="text1"/>
                <w:sz w:val="20"/>
                <w:szCs w:val="20"/>
                <w:highlight w:val="none"/>
                <w14:textFill>
                  <w14:solidFill>
                    <w14:schemeClr w14:val="tx1"/>
                  </w14:solidFill>
                </w14:textFill>
              </w:rPr>
              <w:t>Acupoint</w:t>
            </w:r>
          </w:p>
        </w:tc>
        <w:tc>
          <w:tcPr>
            <w:tcW w:w="6347" w:type="dxa"/>
            <w:tcBorders>
              <w:top w:val="single" w:color="auto" w:sz="8" w:space="0"/>
              <w:left w:val="nil"/>
              <w:bottom w:val="single" w:color="auto" w:sz="8" w:space="0"/>
              <w:right w:val="nil"/>
            </w:tcBorders>
            <w:noWrap/>
            <w:vAlign w:val="center"/>
          </w:tcPr>
          <w:p w14:paraId="5AAA4C54">
            <w:pPr>
              <w:snapToGrid w:val="0"/>
              <w:jc w:val="center"/>
              <w:rPr>
                <w:rFonts w:ascii="Arial" w:hAnsi="Arial" w:eastAsia="等线" w:cs="Arial"/>
                <w:b/>
                <w:bCs/>
                <w:color w:val="000000" w:themeColor="text1"/>
                <w:sz w:val="20"/>
                <w:szCs w:val="20"/>
                <w:highlight w:val="none"/>
                <w14:textFill>
                  <w14:solidFill>
                    <w14:schemeClr w14:val="tx1"/>
                  </w14:solidFill>
                </w14:textFill>
              </w:rPr>
            </w:pPr>
            <w:r>
              <w:rPr>
                <w:rFonts w:ascii="Arial" w:hAnsi="Arial" w:eastAsia="等线" w:cs="Arial"/>
                <w:b/>
                <w:bCs/>
                <w:color w:val="000000" w:themeColor="text1"/>
                <w:sz w:val="20"/>
                <w:szCs w:val="20"/>
                <w:highlight w:val="none"/>
                <w14:textFill>
                  <w14:solidFill>
                    <w14:schemeClr w14:val="tx1"/>
                  </w14:solidFill>
                </w14:textFill>
              </w:rPr>
              <w:t>Location</w:t>
            </w:r>
          </w:p>
        </w:tc>
        <w:tc>
          <w:tcPr>
            <w:tcW w:w="5773" w:type="dxa"/>
            <w:tcBorders>
              <w:top w:val="single" w:color="auto" w:sz="8" w:space="0"/>
              <w:left w:val="nil"/>
              <w:bottom w:val="single" w:color="auto" w:sz="8" w:space="0"/>
              <w:right w:val="nil"/>
            </w:tcBorders>
            <w:noWrap/>
            <w:vAlign w:val="center"/>
          </w:tcPr>
          <w:p w14:paraId="07824561">
            <w:pPr>
              <w:snapToGrid w:val="0"/>
              <w:jc w:val="center"/>
              <w:rPr>
                <w:rFonts w:ascii="Arial" w:hAnsi="Arial" w:eastAsia="等线" w:cs="Arial"/>
                <w:b/>
                <w:bCs/>
                <w:color w:val="000000" w:themeColor="text1"/>
                <w:sz w:val="20"/>
                <w:szCs w:val="20"/>
                <w:highlight w:val="none"/>
                <w14:textFill>
                  <w14:solidFill>
                    <w14:schemeClr w14:val="tx1"/>
                  </w14:solidFill>
                </w14:textFill>
              </w:rPr>
            </w:pPr>
            <w:r>
              <w:rPr>
                <w:rFonts w:ascii="Arial" w:hAnsi="Arial" w:eastAsia="等线" w:cs="Arial"/>
                <w:b/>
                <w:bCs/>
                <w:color w:val="000000" w:themeColor="text1"/>
                <w:sz w:val="20"/>
                <w:szCs w:val="20"/>
                <w:highlight w:val="none"/>
                <w14:textFill>
                  <w14:solidFill>
                    <w14:schemeClr w14:val="tx1"/>
                  </w14:solidFill>
                </w14:textFill>
              </w:rPr>
              <w:t>Manipulation</w:t>
            </w:r>
          </w:p>
        </w:tc>
      </w:tr>
      <w:tr w14:paraId="323F8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96" w:type="dxa"/>
            <w:bottom w:w="45" w:type="dxa"/>
            <w:right w:w="96" w:type="dxa"/>
          </w:tblCellMar>
        </w:tblPrEx>
        <w:trPr>
          <w:jc w:val="center"/>
        </w:trPr>
        <w:tc>
          <w:tcPr>
            <w:tcW w:w="1358" w:type="dxa"/>
            <w:tcBorders>
              <w:top w:val="single" w:color="auto" w:sz="8" w:space="0"/>
              <w:left w:val="nil"/>
              <w:bottom w:val="nil"/>
              <w:right w:val="nil"/>
            </w:tcBorders>
            <w:vAlign w:val="center"/>
          </w:tcPr>
          <w:p w14:paraId="40CD18DB">
            <w:pPr>
              <w:snapToGrid w:val="0"/>
              <w:jc w:val="center"/>
              <w:rPr>
                <w:rFonts w:ascii="Arial" w:hAnsi="Arial" w:eastAsia="等线" w:cs="Arial"/>
                <w:b/>
                <w:bCs/>
                <w:color w:val="000000" w:themeColor="text1"/>
                <w:sz w:val="20"/>
                <w:szCs w:val="20"/>
                <w:highlight w:val="none"/>
                <w14:textFill>
                  <w14:solidFill>
                    <w14:schemeClr w14:val="tx1"/>
                  </w14:solidFill>
                </w14:textFill>
              </w:rPr>
            </w:pPr>
            <w:r>
              <w:rPr>
                <w:rFonts w:ascii="Arial" w:hAnsi="Arial" w:eastAsia="等线" w:cs="Arial"/>
                <w:b/>
                <w:bCs/>
                <w:color w:val="000000" w:themeColor="text1"/>
                <w:sz w:val="20"/>
                <w:szCs w:val="20"/>
                <w:highlight w:val="none"/>
                <w14:textFill>
                  <w14:solidFill>
                    <w14:schemeClr w14:val="tx1"/>
                  </w14:solidFill>
                </w14:textFill>
              </w:rPr>
              <w:t>Acupoint formula 1</w:t>
            </w:r>
          </w:p>
        </w:tc>
        <w:tc>
          <w:tcPr>
            <w:tcW w:w="2112" w:type="dxa"/>
            <w:tcBorders>
              <w:top w:val="single" w:color="auto" w:sz="8" w:space="0"/>
              <w:left w:val="nil"/>
              <w:bottom w:val="nil"/>
              <w:right w:val="nil"/>
            </w:tcBorders>
            <w:vAlign w:val="center"/>
          </w:tcPr>
          <w:p w14:paraId="325169E7">
            <w:pPr>
              <w:snapToGrid w:val="0"/>
              <w:jc w:val="center"/>
              <w:rPr>
                <w:rFonts w:ascii="Arial" w:hAnsi="Arial" w:eastAsia="等线" w:cs="Arial"/>
                <w:color w:val="000000" w:themeColor="text1"/>
                <w:sz w:val="20"/>
                <w:szCs w:val="20"/>
                <w:highlight w:val="none"/>
                <w14:textFill>
                  <w14:solidFill>
                    <w14:schemeClr w14:val="tx1"/>
                  </w14:solidFill>
                </w14:textFill>
              </w:rPr>
            </w:pPr>
            <w:r>
              <w:rPr>
                <w:rFonts w:hint="eastAsia" w:ascii="Arial" w:hAnsi="Arial" w:eastAsia="等线" w:cs="Arial"/>
                <w:color w:val="000000" w:themeColor="text1"/>
                <w:sz w:val="20"/>
                <w:szCs w:val="20"/>
                <w:highlight w:val="none"/>
                <w14:textFill>
                  <w14:solidFill>
                    <w14:schemeClr w14:val="tx1"/>
                  </w14:solidFill>
                </w14:textFill>
              </w:rPr>
              <w:t>EX-HN3 (Yintang)</w:t>
            </w:r>
          </w:p>
        </w:tc>
        <w:tc>
          <w:tcPr>
            <w:tcW w:w="6347" w:type="dxa"/>
            <w:tcBorders>
              <w:top w:val="single" w:color="auto" w:sz="8" w:space="0"/>
              <w:left w:val="nil"/>
              <w:bottom w:val="nil"/>
              <w:right w:val="nil"/>
            </w:tcBorders>
            <w:vAlign w:val="center"/>
          </w:tcPr>
          <w:p w14:paraId="20C3F5F3">
            <w:pPr>
              <w:snapToGrid w:val="0"/>
              <w:jc w:val="left"/>
              <w:rPr>
                <w:rFonts w:ascii="Arial" w:hAnsi="Arial" w:eastAsia="等线" w:cs="Arial"/>
                <w:color w:val="000000" w:themeColor="text1"/>
                <w:sz w:val="20"/>
                <w:szCs w:val="20"/>
                <w:highlight w:val="none"/>
                <w14:textFill>
                  <w14:solidFill>
                    <w14:schemeClr w14:val="tx1"/>
                  </w14:solidFill>
                </w14:textFill>
              </w:rPr>
            </w:pPr>
            <w:r>
              <w:rPr>
                <w:rFonts w:hint="eastAsia" w:ascii="Arial" w:hAnsi="Arial" w:eastAsia="等线" w:cs="Arial"/>
                <w:color w:val="000000" w:themeColor="text1"/>
                <w:sz w:val="20"/>
                <w:szCs w:val="20"/>
                <w:highlight w:val="none"/>
                <w14:textFill>
                  <w14:solidFill>
                    <w14:schemeClr w14:val="tx1"/>
                  </w14:solidFill>
                </w14:textFill>
              </w:rPr>
              <w:t>On the forehead, at the intersection of the midline and the line connecting the medial ends of the eyebrows.</w:t>
            </w:r>
          </w:p>
        </w:tc>
        <w:tc>
          <w:tcPr>
            <w:tcW w:w="5773" w:type="dxa"/>
            <w:tcBorders>
              <w:top w:val="single" w:color="auto" w:sz="8" w:space="0"/>
              <w:left w:val="nil"/>
              <w:bottom w:val="nil"/>
              <w:right w:val="nil"/>
            </w:tcBorders>
            <w:vAlign w:val="center"/>
          </w:tcPr>
          <w:p w14:paraId="15EE2579">
            <w:pPr>
              <w:snapToGrid w:val="0"/>
              <w:jc w:val="left"/>
              <w:rPr>
                <w:rFonts w:ascii="Arial" w:hAnsi="Arial" w:eastAsia="等线" w:cs="Arial"/>
                <w:color w:val="000000" w:themeColor="text1"/>
                <w:sz w:val="20"/>
                <w:szCs w:val="20"/>
                <w:highlight w:val="none"/>
                <w14:textFill>
                  <w14:solidFill>
                    <w14:schemeClr w14:val="tx1"/>
                  </w14:solidFill>
                </w14:textFill>
              </w:rPr>
            </w:pPr>
            <w:r>
              <w:rPr>
                <w:rFonts w:ascii="Arial" w:hAnsi="Arial" w:eastAsia="等线" w:cs="Arial"/>
                <w:color w:val="000000" w:themeColor="text1"/>
                <w:sz w:val="20"/>
                <w:szCs w:val="20"/>
                <w:highlight w:val="none"/>
                <w14:textFill>
                  <w14:solidFill>
                    <w14:schemeClr w14:val="tx1"/>
                  </w14:solidFill>
                </w14:textFill>
              </w:rPr>
              <w:t xml:space="preserve">Insert the needle </w:t>
            </w:r>
            <w:r>
              <w:rPr>
                <w:rFonts w:hint="eastAsia" w:ascii="Arial" w:hAnsi="Arial" w:eastAsia="等线" w:cs="Arial"/>
                <w:color w:val="000000" w:themeColor="text1"/>
                <w:sz w:val="20"/>
                <w:szCs w:val="20"/>
                <w:highlight w:val="none"/>
                <w14:textFill>
                  <w14:solidFill>
                    <w14:schemeClr w14:val="tx1"/>
                  </w14:solidFill>
                </w14:textFill>
              </w:rPr>
              <w:t>horizontally</w:t>
            </w:r>
            <w:r>
              <w:rPr>
                <w:rFonts w:ascii="Arial" w:hAnsi="Arial" w:eastAsia="等线" w:cs="Arial"/>
                <w:color w:val="000000" w:themeColor="text1"/>
                <w:sz w:val="20"/>
                <w:szCs w:val="20"/>
                <w:highlight w:val="none"/>
                <w14:textFill>
                  <w14:solidFill>
                    <w14:schemeClr w14:val="tx1"/>
                  </w14:solidFill>
                </w14:textFill>
              </w:rPr>
              <w:t xml:space="preserve"> </w:t>
            </w:r>
            <w:r>
              <w:rPr>
                <w:rFonts w:hint="eastAsia" w:ascii="Arial" w:hAnsi="Arial" w:eastAsia="等线" w:cs="Arial"/>
                <w:color w:val="000000" w:themeColor="text1"/>
                <w:sz w:val="20"/>
                <w:szCs w:val="20"/>
                <w:highlight w:val="none"/>
                <w:lang w:val="en-US" w:eastAsia="zh-CN"/>
                <w14:textFill>
                  <w14:solidFill>
                    <w14:schemeClr w14:val="tx1"/>
                  </w14:solidFill>
                </w14:textFill>
              </w:rPr>
              <w:t>0.3</w:t>
            </w:r>
            <w:r>
              <w:rPr>
                <w:rFonts w:ascii="Arial" w:hAnsi="Arial" w:eastAsia="等线" w:cs="Arial"/>
                <w:color w:val="000000" w:themeColor="text1"/>
                <w:sz w:val="20"/>
                <w:szCs w:val="20"/>
                <w:highlight w:val="none"/>
                <w14:textFill>
                  <w14:solidFill>
                    <w14:schemeClr w14:val="tx1"/>
                  </w14:solidFill>
                </w14:textFill>
              </w:rPr>
              <w:t>-</w:t>
            </w:r>
            <w:r>
              <w:rPr>
                <w:rFonts w:hint="eastAsia" w:ascii="Arial" w:hAnsi="Arial" w:eastAsia="等线" w:cs="Arial"/>
                <w:color w:val="000000" w:themeColor="text1"/>
                <w:sz w:val="20"/>
                <w:szCs w:val="20"/>
                <w:highlight w:val="none"/>
                <w:lang w:val="en-US" w:eastAsia="zh-CN"/>
                <w14:textFill>
                  <w14:solidFill>
                    <w14:schemeClr w14:val="tx1"/>
                  </w14:solidFill>
                </w14:textFill>
              </w:rPr>
              <w:t>0.5</w:t>
            </w:r>
            <w:r>
              <w:rPr>
                <w:rFonts w:ascii="Arial" w:hAnsi="Arial" w:eastAsia="等线" w:cs="Arial"/>
                <w:color w:val="000000" w:themeColor="text1"/>
                <w:sz w:val="20"/>
                <w:szCs w:val="20"/>
                <w:highlight w:val="none"/>
                <w14:textFill>
                  <w14:solidFill>
                    <w14:schemeClr w14:val="tx1"/>
                  </w14:solidFill>
                </w14:textFill>
              </w:rPr>
              <w:t xml:space="preserve"> </w:t>
            </w:r>
            <w:r>
              <w:rPr>
                <w:rFonts w:hint="eastAsia" w:ascii="Arial" w:hAnsi="Arial" w:eastAsia="等线" w:cs="Arial"/>
                <w:color w:val="000000" w:themeColor="text1"/>
                <w:sz w:val="20"/>
                <w:szCs w:val="20"/>
                <w:highlight w:val="none"/>
                <w:lang w:eastAsia="zh-CN"/>
                <w14:textFill>
                  <w14:solidFill>
                    <w14:schemeClr w14:val="tx1"/>
                  </w14:solidFill>
                </w14:textFill>
              </w:rPr>
              <w:t>B-cun</w:t>
            </w:r>
            <w:r>
              <w:rPr>
                <w:rFonts w:hint="eastAsia" w:ascii="Arial" w:hAnsi="Arial" w:eastAsia="等线" w:cs="Arial"/>
                <w:color w:val="000000" w:themeColor="text1"/>
                <w:sz w:val="20"/>
                <w:szCs w:val="20"/>
                <w:highlight w:val="none"/>
                <w14:textFill>
                  <w14:solidFill>
                    <w14:schemeClr w14:val="tx1"/>
                  </w14:solidFill>
                </w14:textFill>
              </w:rPr>
              <w:t xml:space="preserve"> </w:t>
            </w:r>
            <w:r>
              <w:rPr>
                <w:rFonts w:ascii="Arial" w:hAnsi="Arial" w:eastAsia="等线" w:cs="Arial"/>
                <w:color w:val="000000" w:themeColor="text1"/>
                <w:sz w:val="20"/>
                <w:szCs w:val="20"/>
                <w:highlight w:val="none"/>
                <w14:textFill>
                  <w14:solidFill>
                    <w14:schemeClr w14:val="tx1"/>
                  </w14:solidFill>
                </w14:textFill>
              </w:rPr>
              <w:t>deep. After Deqi, withdraw the needle back to the insertion point. Perform the Hegu technique* before removing the needle.</w:t>
            </w:r>
          </w:p>
        </w:tc>
      </w:tr>
      <w:tr w14:paraId="15DAD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96" w:type="dxa"/>
            <w:bottom w:w="45" w:type="dxa"/>
            <w:right w:w="96" w:type="dxa"/>
          </w:tblCellMar>
        </w:tblPrEx>
        <w:trPr>
          <w:jc w:val="center"/>
        </w:trPr>
        <w:tc>
          <w:tcPr>
            <w:tcW w:w="1358" w:type="dxa"/>
            <w:tcBorders>
              <w:top w:val="nil"/>
              <w:left w:val="nil"/>
              <w:bottom w:val="nil"/>
              <w:right w:val="nil"/>
            </w:tcBorders>
            <w:vAlign w:val="center"/>
          </w:tcPr>
          <w:p w14:paraId="5263C02C">
            <w:pPr>
              <w:snapToGrid w:val="0"/>
              <w:jc w:val="center"/>
              <w:rPr>
                <w:rFonts w:ascii="Arial" w:hAnsi="Arial" w:eastAsia="等线" w:cs="Arial"/>
                <w:color w:val="000000" w:themeColor="text1"/>
                <w:sz w:val="20"/>
                <w:szCs w:val="20"/>
                <w:highlight w:val="none"/>
                <w14:textFill>
                  <w14:solidFill>
                    <w14:schemeClr w14:val="tx1"/>
                  </w14:solidFill>
                </w14:textFill>
              </w:rPr>
            </w:pPr>
          </w:p>
        </w:tc>
        <w:tc>
          <w:tcPr>
            <w:tcW w:w="2112" w:type="dxa"/>
            <w:tcBorders>
              <w:top w:val="nil"/>
              <w:left w:val="nil"/>
              <w:bottom w:val="nil"/>
              <w:right w:val="nil"/>
            </w:tcBorders>
            <w:shd w:val="clear" w:color="auto" w:fill="auto"/>
            <w:vAlign w:val="center"/>
          </w:tcPr>
          <w:p w14:paraId="78683D49">
            <w:pPr>
              <w:snapToGrid w:val="0"/>
              <w:jc w:val="center"/>
              <w:rPr>
                <w:rFonts w:ascii="Arial" w:hAnsi="Arial" w:eastAsia="等线" w:cs="Arial"/>
                <w:color w:val="000000" w:themeColor="text1"/>
                <w:kern w:val="2"/>
                <w:sz w:val="20"/>
                <w:szCs w:val="20"/>
                <w:highlight w:val="none"/>
                <w:lang w:val="en-US" w:eastAsia="zh-CN" w:bidi="ar-SA"/>
                <w14:textFill>
                  <w14:solidFill>
                    <w14:schemeClr w14:val="tx1"/>
                  </w14:solidFill>
                </w14:textFill>
              </w:rPr>
            </w:pPr>
            <w:r>
              <w:rPr>
                <w:rFonts w:ascii="Arial" w:hAnsi="Arial" w:eastAsia="等线" w:cs="Arial"/>
                <w:color w:val="000000" w:themeColor="text1"/>
                <w:sz w:val="20"/>
                <w:szCs w:val="20"/>
                <w:highlight w:val="none"/>
                <w14:textFill>
                  <w14:solidFill>
                    <w14:schemeClr w14:val="tx1"/>
                  </w14:solidFill>
                </w14:textFill>
              </w:rPr>
              <w:t>LI10(Shousanli)</w:t>
            </w:r>
          </w:p>
        </w:tc>
        <w:tc>
          <w:tcPr>
            <w:tcW w:w="6347" w:type="dxa"/>
            <w:tcBorders>
              <w:top w:val="nil"/>
              <w:left w:val="nil"/>
              <w:bottom w:val="nil"/>
              <w:right w:val="nil"/>
            </w:tcBorders>
            <w:shd w:val="clear" w:color="auto" w:fill="auto"/>
            <w:vAlign w:val="center"/>
          </w:tcPr>
          <w:p w14:paraId="7580F3DD">
            <w:pPr>
              <w:snapToGrid w:val="0"/>
              <w:jc w:val="left"/>
              <w:rPr>
                <w:rFonts w:ascii="Arial" w:hAnsi="Arial" w:eastAsia="等线" w:cs="Arial"/>
                <w:color w:val="000000" w:themeColor="text1"/>
                <w:kern w:val="2"/>
                <w:sz w:val="20"/>
                <w:szCs w:val="20"/>
                <w:highlight w:val="none"/>
                <w:lang w:val="en-US" w:eastAsia="zh-CN" w:bidi="ar-SA"/>
                <w14:textFill>
                  <w14:solidFill>
                    <w14:schemeClr w14:val="tx1"/>
                  </w14:solidFill>
                </w14:textFill>
              </w:rPr>
            </w:pPr>
            <w:r>
              <w:rPr>
                <w:rFonts w:ascii="Arial" w:hAnsi="Arial" w:eastAsia="等线" w:cs="Arial"/>
                <w:color w:val="000000" w:themeColor="text1"/>
                <w:sz w:val="20"/>
                <w:szCs w:val="20"/>
                <w:highlight w:val="none"/>
                <w14:textFill>
                  <w14:solidFill>
                    <w14:schemeClr w14:val="tx1"/>
                  </w14:solidFill>
                </w14:textFill>
              </w:rPr>
              <w:t xml:space="preserve">On the posterolateral aspect of the forearm, on the line connecting LI5 with LI11, 2 </w:t>
            </w:r>
            <w:r>
              <w:rPr>
                <w:rFonts w:hint="eastAsia" w:ascii="Arial" w:hAnsi="Arial" w:eastAsia="等线" w:cs="Arial"/>
                <w:color w:val="000000" w:themeColor="text1"/>
                <w:sz w:val="20"/>
                <w:szCs w:val="20"/>
                <w:highlight w:val="none"/>
                <w:lang w:eastAsia="zh-CN"/>
                <w14:textFill>
                  <w14:solidFill>
                    <w14:schemeClr w14:val="tx1"/>
                  </w14:solidFill>
                </w14:textFill>
              </w:rPr>
              <w:t>B-cun</w:t>
            </w:r>
            <w:r>
              <w:rPr>
                <w:rFonts w:ascii="Arial" w:hAnsi="Arial" w:eastAsia="等线" w:cs="Arial"/>
                <w:color w:val="000000" w:themeColor="text1"/>
                <w:sz w:val="20"/>
                <w:szCs w:val="20"/>
                <w:highlight w:val="none"/>
                <w14:textFill>
                  <w14:solidFill>
                    <w14:schemeClr w14:val="tx1"/>
                  </w14:solidFill>
                </w14:textFill>
              </w:rPr>
              <w:t xml:space="preserve"> inferior to the cubital crease.</w:t>
            </w:r>
          </w:p>
        </w:tc>
        <w:tc>
          <w:tcPr>
            <w:tcW w:w="5773" w:type="dxa"/>
            <w:tcBorders>
              <w:top w:val="nil"/>
              <w:left w:val="nil"/>
              <w:bottom w:val="nil"/>
              <w:right w:val="nil"/>
            </w:tcBorders>
            <w:shd w:val="clear" w:color="auto" w:fill="auto"/>
            <w:vAlign w:val="center"/>
          </w:tcPr>
          <w:p w14:paraId="3F8B5463">
            <w:pPr>
              <w:snapToGrid w:val="0"/>
              <w:jc w:val="left"/>
              <w:rPr>
                <w:rFonts w:ascii="Arial" w:hAnsi="Arial" w:eastAsia="等线" w:cs="Arial"/>
                <w:color w:val="000000" w:themeColor="text1"/>
                <w:kern w:val="2"/>
                <w:sz w:val="20"/>
                <w:szCs w:val="20"/>
                <w:highlight w:val="none"/>
                <w:lang w:val="en-US" w:eastAsia="zh-CN" w:bidi="ar-SA"/>
                <w14:textFill>
                  <w14:solidFill>
                    <w14:schemeClr w14:val="tx1"/>
                  </w14:solidFill>
                </w14:textFill>
              </w:rPr>
            </w:pPr>
            <w:r>
              <w:rPr>
                <w:rFonts w:ascii="Arial" w:hAnsi="Arial" w:eastAsia="等线" w:cs="Arial"/>
                <w:color w:val="000000" w:themeColor="text1"/>
                <w:sz w:val="20"/>
                <w:szCs w:val="20"/>
                <w:highlight w:val="none"/>
                <w14:textFill>
                  <w14:solidFill>
                    <w14:schemeClr w14:val="tx1"/>
                  </w14:solidFill>
                </w14:textFill>
              </w:rPr>
              <w:t xml:space="preserve">Insert the needle vertically 1-1.2 </w:t>
            </w:r>
            <w:r>
              <w:rPr>
                <w:rFonts w:hint="eastAsia" w:ascii="Arial" w:hAnsi="Arial" w:eastAsia="等线" w:cs="Arial"/>
                <w:color w:val="000000" w:themeColor="text1"/>
                <w:sz w:val="20"/>
                <w:szCs w:val="20"/>
                <w:highlight w:val="none"/>
                <w:lang w:eastAsia="zh-CN"/>
                <w14:textFill>
                  <w14:solidFill>
                    <w14:schemeClr w14:val="tx1"/>
                  </w14:solidFill>
                </w14:textFill>
              </w:rPr>
              <w:t>B-cun</w:t>
            </w:r>
            <w:r>
              <w:rPr>
                <w:rFonts w:hint="eastAsia" w:ascii="Arial" w:hAnsi="Arial" w:eastAsia="等线" w:cs="Arial"/>
                <w:color w:val="000000" w:themeColor="text1"/>
                <w:sz w:val="20"/>
                <w:szCs w:val="20"/>
                <w:highlight w:val="none"/>
                <w14:textFill>
                  <w14:solidFill>
                    <w14:schemeClr w14:val="tx1"/>
                  </w14:solidFill>
                </w14:textFill>
              </w:rPr>
              <w:t xml:space="preserve"> </w:t>
            </w:r>
            <w:r>
              <w:rPr>
                <w:rFonts w:ascii="Arial" w:hAnsi="Arial" w:eastAsia="等线" w:cs="Arial"/>
                <w:color w:val="000000" w:themeColor="text1"/>
                <w:sz w:val="20"/>
                <w:szCs w:val="20"/>
                <w:highlight w:val="none"/>
                <w14:textFill>
                  <w14:solidFill>
                    <w14:schemeClr w14:val="tx1"/>
                  </w14:solidFill>
                </w14:textFill>
              </w:rPr>
              <w:t>deep. After Deqi, withdraw the needle back to the insertion point. Perform the Hegu technique* before removing the needle.</w:t>
            </w:r>
          </w:p>
        </w:tc>
      </w:tr>
      <w:tr w14:paraId="3C043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96" w:type="dxa"/>
            <w:bottom w:w="45" w:type="dxa"/>
            <w:right w:w="96" w:type="dxa"/>
          </w:tblCellMar>
        </w:tblPrEx>
        <w:trPr>
          <w:jc w:val="center"/>
        </w:trPr>
        <w:tc>
          <w:tcPr>
            <w:tcW w:w="1358" w:type="dxa"/>
            <w:tcBorders>
              <w:top w:val="nil"/>
              <w:left w:val="nil"/>
              <w:bottom w:val="nil"/>
              <w:right w:val="nil"/>
            </w:tcBorders>
            <w:vAlign w:val="center"/>
          </w:tcPr>
          <w:p w14:paraId="07E70B4F">
            <w:pPr>
              <w:snapToGrid w:val="0"/>
              <w:jc w:val="center"/>
              <w:rPr>
                <w:rFonts w:ascii="Arial" w:hAnsi="Arial" w:eastAsia="等线" w:cs="Arial"/>
                <w:color w:val="000000" w:themeColor="text1"/>
                <w:sz w:val="20"/>
                <w:szCs w:val="20"/>
                <w:highlight w:val="none"/>
                <w14:textFill>
                  <w14:solidFill>
                    <w14:schemeClr w14:val="tx1"/>
                  </w14:solidFill>
                </w14:textFill>
              </w:rPr>
            </w:pPr>
          </w:p>
        </w:tc>
        <w:tc>
          <w:tcPr>
            <w:tcW w:w="2112" w:type="dxa"/>
            <w:tcBorders>
              <w:top w:val="nil"/>
              <w:left w:val="nil"/>
              <w:bottom w:val="nil"/>
              <w:right w:val="nil"/>
            </w:tcBorders>
            <w:shd w:val="clear" w:color="auto" w:fill="auto"/>
            <w:vAlign w:val="center"/>
          </w:tcPr>
          <w:p w14:paraId="15504971">
            <w:pPr>
              <w:snapToGrid w:val="0"/>
              <w:jc w:val="center"/>
              <w:rPr>
                <w:rFonts w:ascii="Arial" w:hAnsi="Arial" w:eastAsia="等线" w:cs="Arial"/>
                <w:color w:val="000000" w:themeColor="text1"/>
                <w:kern w:val="2"/>
                <w:sz w:val="20"/>
                <w:szCs w:val="20"/>
                <w:highlight w:val="none"/>
                <w:lang w:val="en-US" w:eastAsia="zh-CN" w:bidi="ar-SA"/>
                <w14:textFill>
                  <w14:solidFill>
                    <w14:schemeClr w14:val="tx1"/>
                  </w14:solidFill>
                </w14:textFill>
              </w:rPr>
            </w:pPr>
            <w:r>
              <w:rPr>
                <w:rFonts w:ascii="Arial" w:hAnsi="Arial" w:eastAsia="等线" w:cs="Arial"/>
                <w:color w:val="000000" w:themeColor="text1"/>
                <w:sz w:val="20"/>
                <w:szCs w:val="20"/>
                <w:highlight w:val="none"/>
                <w14:textFill>
                  <w14:solidFill>
                    <w14:schemeClr w14:val="tx1"/>
                  </w14:solidFill>
                </w14:textFill>
              </w:rPr>
              <w:t>TE4(Yangchi)</w:t>
            </w:r>
          </w:p>
        </w:tc>
        <w:tc>
          <w:tcPr>
            <w:tcW w:w="6347" w:type="dxa"/>
            <w:tcBorders>
              <w:top w:val="nil"/>
              <w:left w:val="nil"/>
              <w:bottom w:val="nil"/>
              <w:right w:val="nil"/>
            </w:tcBorders>
            <w:shd w:val="clear" w:color="auto" w:fill="auto"/>
            <w:vAlign w:val="center"/>
          </w:tcPr>
          <w:p w14:paraId="7B99537C">
            <w:pPr>
              <w:snapToGrid w:val="0"/>
              <w:jc w:val="left"/>
              <w:rPr>
                <w:rFonts w:ascii="Arial" w:hAnsi="Arial" w:eastAsia="等线" w:cs="Arial"/>
                <w:color w:val="000000" w:themeColor="text1"/>
                <w:kern w:val="2"/>
                <w:sz w:val="20"/>
                <w:szCs w:val="20"/>
                <w:highlight w:val="none"/>
                <w:lang w:val="en-US" w:eastAsia="zh-CN" w:bidi="ar-SA"/>
                <w14:textFill>
                  <w14:solidFill>
                    <w14:schemeClr w14:val="tx1"/>
                  </w14:solidFill>
                </w14:textFill>
              </w:rPr>
            </w:pPr>
            <w:r>
              <w:rPr>
                <w:rFonts w:ascii="Arial" w:hAnsi="Arial" w:eastAsia="等线" w:cs="Arial"/>
                <w:color w:val="000000" w:themeColor="text1"/>
                <w:sz w:val="20"/>
                <w:szCs w:val="20"/>
                <w:highlight w:val="none"/>
                <w14:textFill>
                  <w14:solidFill>
                    <w14:schemeClr w14:val="tx1"/>
                  </w14:solidFill>
                </w14:textFill>
              </w:rPr>
              <w:t>On the posterior aspect of the wrist, in the depression ulnar to the extensor digitorum tendon, on the dorsal wrist crease.</w:t>
            </w:r>
          </w:p>
        </w:tc>
        <w:tc>
          <w:tcPr>
            <w:tcW w:w="5773" w:type="dxa"/>
            <w:tcBorders>
              <w:top w:val="nil"/>
              <w:left w:val="nil"/>
              <w:bottom w:val="nil"/>
              <w:right w:val="nil"/>
            </w:tcBorders>
            <w:shd w:val="clear" w:color="auto" w:fill="auto"/>
            <w:vAlign w:val="center"/>
          </w:tcPr>
          <w:p w14:paraId="23EE293D">
            <w:pPr>
              <w:snapToGrid w:val="0"/>
              <w:jc w:val="left"/>
              <w:rPr>
                <w:rFonts w:ascii="Arial" w:hAnsi="Arial" w:eastAsia="等线" w:cs="Arial"/>
                <w:color w:val="000000" w:themeColor="text1"/>
                <w:kern w:val="2"/>
                <w:sz w:val="20"/>
                <w:szCs w:val="20"/>
                <w:highlight w:val="none"/>
                <w:lang w:val="en-US" w:eastAsia="zh-CN" w:bidi="ar-SA"/>
                <w14:textFill>
                  <w14:solidFill>
                    <w14:schemeClr w14:val="tx1"/>
                  </w14:solidFill>
                </w14:textFill>
              </w:rPr>
            </w:pPr>
            <w:r>
              <w:rPr>
                <w:rFonts w:ascii="Arial" w:hAnsi="Arial" w:eastAsia="等线" w:cs="Arial"/>
                <w:color w:val="000000" w:themeColor="text1"/>
                <w:sz w:val="20"/>
                <w:szCs w:val="20"/>
                <w:highlight w:val="none"/>
                <w14:textFill>
                  <w14:solidFill>
                    <w14:schemeClr w14:val="tx1"/>
                  </w14:solidFill>
                </w14:textFill>
              </w:rPr>
              <w:t xml:space="preserve">Insert the needle subcutaneously 0.5-1.0 </w:t>
            </w:r>
            <w:r>
              <w:rPr>
                <w:rFonts w:hint="eastAsia" w:ascii="Arial" w:hAnsi="Arial" w:eastAsia="等线" w:cs="Arial"/>
                <w:color w:val="000000" w:themeColor="text1"/>
                <w:sz w:val="20"/>
                <w:szCs w:val="20"/>
                <w:highlight w:val="none"/>
                <w:lang w:eastAsia="zh-CN"/>
                <w14:textFill>
                  <w14:solidFill>
                    <w14:schemeClr w14:val="tx1"/>
                  </w14:solidFill>
                </w14:textFill>
              </w:rPr>
              <w:t>B-cun</w:t>
            </w:r>
            <w:r>
              <w:rPr>
                <w:rFonts w:ascii="Arial" w:hAnsi="Arial" w:eastAsia="等线" w:cs="Arial"/>
                <w:color w:val="000000" w:themeColor="text1"/>
                <w:sz w:val="20"/>
                <w:szCs w:val="20"/>
                <w:highlight w:val="none"/>
                <w14:textFill>
                  <w14:solidFill>
                    <w14:schemeClr w14:val="tx1"/>
                  </w14:solidFill>
                </w14:textFill>
              </w:rPr>
              <w:t xml:space="preserve"> towards the LI5(Yangxi) acupoint. Gently flick the needle handle. Withdraw the needle upon achieving Deqi</w:t>
            </w:r>
          </w:p>
        </w:tc>
      </w:tr>
      <w:tr w14:paraId="280F0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96" w:type="dxa"/>
            <w:bottom w:w="45" w:type="dxa"/>
            <w:right w:w="96" w:type="dxa"/>
          </w:tblCellMar>
        </w:tblPrEx>
        <w:trPr>
          <w:jc w:val="center"/>
        </w:trPr>
        <w:tc>
          <w:tcPr>
            <w:tcW w:w="1358" w:type="dxa"/>
            <w:tcBorders>
              <w:top w:val="nil"/>
              <w:left w:val="nil"/>
              <w:bottom w:val="nil"/>
              <w:right w:val="nil"/>
            </w:tcBorders>
            <w:vAlign w:val="center"/>
          </w:tcPr>
          <w:p w14:paraId="4C4A5E17">
            <w:pPr>
              <w:snapToGrid w:val="0"/>
              <w:jc w:val="center"/>
              <w:rPr>
                <w:rFonts w:ascii="Arial" w:hAnsi="Arial" w:eastAsia="等线" w:cs="Arial"/>
                <w:color w:val="000000" w:themeColor="text1"/>
                <w:sz w:val="20"/>
                <w:szCs w:val="20"/>
                <w:highlight w:val="none"/>
                <w14:textFill>
                  <w14:solidFill>
                    <w14:schemeClr w14:val="tx1"/>
                  </w14:solidFill>
                </w14:textFill>
              </w:rPr>
            </w:pPr>
          </w:p>
        </w:tc>
        <w:tc>
          <w:tcPr>
            <w:tcW w:w="2112" w:type="dxa"/>
            <w:tcBorders>
              <w:top w:val="nil"/>
              <w:left w:val="nil"/>
              <w:bottom w:val="nil"/>
              <w:right w:val="nil"/>
            </w:tcBorders>
            <w:shd w:val="clear" w:color="auto" w:fill="auto"/>
            <w:vAlign w:val="center"/>
          </w:tcPr>
          <w:p w14:paraId="1D68CDCF">
            <w:pPr>
              <w:snapToGrid w:val="0"/>
              <w:jc w:val="center"/>
              <w:rPr>
                <w:rFonts w:ascii="Arial" w:hAnsi="Arial" w:eastAsia="等线" w:cs="Arial"/>
                <w:color w:val="000000" w:themeColor="text1"/>
                <w:kern w:val="2"/>
                <w:sz w:val="20"/>
                <w:szCs w:val="20"/>
                <w:highlight w:val="none"/>
                <w:lang w:val="en-US" w:eastAsia="zh-CN" w:bidi="ar-SA"/>
                <w14:textFill>
                  <w14:solidFill>
                    <w14:schemeClr w14:val="tx1"/>
                  </w14:solidFill>
                </w14:textFill>
              </w:rPr>
            </w:pPr>
            <w:r>
              <w:rPr>
                <w:rFonts w:ascii="Arial" w:hAnsi="Arial" w:eastAsia="等线" w:cs="Arial"/>
                <w:color w:val="000000" w:themeColor="text1"/>
                <w:sz w:val="20"/>
                <w:szCs w:val="20"/>
                <w:highlight w:val="none"/>
                <w14:textFill>
                  <w14:solidFill>
                    <w14:schemeClr w14:val="tx1"/>
                  </w14:solidFill>
                </w14:textFill>
              </w:rPr>
              <w:t>BL24(Qihaishu)</w:t>
            </w:r>
          </w:p>
        </w:tc>
        <w:tc>
          <w:tcPr>
            <w:tcW w:w="6347" w:type="dxa"/>
            <w:tcBorders>
              <w:top w:val="nil"/>
              <w:left w:val="nil"/>
              <w:bottom w:val="nil"/>
              <w:right w:val="nil"/>
            </w:tcBorders>
            <w:shd w:val="clear" w:color="auto" w:fill="auto"/>
            <w:vAlign w:val="center"/>
          </w:tcPr>
          <w:p w14:paraId="33F523E8">
            <w:pPr>
              <w:snapToGrid w:val="0"/>
              <w:jc w:val="left"/>
              <w:rPr>
                <w:rFonts w:ascii="Arial" w:hAnsi="Arial" w:eastAsia="等线" w:cs="Arial"/>
                <w:color w:val="000000" w:themeColor="text1"/>
                <w:kern w:val="2"/>
                <w:sz w:val="20"/>
                <w:szCs w:val="20"/>
                <w:highlight w:val="none"/>
                <w:lang w:val="en-US" w:eastAsia="zh-CN" w:bidi="ar-SA"/>
                <w14:textFill>
                  <w14:solidFill>
                    <w14:schemeClr w14:val="tx1"/>
                  </w14:solidFill>
                </w14:textFill>
              </w:rPr>
            </w:pPr>
            <w:r>
              <w:rPr>
                <w:rFonts w:ascii="Arial" w:hAnsi="Arial" w:eastAsia="等线" w:cs="Arial"/>
                <w:color w:val="000000" w:themeColor="text1"/>
                <w:sz w:val="20"/>
                <w:szCs w:val="20"/>
                <w:highlight w:val="none"/>
                <w14:textFill>
                  <w14:solidFill>
                    <w14:schemeClr w14:val="tx1"/>
                  </w14:solidFill>
                </w14:textFill>
              </w:rPr>
              <w:t xml:space="preserve">In the lumbar region, at the same level as the inferior border of the spinous process of the third lumbar vertebra (L3), 1.5 </w:t>
            </w:r>
            <w:r>
              <w:rPr>
                <w:rFonts w:hint="eastAsia" w:ascii="Arial" w:hAnsi="Arial" w:eastAsia="等线" w:cs="Arial"/>
                <w:color w:val="000000" w:themeColor="text1"/>
                <w:sz w:val="20"/>
                <w:szCs w:val="20"/>
                <w:highlight w:val="none"/>
                <w:lang w:eastAsia="zh-CN"/>
                <w14:textFill>
                  <w14:solidFill>
                    <w14:schemeClr w14:val="tx1"/>
                  </w14:solidFill>
                </w14:textFill>
              </w:rPr>
              <w:t>B-cun</w:t>
            </w:r>
            <w:r>
              <w:rPr>
                <w:rFonts w:ascii="Arial" w:hAnsi="Arial" w:eastAsia="等线" w:cs="Arial"/>
                <w:color w:val="000000" w:themeColor="text1"/>
                <w:sz w:val="20"/>
                <w:szCs w:val="20"/>
                <w:highlight w:val="none"/>
                <w14:textFill>
                  <w14:solidFill>
                    <w14:schemeClr w14:val="tx1"/>
                  </w14:solidFill>
                </w14:textFill>
              </w:rPr>
              <w:t xml:space="preserve"> lateral to the posterior median line.</w:t>
            </w:r>
          </w:p>
        </w:tc>
        <w:tc>
          <w:tcPr>
            <w:tcW w:w="5773" w:type="dxa"/>
            <w:tcBorders>
              <w:top w:val="nil"/>
              <w:left w:val="nil"/>
              <w:bottom w:val="nil"/>
              <w:right w:val="nil"/>
            </w:tcBorders>
            <w:shd w:val="clear" w:color="auto" w:fill="auto"/>
            <w:vAlign w:val="center"/>
          </w:tcPr>
          <w:p w14:paraId="13F8F2CD">
            <w:pPr>
              <w:snapToGrid w:val="0"/>
              <w:jc w:val="left"/>
              <w:rPr>
                <w:rFonts w:ascii="Arial" w:hAnsi="Arial" w:eastAsia="等线" w:cs="Arial"/>
                <w:color w:val="000000" w:themeColor="text1"/>
                <w:kern w:val="2"/>
                <w:sz w:val="20"/>
                <w:szCs w:val="20"/>
                <w:highlight w:val="none"/>
                <w:lang w:val="en-US" w:eastAsia="zh-CN" w:bidi="ar-SA"/>
                <w14:textFill>
                  <w14:solidFill>
                    <w14:schemeClr w14:val="tx1"/>
                  </w14:solidFill>
                </w14:textFill>
              </w:rPr>
            </w:pPr>
            <w:r>
              <w:rPr>
                <w:rFonts w:ascii="Arial" w:hAnsi="Arial" w:eastAsia="等线" w:cs="Arial"/>
                <w:color w:val="000000" w:themeColor="text1"/>
                <w:sz w:val="20"/>
                <w:szCs w:val="20"/>
                <w:highlight w:val="none"/>
                <w14:textFill>
                  <w14:solidFill>
                    <w14:schemeClr w14:val="tx1"/>
                  </w14:solidFill>
                </w14:textFill>
              </w:rPr>
              <w:t xml:space="preserve">Insert the needle vertically 1.2-1.5 </w:t>
            </w:r>
            <w:r>
              <w:rPr>
                <w:rFonts w:hint="eastAsia" w:ascii="Arial" w:hAnsi="Arial" w:eastAsia="等线" w:cs="Arial"/>
                <w:color w:val="000000" w:themeColor="text1"/>
                <w:sz w:val="20"/>
                <w:szCs w:val="20"/>
                <w:highlight w:val="none"/>
                <w:lang w:eastAsia="zh-CN"/>
                <w14:textFill>
                  <w14:solidFill>
                    <w14:schemeClr w14:val="tx1"/>
                  </w14:solidFill>
                </w14:textFill>
              </w:rPr>
              <w:t>B-cun</w:t>
            </w:r>
            <w:r>
              <w:rPr>
                <w:rFonts w:ascii="Arial" w:hAnsi="Arial" w:eastAsia="等线" w:cs="Arial"/>
                <w:color w:val="000000" w:themeColor="text1"/>
                <w:sz w:val="20"/>
                <w:szCs w:val="20"/>
                <w:highlight w:val="none"/>
                <w14:textFill>
                  <w14:solidFill>
                    <w14:schemeClr w14:val="tx1"/>
                  </w14:solidFill>
                </w14:textFill>
              </w:rPr>
              <w:t xml:space="preserve"> deep. After Deqi, withdraw the needle back to the insertion point. Perform the Hegu technique before removing the needle.</w:t>
            </w:r>
          </w:p>
        </w:tc>
      </w:tr>
      <w:tr w14:paraId="556BA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96" w:type="dxa"/>
            <w:bottom w:w="45" w:type="dxa"/>
            <w:right w:w="96" w:type="dxa"/>
          </w:tblCellMar>
        </w:tblPrEx>
        <w:trPr>
          <w:jc w:val="center"/>
        </w:trPr>
        <w:tc>
          <w:tcPr>
            <w:tcW w:w="1358" w:type="dxa"/>
            <w:tcBorders>
              <w:top w:val="nil"/>
              <w:left w:val="nil"/>
              <w:bottom w:val="nil"/>
              <w:right w:val="nil"/>
            </w:tcBorders>
            <w:vAlign w:val="center"/>
          </w:tcPr>
          <w:p w14:paraId="4B4B4B06">
            <w:pPr>
              <w:snapToGrid w:val="0"/>
              <w:jc w:val="center"/>
              <w:rPr>
                <w:rFonts w:ascii="Arial" w:hAnsi="Arial" w:eastAsia="等线" w:cs="Arial"/>
                <w:color w:val="000000" w:themeColor="text1"/>
                <w:sz w:val="20"/>
                <w:szCs w:val="20"/>
                <w:highlight w:val="none"/>
                <w14:textFill>
                  <w14:solidFill>
                    <w14:schemeClr w14:val="tx1"/>
                  </w14:solidFill>
                </w14:textFill>
              </w:rPr>
            </w:pPr>
          </w:p>
        </w:tc>
        <w:tc>
          <w:tcPr>
            <w:tcW w:w="2112" w:type="dxa"/>
            <w:tcBorders>
              <w:top w:val="nil"/>
              <w:left w:val="nil"/>
              <w:bottom w:val="nil"/>
              <w:right w:val="nil"/>
            </w:tcBorders>
            <w:shd w:val="clear" w:color="auto" w:fill="auto"/>
            <w:vAlign w:val="center"/>
          </w:tcPr>
          <w:p w14:paraId="2FA93AB1">
            <w:pPr>
              <w:snapToGrid w:val="0"/>
              <w:jc w:val="center"/>
              <w:rPr>
                <w:rFonts w:ascii="Arial" w:hAnsi="Arial" w:eastAsia="等线" w:cs="Arial"/>
                <w:color w:val="000000" w:themeColor="text1"/>
                <w:kern w:val="2"/>
                <w:sz w:val="20"/>
                <w:szCs w:val="20"/>
                <w:highlight w:val="none"/>
                <w:lang w:val="en-US" w:eastAsia="zh-CN" w:bidi="ar-SA"/>
                <w14:textFill>
                  <w14:solidFill>
                    <w14:schemeClr w14:val="tx1"/>
                  </w14:solidFill>
                </w14:textFill>
              </w:rPr>
            </w:pPr>
            <w:r>
              <w:rPr>
                <w:rFonts w:ascii="Arial" w:hAnsi="Arial" w:eastAsia="等线" w:cs="Arial"/>
                <w:color w:val="000000" w:themeColor="text1"/>
                <w:sz w:val="20"/>
                <w:szCs w:val="20"/>
                <w:highlight w:val="none"/>
                <w14:textFill>
                  <w14:solidFill>
                    <w14:schemeClr w14:val="tx1"/>
                  </w14:solidFill>
                </w14:textFill>
              </w:rPr>
              <w:t>GB33(Xiyangguan)</w:t>
            </w:r>
          </w:p>
        </w:tc>
        <w:tc>
          <w:tcPr>
            <w:tcW w:w="6347" w:type="dxa"/>
            <w:tcBorders>
              <w:top w:val="nil"/>
              <w:left w:val="nil"/>
              <w:bottom w:val="nil"/>
              <w:right w:val="nil"/>
            </w:tcBorders>
            <w:shd w:val="clear" w:color="auto" w:fill="auto"/>
            <w:vAlign w:val="center"/>
          </w:tcPr>
          <w:p w14:paraId="3885828E">
            <w:pPr>
              <w:snapToGrid w:val="0"/>
              <w:jc w:val="left"/>
              <w:rPr>
                <w:rFonts w:ascii="Arial" w:hAnsi="Arial" w:eastAsia="等线" w:cs="Arial"/>
                <w:color w:val="000000" w:themeColor="text1"/>
                <w:kern w:val="2"/>
                <w:sz w:val="20"/>
                <w:szCs w:val="20"/>
                <w:highlight w:val="none"/>
                <w:lang w:val="en-US" w:eastAsia="zh-CN" w:bidi="ar-SA"/>
                <w14:textFill>
                  <w14:solidFill>
                    <w14:schemeClr w14:val="tx1"/>
                  </w14:solidFill>
                </w14:textFill>
              </w:rPr>
            </w:pPr>
            <w:r>
              <w:rPr>
                <w:rFonts w:ascii="Arial" w:hAnsi="Arial" w:eastAsia="等线" w:cs="Arial"/>
                <w:color w:val="000000" w:themeColor="text1"/>
                <w:sz w:val="20"/>
                <w:szCs w:val="20"/>
                <w:highlight w:val="none"/>
                <w14:textFill>
                  <w14:solidFill>
                    <w14:schemeClr w14:val="tx1"/>
                  </w14:solidFill>
                </w14:textFill>
              </w:rPr>
              <w:t>On the lateral aspect of the knee, in the depression between the biceps femoris tendon and the iliotibial band, posterior and proximal to the lateral epicondyle of the femur.</w:t>
            </w:r>
          </w:p>
        </w:tc>
        <w:tc>
          <w:tcPr>
            <w:tcW w:w="5773" w:type="dxa"/>
            <w:tcBorders>
              <w:top w:val="nil"/>
              <w:left w:val="nil"/>
              <w:bottom w:val="nil"/>
              <w:right w:val="nil"/>
            </w:tcBorders>
            <w:shd w:val="clear" w:color="auto" w:fill="auto"/>
            <w:vAlign w:val="center"/>
          </w:tcPr>
          <w:p w14:paraId="0AFC7FDF">
            <w:pPr>
              <w:snapToGrid w:val="0"/>
              <w:jc w:val="left"/>
              <w:rPr>
                <w:rFonts w:ascii="Arial" w:hAnsi="Arial" w:eastAsia="等线" w:cs="Arial"/>
                <w:color w:val="000000" w:themeColor="text1"/>
                <w:kern w:val="2"/>
                <w:sz w:val="20"/>
                <w:szCs w:val="20"/>
                <w:highlight w:val="none"/>
                <w:lang w:val="en-US" w:eastAsia="zh-CN" w:bidi="ar-SA"/>
                <w14:textFill>
                  <w14:solidFill>
                    <w14:schemeClr w14:val="tx1"/>
                  </w14:solidFill>
                </w14:textFill>
              </w:rPr>
            </w:pPr>
            <w:r>
              <w:rPr>
                <w:rFonts w:ascii="Arial" w:hAnsi="Arial" w:eastAsia="等线" w:cs="Arial"/>
                <w:color w:val="000000" w:themeColor="text1"/>
                <w:sz w:val="20"/>
                <w:szCs w:val="20"/>
                <w:highlight w:val="none"/>
                <w14:textFill>
                  <w14:solidFill>
                    <w14:schemeClr w14:val="tx1"/>
                  </w14:solidFill>
                </w14:textFill>
              </w:rPr>
              <w:t xml:space="preserve">Insert the needle vertically 1.2-1.5 </w:t>
            </w:r>
            <w:r>
              <w:rPr>
                <w:rFonts w:hint="eastAsia" w:ascii="Arial" w:hAnsi="Arial" w:eastAsia="等线" w:cs="Arial"/>
                <w:color w:val="000000" w:themeColor="text1"/>
                <w:sz w:val="20"/>
                <w:szCs w:val="20"/>
                <w:highlight w:val="none"/>
                <w:lang w:eastAsia="zh-CN"/>
                <w14:textFill>
                  <w14:solidFill>
                    <w14:schemeClr w14:val="tx1"/>
                  </w14:solidFill>
                </w14:textFill>
              </w:rPr>
              <w:t>B-cun</w:t>
            </w:r>
            <w:r>
              <w:rPr>
                <w:rFonts w:ascii="Arial" w:hAnsi="Arial" w:eastAsia="等线" w:cs="Arial"/>
                <w:color w:val="000000" w:themeColor="text1"/>
                <w:sz w:val="20"/>
                <w:szCs w:val="20"/>
                <w:highlight w:val="none"/>
                <w14:textFill>
                  <w14:solidFill>
                    <w14:schemeClr w14:val="tx1"/>
                  </w14:solidFill>
                </w14:textFill>
              </w:rPr>
              <w:t xml:space="preserve"> deep. After deqi, withdraw the needle back to the insertion point. Perform the Hegu technique before removing the needle.</w:t>
            </w:r>
          </w:p>
        </w:tc>
      </w:tr>
      <w:tr w14:paraId="1C3A1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96" w:type="dxa"/>
            <w:bottom w:w="45" w:type="dxa"/>
            <w:right w:w="96" w:type="dxa"/>
          </w:tblCellMar>
        </w:tblPrEx>
        <w:trPr>
          <w:jc w:val="center"/>
        </w:trPr>
        <w:tc>
          <w:tcPr>
            <w:tcW w:w="1358" w:type="dxa"/>
            <w:tcBorders>
              <w:top w:val="nil"/>
              <w:left w:val="nil"/>
              <w:bottom w:val="nil"/>
              <w:right w:val="nil"/>
            </w:tcBorders>
            <w:vAlign w:val="center"/>
          </w:tcPr>
          <w:p w14:paraId="41B86F43">
            <w:pPr>
              <w:snapToGrid w:val="0"/>
              <w:jc w:val="center"/>
              <w:rPr>
                <w:rFonts w:ascii="Arial" w:hAnsi="Arial" w:eastAsia="等线" w:cs="Arial"/>
                <w:color w:val="000000" w:themeColor="text1"/>
                <w:sz w:val="20"/>
                <w:szCs w:val="20"/>
                <w:highlight w:val="none"/>
                <w14:textFill>
                  <w14:solidFill>
                    <w14:schemeClr w14:val="tx1"/>
                  </w14:solidFill>
                </w14:textFill>
              </w:rPr>
            </w:pPr>
          </w:p>
        </w:tc>
        <w:tc>
          <w:tcPr>
            <w:tcW w:w="2112" w:type="dxa"/>
            <w:tcBorders>
              <w:top w:val="nil"/>
              <w:left w:val="nil"/>
              <w:bottom w:val="nil"/>
              <w:right w:val="nil"/>
            </w:tcBorders>
            <w:shd w:val="clear" w:color="auto" w:fill="auto"/>
            <w:vAlign w:val="center"/>
          </w:tcPr>
          <w:p w14:paraId="2F44E9D0">
            <w:pPr>
              <w:snapToGrid w:val="0"/>
              <w:jc w:val="center"/>
              <w:rPr>
                <w:rFonts w:ascii="Arial" w:hAnsi="Arial" w:eastAsia="等线" w:cs="Arial"/>
                <w:color w:val="000000" w:themeColor="text1"/>
                <w:kern w:val="2"/>
                <w:sz w:val="20"/>
                <w:szCs w:val="20"/>
                <w:highlight w:val="none"/>
                <w:lang w:val="en-US" w:eastAsia="zh-CN" w:bidi="ar-SA"/>
                <w14:textFill>
                  <w14:solidFill>
                    <w14:schemeClr w14:val="tx1"/>
                  </w14:solidFill>
                </w14:textFill>
              </w:rPr>
            </w:pPr>
            <w:r>
              <w:rPr>
                <w:rFonts w:ascii="Arial" w:hAnsi="Arial" w:eastAsia="等线" w:cs="Arial"/>
                <w:color w:val="000000" w:themeColor="text1"/>
                <w:sz w:val="20"/>
                <w:szCs w:val="20"/>
                <w:highlight w:val="none"/>
                <w14:textFill>
                  <w14:solidFill>
                    <w14:schemeClr w14:val="tx1"/>
                  </w14:solidFill>
                </w14:textFill>
              </w:rPr>
              <w:t>BL58(Feiyang)</w:t>
            </w:r>
          </w:p>
        </w:tc>
        <w:tc>
          <w:tcPr>
            <w:tcW w:w="6347" w:type="dxa"/>
            <w:tcBorders>
              <w:top w:val="nil"/>
              <w:left w:val="nil"/>
              <w:bottom w:val="nil"/>
              <w:right w:val="nil"/>
            </w:tcBorders>
            <w:shd w:val="clear" w:color="auto" w:fill="auto"/>
            <w:vAlign w:val="center"/>
          </w:tcPr>
          <w:p w14:paraId="0732C2B8">
            <w:pPr>
              <w:snapToGrid w:val="0"/>
              <w:jc w:val="left"/>
              <w:rPr>
                <w:rFonts w:ascii="Arial" w:hAnsi="Arial" w:eastAsia="等线" w:cs="Arial"/>
                <w:color w:val="000000" w:themeColor="text1"/>
                <w:kern w:val="2"/>
                <w:sz w:val="20"/>
                <w:szCs w:val="20"/>
                <w:highlight w:val="none"/>
                <w:lang w:val="en-US" w:eastAsia="zh-CN" w:bidi="ar-SA"/>
                <w14:textFill>
                  <w14:solidFill>
                    <w14:schemeClr w14:val="tx1"/>
                  </w14:solidFill>
                </w14:textFill>
              </w:rPr>
            </w:pPr>
            <w:r>
              <w:rPr>
                <w:rFonts w:ascii="Arial" w:hAnsi="Arial" w:eastAsia="等线" w:cs="Arial"/>
                <w:color w:val="000000" w:themeColor="text1"/>
                <w:sz w:val="20"/>
                <w:szCs w:val="20"/>
                <w:highlight w:val="none"/>
                <w14:textFill>
                  <w14:solidFill>
                    <w14:schemeClr w14:val="tx1"/>
                  </w14:solidFill>
                </w14:textFill>
              </w:rPr>
              <w:t xml:space="preserve">On the posterolateral aspect of the leg, between the inferior border of the lateral head of the gastrocnemius muscle and the calcaneal tendon, at the same level as 7 </w:t>
            </w:r>
            <w:r>
              <w:rPr>
                <w:rFonts w:hint="eastAsia" w:ascii="Arial" w:hAnsi="Arial" w:eastAsia="等线" w:cs="Arial"/>
                <w:color w:val="000000" w:themeColor="text1"/>
                <w:sz w:val="20"/>
                <w:szCs w:val="20"/>
                <w:highlight w:val="none"/>
                <w:lang w:eastAsia="zh-CN"/>
                <w14:textFill>
                  <w14:solidFill>
                    <w14:schemeClr w14:val="tx1"/>
                  </w14:solidFill>
                </w14:textFill>
              </w:rPr>
              <w:t>B-cun</w:t>
            </w:r>
            <w:r>
              <w:rPr>
                <w:rFonts w:ascii="Arial" w:hAnsi="Arial" w:eastAsia="等线" w:cs="Arial"/>
                <w:color w:val="000000" w:themeColor="text1"/>
                <w:sz w:val="20"/>
                <w:szCs w:val="20"/>
                <w:highlight w:val="none"/>
                <w14:textFill>
                  <w14:solidFill>
                    <w14:schemeClr w14:val="tx1"/>
                  </w14:solidFill>
                </w14:textFill>
              </w:rPr>
              <w:t xml:space="preserve"> proximal to BL60.</w:t>
            </w:r>
          </w:p>
        </w:tc>
        <w:tc>
          <w:tcPr>
            <w:tcW w:w="5773" w:type="dxa"/>
            <w:tcBorders>
              <w:top w:val="nil"/>
              <w:left w:val="nil"/>
              <w:bottom w:val="nil"/>
              <w:right w:val="nil"/>
            </w:tcBorders>
            <w:shd w:val="clear" w:color="auto" w:fill="auto"/>
            <w:vAlign w:val="center"/>
          </w:tcPr>
          <w:p w14:paraId="6655B0C5">
            <w:pPr>
              <w:snapToGrid w:val="0"/>
              <w:jc w:val="left"/>
              <w:rPr>
                <w:rFonts w:ascii="Arial" w:hAnsi="Arial" w:eastAsia="等线" w:cs="Arial"/>
                <w:color w:val="000000" w:themeColor="text1"/>
                <w:kern w:val="2"/>
                <w:sz w:val="20"/>
                <w:szCs w:val="20"/>
                <w:highlight w:val="none"/>
                <w:lang w:val="en-US" w:eastAsia="zh-CN" w:bidi="ar-SA"/>
                <w14:textFill>
                  <w14:solidFill>
                    <w14:schemeClr w14:val="tx1"/>
                  </w14:solidFill>
                </w14:textFill>
              </w:rPr>
            </w:pPr>
            <w:r>
              <w:rPr>
                <w:rFonts w:ascii="Arial" w:hAnsi="Arial" w:eastAsia="等线" w:cs="Arial"/>
                <w:color w:val="000000" w:themeColor="text1"/>
                <w:sz w:val="20"/>
                <w:szCs w:val="20"/>
                <w:highlight w:val="none"/>
                <w14:textFill>
                  <w14:solidFill>
                    <w14:schemeClr w14:val="tx1"/>
                  </w14:solidFill>
                </w14:textFill>
              </w:rPr>
              <w:t xml:space="preserve">Insert the needle vertically 1.2-1.5 inches </w:t>
            </w:r>
            <w:r>
              <w:rPr>
                <w:rFonts w:hint="eastAsia" w:ascii="Arial" w:hAnsi="Arial" w:eastAsia="等线" w:cs="Arial"/>
                <w:color w:val="000000" w:themeColor="text1"/>
                <w:sz w:val="20"/>
                <w:szCs w:val="20"/>
                <w:highlight w:val="none"/>
                <w:lang w:eastAsia="zh-CN"/>
                <w14:textFill>
                  <w14:solidFill>
                    <w14:schemeClr w14:val="tx1"/>
                  </w14:solidFill>
                </w14:textFill>
              </w:rPr>
              <w:t>B-cun</w:t>
            </w:r>
            <w:r>
              <w:rPr>
                <w:rFonts w:ascii="Arial" w:hAnsi="Arial" w:eastAsia="等线" w:cs="Arial"/>
                <w:color w:val="000000" w:themeColor="text1"/>
                <w:sz w:val="20"/>
                <w:szCs w:val="20"/>
                <w:highlight w:val="none"/>
                <w14:textFill>
                  <w14:solidFill>
                    <w14:schemeClr w14:val="tx1"/>
                  </w14:solidFill>
                </w14:textFill>
              </w:rPr>
              <w:t xml:space="preserve"> deep. After deqi, withdraw the needle back to the insertion point. Perform the Hegu technique before removing the needle.</w:t>
            </w:r>
          </w:p>
        </w:tc>
      </w:tr>
      <w:tr w14:paraId="1CEEF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96" w:type="dxa"/>
            <w:bottom w:w="45" w:type="dxa"/>
            <w:right w:w="96" w:type="dxa"/>
          </w:tblCellMar>
        </w:tblPrEx>
        <w:trPr>
          <w:jc w:val="center"/>
        </w:trPr>
        <w:tc>
          <w:tcPr>
            <w:tcW w:w="1358" w:type="dxa"/>
            <w:tcBorders>
              <w:top w:val="nil"/>
              <w:left w:val="nil"/>
              <w:bottom w:val="nil"/>
              <w:right w:val="nil"/>
            </w:tcBorders>
            <w:vAlign w:val="center"/>
          </w:tcPr>
          <w:p w14:paraId="0636D833">
            <w:pPr>
              <w:snapToGrid w:val="0"/>
              <w:jc w:val="center"/>
              <w:rPr>
                <w:rFonts w:ascii="Arial" w:hAnsi="Arial" w:eastAsia="等线" w:cs="Arial"/>
                <w:b/>
                <w:bCs/>
                <w:color w:val="000000" w:themeColor="text1"/>
                <w:sz w:val="20"/>
                <w:szCs w:val="20"/>
                <w:highlight w:val="none"/>
                <w14:textFill>
                  <w14:solidFill>
                    <w14:schemeClr w14:val="tx1"/>
                  </w14:solidFill>
                </w14:textFill>
              </w:rPr>
            </w:pPr>
            <w:r>
              <w:rPr>
                <w:rFonts w:ascii="Arial" w:hAnsi="Arial" w:eastAsia="等线" w:cs="Arial"/>
                <w:b/>
                <w:bCs/>
                <w:color w:val="000000" w:themeColor="text1"/>
                <w:sz w:val="20"/>
                <w:szCs w:val="20"/>
                <w:highlight w:val="none"/>
                <w14:textFill>
                  <w14:solidFill>
                    <w14:schemeClr w14:val="tx1"/>
                  </w14:solidFill>
                </w14:textFill>
              </w:rPr>
              <w:t>Acupoint formula 2</w:t>
            </w:r>
          </w:p>
        </w:tc>
        <w:tc>
          <w:tcPr>
            <w:tcW w:w="2112" w:type="dxa"/>
            <w:tcBorders>
              <w:top w:val="nil"/>
              <w:left w:val="nil"/>
              <w:bottom w:val="nil"/>
              <w:right w:val="nil"/>
            </w:tcBorders>
            <w:vAlign w:val="center"/>
          </w:tcPr>
          <w:p w14:paraId="53C23C40">
            <w:pPr>
              <w:snapToGrid w:val="0"/>
              <w:jc w:val="center"/>
              <w:rPr>
                <w:rFonts w:ascii="Arial" w:hAnsi="Arial" w:eastAsia="等线" w:cs="Arial"/>
                <w:color w:val="000000" w:themeColor="text1"/>
                <w:sz w:val="20"/>
                <w:szCs w:val="20"/>
                <w:highlight w:val="none"/>
                <w14:textFill>
                  <w14:solidFill>
                    <w14:schemeClr w14:val="tx1"/>
                  </w14:solidFill>
                </w14:textFill>
              </w:rPr>
            </w:pPr>
            <w:r>
              <w:rPr>
                <w:rFonts w:hint="eastAsia" w:ascii="Arial" w:hAnsi="Arial" w:eastAsia="等线" w:cs="Arial"/>
                <w:color w:val="000000" w:themeColor="text1"/>
                <w:sz w:val="20"/>
                <w:szCs w:val="20"/>
                <w:highlight w:val="none"/>
                <w14:textFill>
                  <w14:solidFill>
                    <w14:schemeClr w14:val="tx1"/>
                  </w14:solidFill>
                </w14:textFill>
              </w:rPr>
              <w:t>GV20 (Baihui</w:t>
            </w:r>
            <w:r>
              <w:rPr>
                <w:rFonts w:ascii="Arial" w:hAnsi="Arial" w:eastAsia="等线" w:cs="Arial"/>
                <w:color w:val="000000" w:themeColor="text1"/>
                <w:sz w:val="20"/>
                <w:szCs w:val="20"/>
                <w:highlight w:val="none"/>
                <w14:textFill>
                  <w14:solidFill>
                    <w14:schemeClr w14:val="tx1"/>
                  </w14:solidFill>
                </w14:textFill>
              </w:rPr>
              <w:t>）</w:t>
            </w:r>
          </w:p>
        </w:tc>
        <w:tc>
          <w:tcPr>
            <w:tcW w:w="6347" w:type="dxa"/>
            <w:tcBorders>
              <w:top w:val="nil"/>
              <w:left w:val="nil"/>
              <w:bottom w:val="nil"/>
              <w:right w:val="nil"/>
            </w:tcBorders>
            <w:vAlign w:val="center"/>
          </w:tcPr>
          <w:p w14:paraId="3485A60D">
            <w:pPr>
              <w:snapToGrid w:val="0"/>
              <w:jc w:val="left"/>
              <w:rPr>
                <w:rFonts w:ascii="Arial" w:hAnsi="Arial" w:eastAsia="等线" w:cs="Arial"/>
                <w:color w:val="000000" w:themeColor="text1"/>
                <w:sz w:val="20"/>
                <w:szCs w:val="20"/>
                <w:highlight w:val="none"/>
                <w14:textFill>
                  <w14:solidFill>
                    <w14:schemeClr w14:val="tx1"/>
                  </w14:solidFill>
                </w14:textFill>
              </w:rPr>
            </w:pPr>
            <w:r>
              <w:rPr>
                <w:rFonts w:hint="eastAsia" w:ascii="Arial" w:hAnsi="Arial" w:eastAsia="等线" w:cs="Arial"/>
                <w:color w:val="000000" w:themeColor="text1"/>
                <w:sz w:val="20"/>
                <w:szCs w:val="20"/>
                <w:highlight w:val="none"/>
                <w14:textFill>
                  <w14:solidFill>
                    <w14:schemeClr w14:val="tx1"/>
                  </w14:solidFill>
                </w14:textFill>
              </w:rPr>
              <w:t>On the head, 5 cun directly above the midpoint of the anterior hairline, at the midpoint of the line connecting the tips of the ears</w:t>
            </w:r>
            <w:r>
              <w:rPr>
                <w:rFonts w:ascii="Arial" w:hAnsi="Arial" w:eastAsia="等线" w:cs="Arial"/>
                <w:color w:val="000000" w:themeColor="text1"/>
                <w:sz w:val="20"/>
                <w:szCs w:val="20"/>
                <w:highlight w:val="none"/>
                <w14:textFill>
                  <w14:solidFill>
                    <w14:schemeClr w14:val="tx1"/>
                  </w14:solidFill>
                </w14:textFill>
              </w:rPr>
              <w:t xml:space="preserve">. </w:t>
            </w:r>
          </w:p>
        </w:tc>
        <w:tc>
          <w:tcPr>
            <w:tcW w:w="5773" w:type="dxa"/>
            <w:tcBorders>
              <w:top w:val="nil"/>
              <w:left w:val="nil"/>
              <w:bottom w:val="nil"/>
              <w:right w:val="nil"/>
            </w:tcBorders>
            <w:shd w:val="clear" w:color="auto" w:fill="auto"/>
            <w:vAlign w:val="center"/>
          </w:tcPr>
          <w:p w14:paraId="66F270E6">
            <w:pPr>
              <w:snapToGrid w:val="0"/>
              <w:jc w:val="left"/>
              <w:rPr>
                <w:rFonts w:ascii="Arial" w:hAnsi="Arial" w:eastAsia="等线" w:cs="Arial"/>
                <w:color w:val="000000" w:themeColor="text1"/>
                <w:kern w:val="2"/>
                <w:sz w:val="20"/>
                <w:szCs w:val="20"/>
                <w:highlight w:val="none"/>
                <w:lang w:val="en-US" w:eastAsia="zh-CN" w:bidi="ar-SA"/>
                <w14:textFill>
                  <w14:solidFill>
                    <w14:schemeClr w14:val="tx1"/>
                  </w14:solidFill>
                </w14:textFill>
              </w:rPr>
            </w:pPr>
            <w:r>
              <w:rPr>
                <w:rFonts w:ascii="Arial" w:hAnsi="Arial" w:eastAsia="等线" w:cs="Arial"/>
                <w:color w:val="000000" w:themeColor="text1"/>
                <w:sz w:val="20"/>
                <w:szCs w:val="20"/>
                <w:highlight w:val="none"/>
                <w14:textFill>
                  <w14:solidFill>
                    <w14:schemeClr w14:val="tx1"/>
                  </w14:solidFill>
                </w14:textFill>
              </w:rPr>
              <w:t xml:space="preserve">Insert the needle </w:t>
            </w:r>
            <w:r>
              <w:rPr>
                <w:rFonts w:hint="eastAsia" w:ascii="Arial" w:hAnsi="Arial" w:eastAsia="等线" w:cs="Arial"/>
                <w:color w:val="000000" w:themeColor="text1"/>
                <w:sz w:val="20"/>
                <w:szCs w:val="20"/>
                <w:highlight w:val="none"/>
                <w14:textFill>
                  <w14:solidFill>
                    <w14:schemeClr w14:val="tx1"/>
                  </w14:solidFill>
                </w14:textFill>
              </w:rPr>
              <w:t>horizontally</w:t>
            </w:r>
            <w:r>
              <w:rPr>
                <w:rFonts w:ascii="Arial" w:hAnsi="Arial" w:eastAsia="等线" w:cs="Arial"/>
                <w:color w:val="000000" w:themeColor="text1"/>
                <w:sz w:val="20"/>
                <w:szCs w:val="20"/>
                <w:highlight w:val="none"/>
                <w14:textFill>
                  <w14:solidFill>
                    <w14:schemeClr w14:val="tx1"/>
                  </w14:solidFill>
                </w14:textFill>
              </w:rPr>
              <w:t xml:space="preserve"> </w:t>
            </w:r>
            <w:r>
              <w:rPr>
                <w:rFonts w:hint="eastAsia" w:ascii="Arial" w:hAnsi="Arial" w:eastAsia="等线" w:cs="Arial"/>
                <w:color w:val="000000" w:themeColor="text1"/>
                <w:sz w:val="20"/>
                <w:szCs w:val="20"/>
                <w:highlight w:val="none"/>
                <w:lang w:val="en-US" w:eastAsia="zh-CN"/>
                <w14:textFill>
                  <w14:solidFill>
                    <w14:schemeClr w14:val="tx1"/>
                  </w14:solidFill>
                </w14:textFill>
              </w:rPr>
              <w:t>0.3</w:t>
            </w:r>
            <w:r>
              <w:rPr>
                <w:rFonts w:ascii="Arial" w:hAnsi="Arial" w:eastAsia="等线" w:cs="Arial"/>
                <w:color w:val="000000" w:themeColor="text1"/>
                <w:sz w:val="20"/>
                <w:szCs w:val="20"/>
                <w:highlight w:val="none"/>
                <w14:textFill>
                  <w14:solidFill>
                    <w14:schemeClr w14:val="tx1"/>
                  </w14:solidFill>
                </w14:textFill>
              </w:rPr>
              <w:t>-</w:t>
            </w:r>
            <w:r>
              <w:rPr>
                <w:rFonts w:hint="eastAsia" w:ascii="Arial" w:hAnsi="Arial" w:eastAsia="等线" w:cs="Arial"/>
                <w:color w:val="000000" w:themeColor="text1"/>
                <w:sz w:val="20"/>
                <w:szCs w:val="20"/>
                <w:highlight w:val="none"/>
                <w:lang w:val="en-US" w:eastAsia="zh-CN"/>
                <w14:textFill>
                  <w14:solidFill>
                    <w14:schemeClr w14:val="tx1"/>
                  </w14:solidFill>
                </w14:textFill>
              </w:rPr>
              <w:t>0.8</w:t>
            </w:r>
            <w:r>
              <w:rPr>
                <w:rFonts w:ascii="Arial" w:hAnsi="Arial" w:eastAsia="等线" w:cs="Arial"/>
                <w:color w:val="000000" w:themeColor="text1"/>
                <w:sz w:val="20"/>
                <w:szCs w:val="20"/>
                <w:highlight w:val="none"/>
                <w14:textFill>
                  <w14:solidFill>
                    <w14:schemeClr w14:val="tx1"/>
                  </w14:solidFill>
                </w14:textFill>
              </w:rPr>
              <w:t xml:space="preserve"> </w:t>
            </w:r>
            <w:r>
              <w:rPr>
                <w:rFonts w:hint="eastAsia" w:ascii="Arial" w:hAnsi="Arial" w:eastAsia="等线" w:cs="Arial"/>
                <w:color w:val="000000" w:themeColor="text1"/>
                <w:sz w:val="20"/>
                <w:szCs w:val="20"/>
                <w:highlight w:val="none"/>
                <w:lang w:eastAsia="zh-CN"/>
                <w14:textFill>
                  <w14:solidFill>
                    <w14:schemeClr w14:val="tx1"/>
                  </w14:solidFill>
                </w14:textFill>
              </w:rPr>
              <w:t>B-cun</w:t>
            </w:r>
            <w:r>
              <w:rPr>
                <w:rFonts w:hint="eastAsia" w:ascii="Arial" w:hAnsi="Arial" w:eastAsia="等线" w:cs="Arial"/>
                <w:color w:val="000000" w:themeColor="text1"/>
                <w:sz w:val="20"/>
                <w:szCs w:val="20"/>
                <w:highlight w:val="none"/>
                <w14:textFill>
                  <w14:solidFill>
                    <w14:schemeClr w14:val="tx1"/>
                  </w14:solidFill>
                </w14:textFill>
              </w:rPr>
              <w:t xml:space="preserve"> </w:t>
            </w:r>
            <w:r>
              <w:rPr>
                <w:rFonts w:ascii="Arial" w:hAnsi="Arial" w:eastAsia="等线" w:cs="Arial"/>
                <w:color w:val="000000" w:themeColor="text1"/>
                <w:sz w:val="20"/>
                <w:szCs w:val="20"/>
                <w:highlight w:val="none"/>
                <w14:textFill>
                  <w14:solidFill>
                    <w14:schemeClr w14:val="tx1"/>
                  </w14:solidFill>
                </w14:textFill>
              </w:rPr>
              <w:t>deep. After Deqi, withdraw the needle back to the insertion point. Perform the Hegu technique* before removing the needle.</w:t>
            </w:r>
          </w:p>
        </w:tc>
      </w:tr>
      <w:tr w14:paraId="42F92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96" w:type="dxa"/>
            <w:bottom w:w="45" w:type="dxa"/>
            <w:right w:w="96" w:type="dxa"/>
          </w:tblCellMar>
        </w:tblPrEx>
        <w:trPr>
          <w:jc w:val="center"/>
        </w:trPr>
        <w:tc>
          <w:tcPr>
            <w:tcW w:w="1358" w:type="dxa"/>
            <w:tcBorders>
              <w:top w:val="nil"/>
              <w:left w:val="nil"/>
              <w:bottom w:val="nil"/>
              <w:right w:val="nil"/>
            </w:tcBorders>
            <w:vAlign w:val="center"/>
          </w:tcPr>
          <w:p w14:paraId="52CDAA92">
            <w:pPr>
              <w:snapToGrid w:val="0"/>
              <w:jc w:val="center"/>
              <w:rPr>
                <w:rFonts w:ascii="Arial" w:hAnsi="Arial" w:eastAsia="等线" w:cs="Arial"/>
                <w:color w:val="000000" w:themeColor="text1"/>
                <w:sz w:val="20"/>
                <w:szCs w:val="20"/>
                <w:highlight w:val="none"/>
                <w14:textFill>
                  <w14:solidFill>
                    <w14:schemeClr w14:val="tx1"/>
                  </w14:solidFill>
                </w14:textFill>
              </w:rPr>
            </w:pPr>
          </w:p>
        </w:tc>
        <w:tc>
          <w:tcPr>
            <w:tcW w:w="2112" w:type="dxa"/>
            <w:tcBorders>
              <w:top w:val="nil"/>
              <w:left w:val="nil"/>
              <w:bottom w:val="nil"/>
              <w:right w:val="nil"/>
            </w:tcBorders>
            <w:vAlign w:val="top"/>
          </w:tcPr>
          <w:p w14:paraId="21C57E66">
            <w:pPr>
              <w:snapToGrid w:val="0"/>
              <w:jc w:val="center"/>
              <w:rPr>
                <w:rFonts w:ascii="Arial" w:hAnsi="Arial" w:eastAsia="等线" w:cs="Arial"/>
                <w:color w:val="000000" w:themeColor="text1"/>
                <w:sz w:val="20"/>
                <w:szCs w:val="20"/>
                <w:highlight w:val="none"/>
                <w14:textFill>
                  <w14:solidFill>
                    <w14:schemeClr w14:val="tx1"/>
                  </w14:solidFill>
                </w14:textFill>
              </w:rPr>
            </w:pPr>
            <w:r>
              <w:rPr>
                <w:rFonts w:ascii="Arial" w:hAnsi="Arial" w:eastAsia="等线" w:cs="Arial"/>
                <w:color w:val="000000" w:themeColor="text1"/>
                <w:sz w:val="20"/>
                <w:szCs w:val="20"/>
                <w:highlight w:val="none"/>
                <w14:textFill>
                  <w14:solidFill>
                    <w14:schemeClr w14:val="tx1"/>
                  </w14:solidFill>
                </w14:textFill>
              </w:rPr>
              <w:t>Extra Point （Xiaochan）</w:t>
            </w:r>
          </w:p>
        </w:tc>
        <w:tc>
          <w:tcPr>
            <w:tcW w:w="6347" w:type="dxa"/>
            <w:tcBorders>
              <w:top w:val="nil"/>
              <w:left w:val="nil"/>
              <w:bottom w:val="nil"/>
              <w:right w:val="nil"/>
            </w:tcBorders>
            <w:vAlign w:val="top"/>
          </w:tcPr>
          <w:p w14:paraId="7759C30E">
            <w:pPr>
              <w:snapToGrid w:val="0"/>
              <w:rPr>
                <w:rFonts w:ascii="Arial" w:hAnsi="Arial" w:eastAsia="等线" w:cs="Arial"/>
                <w:color w:val="000000" w:themeColor="text1"/>
                <w:sz w:val="20"/>
                <w:szCs w:val="20"/>
                <w:highlight w:val="none"/>
                <w14:textFill>
                  <w14:solidFill>
                    <w14:schemeClr w14:val="tx1"/>
                  </w14:solidFill>
                </w14:textFill>
              </w:rPr>
            </w:pPr>
            <w:r>
              <w:rPr>
                <w:rFonts w:ascii="Arial" w:hAnsi="Arial" w:eastAsia="等线" w:cs="Arial"/>
                <w:color w:val="000000" w:themeColor="text1"/>
                <w:sz w:val="20"/>
                <w:szCs w:val="20"/>
                <w:highlight w:val="none"/>
                <w14:textFill>
                  <w14:solidFill>
                    <w14:schemeClr w14:val="tx1"/>
                  </w14:solidFill>
                </w14:textFill>
              </w:rPr>
              <w:t xml:space="preserve">Extraordinary Point: On the medial side of the forearm, in the depression 0.5 -1.0 </w:t>
            </w:r>
            <w:r>
              <w:rPr>
                <w:rFonts w:hint="eastAsia" w:ascii="Arial" w:hAnsi="Arial" w:eastAsia="等线" w:cs="Arial"/>
                <w:color w:val="000000" w:themeColor="text1"/>
                <w:sz w:val="20"/>
                <w:szCs w:val="20"/>
                <w:highlight w:val="none"/>
                <w:lang w:eastAsia="zh-CN"/>
                <w14:textFill>
                  <w14:solidFill>
                    <w14:schemeClr w14:val="tx1"/>
                  </w14:solidFill>
                </w14:textFill>
              </w:rPr>
              <w:t>B-cun</w:t>
            </w:r>
            <w:r>
              <w:rPr>
                <w:rFonts w:ascii="Arial" w:hAnsi="Arial" w:eastAsia="等线" w:cs="Arial"/>
                <w:color w:val="000000" w:themeColor="text1"/>
                <w:sz w:val="20"/>
                <w:szCs w:val="20"/>
                <w:highlight w:val="none"/>
                <w14:textFill>
                  <w14:solidFill>
                    <w14:schemeClr w14:val="tx1"/>
                  </w14:solidFill>
                </w14:textFill>
              </w:rPr>
              <w:t xml:space="preserve"> anterior to HT3(Shaohai) .</w:t>
            </w:r>
          </w:p>
        </w:tc>
        <w:tc>
          <w:tcPr>
            <w:tcW w:w="5773" w:type="dxa"/>
            <w:tcBorders>
              <w:top w:val="nil"/>
              <w:left w:val="nil"/>
              <w:bottom w:val="nil"/>
              <w:right w:val="nil"/>
            </w:tcBorders>
            <w:vAlign w:val="top"/>
          </w:tcPr>
          <w:p w14:paraId="70B514CC">
            <w:pPr>
              <w:snapToGrid w:val="0"/>
              <w:rPr>
                <w:rFonts w:ascii="Arial" w:hAnsi="Arial" w:eastAsia="等线" w:cs="Arial"/>
                <w:color w:val="000000" w:themeColor="text1"/>
                <w:sz w:val="20"/>
                <w:szCs w:val="20"/>
                <w:highlight w:val="none"/>
                <w14:textFill>
                  <w14:solidFill>
                    <w14:schemeClr w14:val="tx1"/>
                  </w14:solidFill>
                </w14:textFill>
              </w:rPr>
            </w:pPr>
            <w:r>
              <w:rPr>
                <w:rFonts w:ascii="Arial" w:hAnsi="Arial" w:cs="Arial"/>
                <w:color w:val="000000" w:themeColor="text1"/>
                <w:sz w:val="20"/>
                <w:szCs w:val="20"/>
                <w:highlight w:val="none"/>
                <w14:textFill>
                  <w14:solidFill>
                    <w14:schemeClr w14:val="tx1"/>
                  </w14:solidFill>
                </w14:textFill>
              </w:rPr>
              <w:t xml:space="preserve">Insert the needle vertically 1.2-1.5 </w:t>
            </w:r>
            <w:r>
              <w:rPr>
                <w:rFonts w:hint="eastAsia" w:ascii="Arial" w:hAnsi="Arial" w:eastAsia="等线" w:cs="Arial"/>
                <w:color w:val="000000" w:themeColor="text1"/>
                <w:sz w:val="20"/>
                <w:szCs w:val="20"/>
                <w:highlight w:val="none"/>
                <w:lang w:eastAsia="zh-CN"/>
                <w14:textFill>
                  <w14:solidFill>
                    <w14:schemeClr w14:val="tx1"/>
                  </w14:solidFill>
                </w14:textFill>
              </w:rPr>
              <w:t>B-cun</w:t>
            </w:r>
            <w:r>
              <w:rPr>
                <w:rFonts w:ascii="Arial" w:hAnsi="Arial" w:cs="Arial"/>
                <w:color w:val="000000" w:themeColor="text1"/>
                <w:sz w:val="20"/>
                <w:szCs w:val="20"/>
                <w:highlight w:val="none"/>
                <w14:textFill>
                  <w14:solidFill>
                    <w14:schemeClr w14:val="tx1"/>
                  </w14:solidFill>
                </w14:textFill>
              </w:rPr>
              <w:t xml:space="preserve"> deep. After deqi, withdraw the needle back to the insertion point. Perform the Hegu technique before removing the needle.</w:t>
            </w:r>
          </w:p>
        </w:tc>
      </w:tr>
      <w:tr w14:paraId="68923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96" w:type="dxa"/>
            <w:bottom w:w="45" w:type="dxa"/>
            <w:right w:w="96" w:type="dxa"/>
          </w:tblCellMar>
        </w:tblPrEx>
        <w:trPr>
          <w:jc w:val="center"/>
        </w:trPr>
        <w:tc>
          <w:tcPr>
            <w:tcW w:w="1358" w:type="dxa"/>
            <w:tcBorders>
              <w:top w:val="nil"/>
              <w:left w:val="nil"/>
              <w:bottom w:val="nil"/>
              <w:right w:val="nil"/>
            </w:tcBorders>
            <w:vAlign w:val="center"/>
          </w:tcPr>
          <w:p w14:paraId="7FF84227">
            <w:pPr>
              <w:snapToGrid w:val="0"/>
              <w:jc w:val="center"/>
              <w:rPr>
                <w:rFonts w:ascii="Arial" w:hAnsi="Arial" w:eastAsia="等线" w:cs="Arial"/>
                <w:color w:val="000000" w:themeColor="text1"/>
                <w:sz w:val="20"/>
                <w:szCs w:val="20"/>
                <w:highlight w:val="none"/>
                <w14:textFill>
                  <w14:solidFill>
                    <w14:schemeClr w14:val="tx1"/>
                  </w14:solidFill>
                </w14:textFill>
              </w:rPr>
            </w:pPr>
          </w:p>
        </w:tc>
        <w:tc>
          <w:tcPr>
            <w:tcW w:w="2112" w:type="dxa"/>
            <w:tcBorders>
              <w:top w:val="nil"/>
              <w:left w:val="nil"/>
              <w:bottom w:val="nil"/>
              <w:right w:val="nil"/>
            </w:tcBorders>
            <w:shd w:val="clear" w:color="auto" w:fill="auto"/>
            <w:vAlign w:val="center"/>
          </w:tcPr>
          <w:p w14:paraId="51823E49">
            <w:pPr>
              <w:snapToGrid w:val="0"/>
              <w:jc w:val="center"/>
              <w:rPr>
                <w:rFonts w:ascii="Arial" w:hAnsi="Arial" w:eastAsia="等线" w:cs="Arial"/>
                <w:color w:val="000000" w:themeColor="text1"/>
                <w:kern w:val="2"/>
                <w:sz w:val="20"/>
                <w:szCs w:val="20"/>
                <w:highlight w:val="none"/>
                <w:lang w:val="en-US" w:eastAsia="zh-CN" w:bidi="ar-SA"/>
                <w14:textFill>
                  <w14:solidFill>
                    <w14:schemeClr w14:val="tx1"/>
                  </w14:solidFill>
                </w14:textFill>
              </w:rPr>
            </w:pPr>
            <w:r>
              <w:rPr>
                <w:rFonts w:ascii="Arial" w:hAnsi="Arial" w:eastAsia="等线" w:cs="Arial"/>
                <w:color w:val="000000" w:themeColor="text1"/>
                <w:sz w:val="20"/>
                <w:szCs w:val="20"/>
                <w:highlight w:val="none"/>
                <w14:textFill>
                  <w14:solidFill>
                    <w14:schemeClr w14:val="tx1"/>
                  </w14:solidFill>
                </w14:textFill>
              </w:rPr>
              <w:t>PC7(Daling)</w:t>
            </w:r>
          </w:p>
        </w:tc>
        <w:tc>
          <w:tcPr>
            <w:tcW w:w="6347" w:type="dxa"/>
            <w:tcBorders>
              <w:top w:val="nil"/>
              <w:left w:val="nil"/>
              <w:bottom w:val="nil"/>
              <w:right w:val="nil"/>
            </w:tcBorders>
            <w:shd w:val="clear" w:color="auto" w:fill="auto"/>
            <w:vAlign w:val="center"/>
          </w:tcPr>
          <w:p w14:paraId="7754C953">
            <w:pPr>
              <w:snapToGrid w:val="0"/>
              <w:jc w:val="left"/>
              <w:rPr>
                <w:rFonts w:ascii="Arial" w:hAnsi="Arial" w:eastAsia="等线" w:cs="Arial"/>
                <w:color w:val="000000" w:themeColor="text1"/>
                <w:kern w:val="2"/>
                <w:sz w:val="20"/>
                <w:szCs w:val="20"/>
                <w:highlight w:val="none"/>
                <w:lang w:val="en-US" w:eastAsia="zh-CN" w:bidi="ar-SA"/>
                <w14:textFill>
                  <w14:solidFill>
                    <w14:schemeClr w14:val="tx1"/>
                  </w14:solidFill>
                </w14:textFill>
              </w:rPr>
            </w:pPr>
            <w:r>
              <w:rPr>
                <w:rFonts w:ascii="Arial" w:hAnsi="Arial" w:eastAsia="等线" w:cs="Arial"/>
                <w:color w:val="000000" w:themeColor="text1"/>
                <w:sz w:val="20"/>
                <w:szCs w:val="20"/>
                <w:highlight w:val="none"/>
                <w14:textFill>
                  <w14:solidFill>
                    <w14:schemeClr w14:val="tx1"/>
                  </w14:solidFill>
                </w14:textFill>
              </w:rPr>
              <w:t>On the anterior aspect of the wrist, between the tendons of palmaris longus and the flexor carpi radialis, on the palmar wrist crease.</w:t>
            </w:r>
          </w:p>
        </w:tc>
        <w:tc>
          <w:tcPr>
            <w:tcW w:w="5773" w:type="dxa"/>
            <w:tcBorders>
              <w:top w:val="nil"/>
              <w:left w:val="nil"/>
              <w:bottom w:val="nil"/>
              <w:right w:val="nil"/>
            </w:tcBorders>
            <w:shd w:val="clear" w:color="auto" w:fill="auto"/>
            <w:vAlign w:val="center"/>
          </w:tcPr>
          <w:p w14:paraId="37AEBAC3">
            <w:pPr>
              <w:snapToGrid w:val="0"/>
              <w:jc w:val="left"/>
              <w:rPr>
                <w:rFonts w:ascii="Arial" w:hAnsi="Arial" w:eastAsia="等线" w:cs="Arial"/>
                <w:color w:val="000000" w:themeColor="text1"/>
                <w:kern w:val="2"/>
                <w:sz w:val="20"/>
                <w:szCs w:val="20"/>
                <w:highlight w:val="none"/>
                <w:lang w:val="en-US" w:eastAsia="zh-CN" w:bidi="ar-SA"/>
                <w14:textFill>
                  <w14:solidFill>
                    <w14:schemeClr w14:val="tx1"/>
                  </w14:solidFill>
                </w14:textFill>
              </w:rPr>
            </w:pPr>
            <w:r>
              <w:rPr>
                <w:rFonts w:ascii="Arial" w:hAnsi="Arial" w:eastAsia="等线" w:cs="Arial"/>
                <w:color w:val="000000" w:themeColor="text1"/>
                <w:sz w:val="20"/>
                <w:szCs w:val="20"/>
                <w:highlight w:val="none"/>
                <w14:textFill>
                  <w14:solidFill>
                    <w14:schemeClr w14:val="tx1"/>
                  </w14:solidFill>
                </w14:textFill>
              </w:rPr>
              <w:t xml:space="preserve">Insert the needle subcutaneously 0.5 - 1.0 </w:t>
            </w:r>
            <w:r>
              <w:rPr>
                <w:rFonts w:hint="eastAsia" w:ascii="Arial" w:hAnsi="Arial" w:eastAsia="等线" w:cs="Arial"/>
                <w:color w:val="000000" w:themeColor="text1"/>
                <w:sz w:val="20"/>
                <w:szCs w:val="20"/>
                <w:highlight w:val="none"/>
                <w:lang w:eastAsia="zh-CN"/>
                <w14:textFill>
                  <w14:solidFill>
                    <w14:schemeClr w14:val="tx1"/>
                  </w14:solidFill>
                </w14:textFill>
              </w:rPr>
              <w:t>B-cun</w:t>
            </w:r>
            <w:r>
              <w:rPr>
                <w:rFonts w:ascii="Arial" w:hAnsi="Arial" w:eastAsia="等线" w:cs="Arial"/>
                <w:color w:val="000000" w:themeColor="text1"/>
                <w:sz w:val="20"/>
                <w:szCs w:val="20"/>
                <w:highlight w:val="none"/>
                <w14:textFill>
                  <w14:solidFill>
                    <w14:schemeClr w14:val="tx1"/>
                  </w14:solidFill>
                </w14:textFill>
              </w:rPr>
              <w:t xml:space="preserve"> towards the middle fingeracupoint. Gently flick the needle handle. Withdraw the needle upon achieving Deqi</w:t>
            </w:r>
          </w:p>
        </w:tc>
      </w:tr>
      <w:tr w14:paraId="1E863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6" w:type="dxa"/>
            <w:left w:w="96" w:type="dxa"/>
            <w:bottom w:w="56" w:type="dxa"/>
            <w:right w:w="96" w:type="dxa"/>
          </w:tblCellMar>
        </w:tblPrEx>
        <w:trPr>
          <w:jc w:val="center"/>
        </w:trPr>
        <w:tc>
          <w:tcPr>
            <w:tcW w:w="1358" w:type="dxa"/>
            <w:tcBorders>
              <w:top w:val="nil"/>
              <w:left w:val="nil"/>
              <w:bottom w:val="nil"/>
              <w:right w:val="nil"/>
            </w:tcBorders>
          </w:tcPr>
          <w:p w14:paraId="64256922">
            <w:pPr>
              <w:snapToGrid w:val="0"/>
              <w:rPr>
                <w:rFonts w:ascii="Arial" w:hAnsi="Arial" w:cs="Arial"/>
                <w:b/>
                <w:bCs/>
                <w:color w:val="000000" w:themeColor="text1"/>
                <w:sz w:val="20"/>
                <w:szCs w:val="20"/>
                <w:highlight w:val="none"/>
                <w14:textFill>
                  <w14:solidFill>
                    <w14:schemeClr w14:val="tx1"/>
                  </w14:solidFill>
                </w14:textFill>
              </w:rPr>
            </w:pPr>
          </w:p>
        </w:tc>
        <w:tc>
          <w:tcPr>
            <w:tcW w:w="2112" w:type="dxa"/>
            <w:tcBorders>
              <w:top w:val="nil"/>
              <w:left w:val="nil"/>
              <w:bottom w:val="nil"/>
              <w:right w:val="nil"/>
            </w:tcBorders>
            <w:vAlign w:val="top"/>
          </w:tcPr>
          <w:p w14:paraId="60A538F5">
            <w:pPr>
              <w:snapToGrid w:val="0"/>
              <w:jc w:val="center"/>
              <w:rPr>
                <w:rFonts w:ascii="Arial" w:hAnsi="Arial" w:eastAsia="等线" w:cs="Arial"/>
                <w:color w:val="000000" w:themeColor="text1"/>
                <w:sz w:val="20"/>
                <w:szCs w:val="20"/>
                <w:highlight w:val="none"/>
                <w14:textFill>
                  <w14:solidFill>
                    <w14:schemeClr w14:val="tx1"/>
                  </w14:solidFill>
                </w14:textFill>
              </w:rPr>
            </w:pPr>
            <w:r>
              <w:rPr>
                <w:rFonts w:ascii="Arial" w:hAnsi="Arial" w:eastAsia="等线" w:cs="Arial"/>
                <w:color w:val="000000" w:themeColor="text1"/>
                <w:sz w:val="20"/>
                <w:szCs w:val="20"/>
                <w:highlight w:val="none"/>
                <w14:textFill>
                  <w14:solidFill>
                    <w14:schemeClr w14:val="tx1"/>
                  </w14:solidFill>
                </w14:textFill>
              </w:rPr>
              <w:t>BL20(Pishu)</w:t>
            </w:r>
          </w:p>
        </w:tc>
        <w:tc>
          <w:tcPr>
            <w:tcW w:w="6347" w:type="dxa"/>
            <w:tcBorders>
              <w:top w:val="nil"/>
              <w:left w:val="nil"/>
              <w:bottom w:val="nil"/>
              <w:right w:val="nil"/>
            </w:tcBorders>
            <w:vAlign w:val="top"/>
          </w:tcPr>
          <w:p w14:paraId="786404F2">
            <w:pPr>
              <w:snapToGrid w:val="0"/>
              <w:rPr>
                <w:rFonts w:ascii="Arial" w:hAnsi="Arial" w:cs="Arial"/>
                <w:color w:val="000000" w:themeColor="text1"/>
                <w:sz w:val="20"/>
                <w:szCs w:val="20"/>
                <w:highlight w:val="none"/>
                <w14:textFill>
                  <w14:solidFill>
                    <w14:schemeClr w14:val="tx1"/>
                  </w14:solidFill>
                </w14:textFill>
              </w:rPr>
            </w:pPr>
            <w:r>
              <w:rPr>
                <w:rFonts w:ascii="Arial" w:hAnsi="Arial" w:cs="Arial"/>
                <w:color w:val="000000" w:themeColor="text1"/>
                <w:sz w:val="20"/>
                <w:szCs w:val="20"/>
                <w:highlight w:val="none"/>
                <w14:textFill>
                  <w14:solidFill>
                    <w14:schemeClr w14:val="tx1"/>
                  </w14:solidFill>
                </w14:textFill>
              </w:rPr>
              <w:t xml:space="preserve">In the upper back region, at the same level as the inferior border of the spinous process of the 11th thoracic vertebra (T11), 1.5 </w:t>
            </w:r>
            <w:r>
              <w:rPr>
                <w:rFonts w:hint="eastAsia" w:ascii="Arial" w:hAnsi="Arial" w:cs="Arial"/>
                <w:color w:val="000000" w:themeColor="text1"/>
                <w:sz w:val="20"/>
                <w:szCs w:val="20"/>
                <w:highlight w:val="none"/>
                <w:lang w:eastAsia="zh-CN"/>
                <w14:textFill>
                  <w14:solidFill>
                    <w14:schemeClr w14:val="tx1"/>
                  </w14:solidFill>
                </w14:textFill>
              </w:rPr>
              <w:t>B-cun</w:t>
            </w:r>
            <w:r>
              <w:rPr>
                <w:rFonts w:ascii="Arial" w:hAnsi="Arial" w:cs="Arial"/>
                <w:color w:val="000000" w:themeColor="text1"/>
                <w:sz w:val="20"/>
                <w:szCs w:val="20"/>
                <w:highlight w:val="none"/>
                <w14:textFill>
                  <w14:solidFill>
                    <w14:schemeClr w14:val="tx1"/>
                  </w14:solidFill>
                </w14:textFill>
              </w:rPr>
              <w:t xml:space="preserve"> lateral to the posterior median line.</w:t>
            </w:r>
          </w:p>
        </w:tc>
        <w:tc>
          <w:tcPr>
            <w:tcW w:w="5773" w:type="dxa"/>
            <w:tcBorders>
              <w:top w:val="nil"/>
              <w:left w:val="nil"/>
              <w:bottom w:val="nil"/>
              <w:right w:val="nil"/>
            </w:tcBorders>
            <w:vAlign w:val="top"/>
          </w:tcPr>
          <w:p w14:paraId="2EBA4FEB">
            <w:pPr>
              <w:snapToGrid w:val="0"/>
              <w:rPr>
                <w:rFonts w:ascii="Arial" w:hAnsi="Arial" w:cs="Arial"/>
                <w:color w:val="000000" w:themeColor="text1"/>
                <w:sz w:val="20"/>
                <w:szCs w:val="20"/>
                <w:highlight w:val="none"/>
                <w14:textFill>
                  <w14:solidFill>
                    <w14:schemeClr w14:val="tx1"/>
                  </w14:solidFill>
                </w14:textFill>
              </w:rPr>
            </w:pPr>
            <w:r>
              <w:rPr>
                <w:rFonts w:ascii="Arial" w:hAnsi="Arial" w:cs="Arial"/>
                <w:color w:val="000000" w:themeColor="text1"/>
                <w:sz w:val="20"/>
                <w:szCs w:val="20"/>
                <w:highlight w:val="none"/>
                <w14:textFill>
                  <w14:solidFill>
                    <w14:schemeClr w14:val="tx1"/>
                  </w14:solidFill>
                </w14:textFill>
              </w:rPr>
              <w:t xml:space="preserve">Insert the needle vertically 1.2-1.5 </w:t>
            </w:r>
            <w:r>
              <w:rPr>
                <w:rFonts w:hint="eastAsia" w:ascii="Arial" w:hAnsi="Arial" w:eastAsia="等线" w:cs="Arial"/>
                <w:color w:val="000000" w:themeColor="text1"/>
                <w:sz w:val="20"/>
                <w:szCs w:val="20"/>
                <w:highlight w:val="none"/>
                <w:lang w:eastAsia="zh-CN"/>
                <w14:textFill>
                  <w14:solidFill>
                    <w14:schemeClr w14:val="tx1"/>
                  </w14:solidFill>
                </w14:textFill>
              </w:rPr>
              <w:t>B-cun</w:t>
            </w:r>
            <w:r>
              <w:rPr>
                <w:rFonts w:ascii="Arial" w:hAnsi="Arial" w:cs="Arial"/>
                <w:color w:val="000000" w:themeColor="text1"/>
                <w:sz w:val="20"/>
                <w:szCs w:val="20"/>
                <w:highlight w:val="none"/>
                <w14:textFill>
                  <w14:solidFill>
                    <w14:schemeClr w14:val="tx1"/>
                  </w14:solidFill>
                </w14:textFill>
              </w:rPr>
              <w:t xml:space="preserve"> deep. After deqi, withdraw the needle back to the insertion point. Perform the Hegu technique before removing the needle.</w:t>
            </w:r>
          </w:p>
        </w:tc>
      </w:tr>
      <w:tr w14:paraId="3B538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6" w:type="dxa"/>
            <w:left w:w="96" w:type="dxa"/>
            <w:bottom w:w="56" w:type="dxa"/>
            <w:right w:w="96" w:type="dxa"/>
          </w:tblCellMar>
        </w:tblPrEx>
        <w:trPr>
          <w:jc w:val="center"/>
        </w:trPr>
        <w:tc>
          <w:tcPr>
            <w:tcW w:w="1358" w:type="dxa"/>
            <w:tcBorders>
              <w:top w:val="nil"/>
              <w:left w:val="nil"/>
              <w:bottom w:val="nil"/>
              <w:right w:val="nil"/>
            </w:tcBorders>
          </w:tcPr>
          <w:p w14:paraId="2410DEAD">
            <w:pPr>
              <w:snapToGrid w:val="0"/>
              <w:rPr>
                <w:rFonts w:ascii="Arial" w:hAnsi="Arial" w:cs="Arial"/>
                <w:b/>
                <w:bCs/>
                <w:color w:val="000000" w:themeColor="text1"/>
                <w:sz w:val="20"/>
                <w:szCs w:val="20"/>
                <w:highlight w:val="none"/>
                <w14:textFill>
                  <w14:solidFill>
                    <w14:schemeClr w14:val="tx1"/>
                  </w14:solidFill>
                </w14:textFill>
              </w:rPr>
            </w:pPr>
          </w:p>
        </w:tc>
        <w:tc>
          <w:tcPr>
            <w:tcW w:w="2112" w:type="dxa"/>
            <w:tcBorders>
              <w:top w:val="nil"/>
              <w:left w:val="nil"/>
              <w:bottom w:val="nil"/>
              <w:right w:val="nil"/>
            </w:tcBorders>
            <w:shd w:val="clear" w:color="auto" w:fill="auto"/>
            <w:vAlign w:val="top"/>
          </w:tcPr>
          <w:p w14:paraId="74D4DB27">
            <w:pPr>
              <w:snapToGrid w:val="0"/>
              <w:jc w:val="center"/>
              <w:rPr>
                <w:rFonts w:ascii="Arial" w:hAnsi="Arial" w:eastAsia="等线" w:cs="Arial"/>
                <w:color w:val="000000" w:themeColor="text1"/>
                <w:kern w:val="2"/>
                <w:sz w:val="20"/>
                <w:szCs w:val="20"/>
                <w:highlight w:val="none"/>
                <w:lang w:val="en-US" w:eastAsia="zh-CN" w:bidi="ar-SA"/>
                <w14:textFill>
                  <w14:solidFill>
                    <w14:schemeClr w14:val="tx1"/>
                  </w14:solidFill>
                </w14:textFill>
              </w:rPr>
            </w:pPr>
            <w:r>
              <w:rPr>
                <w:rFonts w:ascii="Arial" w:hAnsi="Arial" w:eastAsia="等线" w:cs="Arial"/>
                <w:color w:val="000000" w:themeColor="text1"/>
                <w:sz w:val="20"/>
                <w:szCs w:val="20"/>
                <w:highlight w:val="none"/>
                <w14:textFill>
                  <w14:solidFill>
                    <w14:schemeClr w14:val="tx1"/>
                  </w14:solidFill>
                </w14:textFill>
              </w:rPr>
              <w:t>BL40(Weizhong)</w:t>
            </w:r>
          </w:p>
        </w:tc>
        <w:tc>
          <w:tcPr>
            <w:tcW w:w="6347" w:type="dxa"/>
            <w:tcBorders>
              <w:top w:val="nil"/>
              <w:left w:val="nil"/>
              <w:bottom w:val="nil"/>
              <w:right w:val="nil"/>
            </w:tcBorders>
            <w:shd w:val="clear" w:color="auto" w:fill="auto"/>
            <w:vAlign w:val="top"/>
          </w:tcPr>
          <w:p w14:paraId="326EA6A8">
            <w:pPr>
              <w:snapToGrid w:val="0"/>
              <w:rPr>
                <w:rFonts w:ascii="Arial" w:hAnsi="Arial" w:cs="Arial" w:eastAsiaTheme="minorEastAsia"/>
                <w:color w:val="000000" w:themeColor="text1"/>
                <w:kern w:val="2"/>
                <w:sz w:val="20"/>
                <w:szCs w:val="20"/>
                <w:highlight w:val="none"/>
                <w:lang w:val="en-US" w:eastAsia="zh-CN" w:bidi="ar-SA"/>
                <w14:textFill>
                  <w14:solidFill>
                    <w14:schemeClr w14:val="tx1"/>
                  </w14:solidFill>
                </w14:textFill>
              </w:rPr>
            </w:pPr>
            <w:r>
              <w:rPr>
                <w:rFonts w:ascii="Arial" w:hAnsi="Arial" w:cs="Arial"/>
                <w:color w:val="000000" w:themeColor="text1"/>
                <w:sz w:val="20"/>
                <w:szCs w:val="20"/>
                <w:highlight w:val="none"/>
                <w14:textFill>
                  <w14:solidFill>
                    <w14:schemeClr w14:val="tx1"/>
                  </w14:solidFill>
                </w14:textFill>
              </w:rPr>
              <w:t>On the posterior aspect of the knee, at the midpoint of the popliteal crease.</w:t>
            </w:r>
          </w:p>
        </w:tc>
        <w:tc>
          <w:tcPr>
            <w:tcW w:w="5773" w:type="dxa"/>
            <w:tcBorders>
              <w:top w:val="nil"/>
              <w:left w:val="nil"/>
              <w:bottom w:val="nil"/>
              <w:right w:val="nil"/>
            </w:tcBorders>
            <w:shd w:val="clear" w:color="auto" w:fill="auto"/>
            <w:vAlign w:val="top"/>
          </w:tcPr>
          <w:p w14:paraId="6EEDD0DC">
            <w:pPr>
              <w:snapToGrid w:val="0"/>
              <w:rPr>
                <w:rFonts w:ascii="Arial" w:hAnsi="Arial" w:cs="Arial" w:eastAsiaTheme="minorEastAsia"/>
                <w:color w:val="000000" w:themeColor="text1"/>
                <w:kern w:val="2"/>
                <w:sz w:val="20"/>
                <w:szCs w:val="20"/>
                <w:highlight w:val="none"/>
                <w:lang w:val="en-US" w:eastAsia="zh-CN" w:bidi="ar-SA"/>
                <w14:textFill>
                  <w14:solidFill>
                    <w14:schemeClr w14:val="tx1"/>
                  </w14:solidFill>
                </w14:textFill>
              </w:rPr>
            </w:pPr>
            <w:r>
              <w:rPr>
                <w:rFonts w:ascii="Arial" w:hAnsi="Arial" w:cs="Arial"/>
                <w:color w:val="000000" w:themeColor="text1"/>
                <w:sz w:val="20"/>
                <w:szCs w:val="20"/>
                <w:highlight w:val="none"/>
                <w14:textFill>
                  <w14:solidFill>
                    <w14:schemeClr w14:val="tx1"/>
                  </w14:solidFill>
                </w14:textFill>
              </w:rPr>
              <w:t xml:space="preserve">Insert the needle vertically 1.2-1.5 </w:t>
            </w:r>
            <w:r>
              <w:rPr>
                <w:rFonts w:hint="eastAsia" w:ascii="Arial" w:hAnsi="Arial" w:eastAsia="等线" w:cs="Arial"/>
                <w:color w:val="000000" w:themeColor="text1"/>
                <w:sz w:val="20"/>
                <w:szCs w:val="20"/>
                <w:highlight w:val="none"/>
                <w:lang w:eastAsia="zh-CN"/>
                <w14:textFill>
                  <w14:solidFill>
                    <w14:schemeClr w14:val="tx1"/>
                  </w14:solidFill>
                </w14:textFill>
              </w:rPr>
              <w:t>B-cun</w:t>
            </w:r>
            <w:r>
              <w:rPr>
                <w:rFonts w:ascii="Arial" w:hAnsi="Arial" w:eastAsia="等线" w:cs="Arial"/>
                <w:color w:val="000000" w:themeColor="text1"/>
                <w:sz w:val="20"/>
                <w:szCs w:val="20"/>
                <w:highlight w:val="none"/>
                <w14:textFill>
                  <w14:solidFill>
                    <w14:schemeClr w14:val="tx1"/>
                  </w14:solidFill>
                </w14:textFill>
              </w:rPr>
              <w:t xml:space="preserve"> </w:t>
            </w:r>
            <w:r>
              <w:rPr>
                <w:rFonts w:ascii="Arial" w:hAnsi="Arial" w:cs="Arial"/>
                <w:color w:val="000000" w:themeColor="text1"/>
                <w:sz w:val="20"/>
                <w:szCs w:val="20"/>
                <w:highlight w:val="none"/>
                <w14:textFill>
                  <w14:solidFill>
                    <w14:schemeClr w14:val="tx1"/>
                  </w14:solidFill>
                </w14:textFill>
              </w:rPr>
              <w:t>deep. After deqi, withdraw the needle back to the insertion point. Perform the Hegu technique before removing the needle.</w:t>
            </w:r>
          </w:p>
        </w:tc>
      </w:tr>
      <w:tr w14:paraId="1C9A8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6" w:type="dxa"/>
            <w:left w:w="96" w:type="dxa"/>
            <w:bottom w:w="56" w:type="dxa"/>
            <w:right w:w="96" w:type="dxa"/>
          </w:tblCellMar>
        </w:tblPrEx>
        <w:trPr>
          <w:jc w:val="center"/>
        </w:trPr>
        <w:tc>
          <w:tcPr>
            <w:tcW w:w="1358" w:type="dxa"/>
            <w:tcBorders>
              <w:top w:val="nil"/>
              <w:left w:val="nil"/>
              <w:bottom w:val="single" w:color="auto" w:sz="4" w:space="0"/>
              <w:right w:val="nil"/>
            </w:tcBorders>
          </w:tcPr>
          <w:p w14:paraId="15A49AF5">
            <w:pPr>
              <w:snapToGrid w:val="0"/>
              <w:rPr>
                <w:rFonts w:ascii="Arial" w:hAnsi="Arial" w:cs="Arial"/>
                <w:color w:val="000000" w:themeColor="text1"/>
                <w:sz w:val="20"/>
                <w:szCs w:val="20"/>
                <w:highlight w:val="none"/>
                <w14:textFill>
                  <w14:solidFill>
                    <w14:schemeClr w14:val="tx1"/>
                  </w14:solidFill>
                </w14:textFill>
              </w:rPr>
            </w:pPr>
          </w:p>
        </w:tc>
        <w:tc>
          <w:tcPr>
            <w:tcW w:w="2112" w:type="dxa"/>
            <w:tcBorders>
              <w:top w:val="nil"/>
              <w:left w:val="nil"/>
              <w:bottom w:val="single" w:color="auto" w:sz="4" w:space="0"/>
              <w:right w:val="nil"/>
            </w:tcBorders>
          </w:tcPr>
          <w:p w14:paraId="07E5695C">
            <w:pPr>
              <w:snapToGrid w:val="0"/>
              <w:jc w:val="center"/>
              <w:rPr>
                <w:rFonts w:ascii="Arial" w:hAnsi="Arial" w:eastAsia="等线" w:cs="Arial"/>
                <w:color w:val="000000" w:themeColor="text1"/>
                <w:sz w:val="20"/>
                <w:szCs w:val="20"/>
                <w:highlight w:val="none"/>
                <w14:textFill>
                  <w14:solidFill>
                    <w14:schemeClr w14:val="tx1"/>
                  </w14:solidFill>
                </w14:textFill>
              </w:rPr>
            </w:pPr>
            <w:r>
              <w:rPr>
                <w:rFonts w:ascii="Arial" w:hAnsi="Arial" w:eastAsia="等线" w:cs="Arial"/>
                <w:color w:val="000000" w:themeColor="text1"/>
                <w:sz w:val="20"/>
                <w:szCs w:val="20"/>
                <w:highlight w:val="none"/>
                <w14:textFill>
                  <w14:solidFill>
                    <w14:schemeClr w14:val="tx1"/>
                  </w14:solidFill>
                </w14:textFill>
              </w:rPr>
              <w:t>GB34(Yanglingquan)</w:t>
            </w:r>
          </w:p>
        </w:tc>
        <w:tc>
          <w:tcPr>
            <w:tcW w:w="6347" w:type="dxa"/>
            <w:tcBorders>
              <w:top w:val="nil"/>
              <w:left w:val="nil"/>
              <w:bottom w:val="single" w:color="auto" w:sz="4" w:space="0"/>
              <w:right w:val="nil"/>
            </w:tcBorders>
          </w:tcPr>
          <w:p w14:paraId="5A616E2E">
            <w:pPr>
              <w:snapToGrid w:val="0"/>
              <w:rPr>
                <w:rFonts w:ascii="Arial" w:hAnsi="Arial" w:cs="Arial"/>
                <w:color w:val="000000" w:themeColor="text1"/>
                <w:sz w:val="20"/>
                <w:szCs w:val="20"/>
                <w:highlight w:val="none"/>
                <w14:textFill>
                  <w14:solidFill>
                    <w14:schemeClr w14:val="tx1"/>
                  </w14:solidFill>
                </w14:textFill>
              </w:rPr>
            </w:pPr>
            <w:r>
              <w:rPr>
                <w:rFonts w:ascii="Arial" w:hAnsi="Arial" w:cs="Arial"/>
                <w:color w:val="000000" w:themeColor="text1"/>
                <w:sz w:val="20"/>
                <w:szCs w:val="20"/>
                <w:highlight w:val="none"/>
                <w14:textFill>
                  <w14:solidFill>
                    <w14:schemeClr w14:val="tx1"/>
                  </w14:solidFill>
                </w14:textFill>
              </w:rPr>
              <w:t>On the fibular aspect of the leg, in the depression anterior and distal to the head of the fibula.</w:t>
            </w:r>
          </w:p>
        </w:tc>
        <w:tc>
          <w:tcPr>
            <w:tcW w:w="5773" w:type="dxa"/>
            <w:tcBorders>
              <w:top w:val="nil"/>
              <w:left w:val="nil"/>
              <w:bottom w:val="single" w:color="auto" w:sz="4" w:space="0"/>
              <w:right w:val="nil"/>
            </w:tcBorders>
          </w:tcPr>
          <w:p w14:paraId="6F06A779">
            <w:pPr>
              <w:snapToGrid w:val="0"/>
              <w:rPr>
                <w:rFonts w:ascii="Arial" w:hAnsi="Arial" w:cs="Arial"/>
                <w:color w:val="000000" w:themeColor="text1"/>
                <w:sz w:val="20"/>
                <w:szCs w:val="20"/>
                <w:highlight w:val="none"/>
                <w14:textFill>
                  <w14:solidFill>
                    <w14:schemeClr w14:val="tx1"/>
                  </w14:solidFill>
                </w14:textFill>
              </w:rPr>
            </w:pPr>
            <w:r>
              <w:rPr>
                <w:rFonts w:ascii="Arial" w:hAnsi="Arial" w:cs="Arial"/>
                <w:color w:val="000000" w:themeColor="text1"/>
                <w:sz w:val="20"/>
                <w:szCs w:val="20"/>
                <w:highlight w:val="none"/>
                <w14:textFill>
                  <w14:solidFill>
                    <w14:schemeClr w14:val="tx1"/>
                  </w14:solidFill>
                </w14:textFill>
              </w:rPr>
              <w:t xml:space="preserve">Insert the needle vertically 1.2-1.5 </w:t>
            </w:r>
            <w:r>
              <w:rPr>
                <w:rFonts w:hint="eastAsia" w:ascii="Arial" w:hAnsi="Arial" w:eastAsia="等线" w:cs="Arial"/>
                <w:color w:val="000000" w:themeColor="text1"/>
                <w:sz w:val="20"/>
                <w:szCs w:val="20"/>
                <w:highlight w:val="none"/>
                <w:lang w:eastAsia="zh-CN"/>
                <w14:textFill>
                  <w14:solidFill>
                    <w14:schemeClr w14:val="tx1"/>
                  </w14:solidFill>
                </w14:textFill>
              </w:rPr>
              <w:t>B-cun</w:t>
            </w:r>
            <w:r>
              <w:rPr>
                <w:rFonts w:ascii="Arial" w:hAnsi="Arial" w:cs="Arial"/>
                <w:color w:val="000000" w:themeColor="text1"/>
                <w:sz w:val="20"/>
                <w:szCs w:val="20"/>
                <w:highlight w:val="none"/>
                <w14:textFill>
                  <w14:solidFill>
                    <w14:schemeClr w14:val="tx1"/>
                  </w14:solidFill>
                </w14:textFill>
              </w:rPr>
              <w:t xml:space="preserve"> deep. After deqi, withdraw the needle back to the insertion point. Perform the Hegu technique before removing the needle.</w:t>
            </w:r>
          </w:p>
        </w:tc>
      </w:tr>
    </w:tbl>
    <w:p w14:paraId="1711EBF5">
      <w:pPr>
        <w:rPr>
          <w:rFonts w:ascii="Arial" w:hAnsi="Arial" w:cs="Arial"/>
          <w:b/>
          <w:bCs/>
          <w:color w:val="000000" w:themeColor="text1"/>
          <w:sz w:val="24"/>
          <w:szCs w:val="24"/>
          <w:highlight w:val="none"/>
          <w14:textFill>
            <w14:solidFill>
              <w14:schemeClr w14:val="tx1"/>
            </w14:solidFill>
          </w14:textFill>
        </w:rPr>
        <w:sectPr>
          <w:pgSz w:w="16838" w:h="13039" w:orient="landscape"/>
          <w:pgMar w:top="1083" w:right="1440" w:bottom="1083" w:left="1440" w:header="851" w:footer="992" w:gutter="0"/>
          <w:cols w:space="0" w:num="1"/>
          <w:rtlGutter w:val="0"/>
          <w:docGrid w:type="lines" w:linePitch="312" w:charSpace="0"/>
        </w:sectPr>
      </w:pPr>
      <w:r>
        <w:rPr>
          <w:rFonts w:ascii="Arial" w:hAnsi="Arial" w:cs="Arial"/>
          <w:color w:val="000000" w:themeColor="text1"/>
          <w:sz w:val="16"/>
          <w:szCs w:val="16"/>
          <w:highlight w:val="none"/>
          <w14:textFill>
            <w14:solidFill>
              <w14:schemeClr w14:val="tx1"/>
            </w14:solidFill>
          </w14:textFill>
        </w:rPr>
        <w:t>Hegu technique</w:t>
      </w:r>
      <w:r>
        <w:rPr>
          <w:rFonts w:hint="eastAsia" w:ascii="Arial" w:hAnsi="Arial" w:cs="Arial"/>
          <w:color w:val="000000" w:themeColor="text1"/>
          <w:sz w:val="16"/>
          <w:szCs w:val="16"/>
          <w:highlight w:val="none"/>
          <w14:textFill>
            <w14:solidFill>
              <w14:schemeClr w14:val="tx1"/>
            </w14:solidFill>
          </w14:textFill>
        </w:rPr>
        <w:t>*</w:t>
      </w:r>
      <w:r>
        <w:rPr>
          <w:rFonts w:ascii="Arial" w:hAnsi="Arial" w:cs="Arial"/>
          <w:color w:val="000000" w:themeColor="text1"/>
          <w:sz w:val="16"/>
          <w:szCs w:val="16"/>
          <w:highlight w:val="none"/>
          <w14:textFill>
            <w14:solidFill>
              <w14:schemeClr w14:val="tx1"/>
            </w14:solidFill>
          </w14:textFill>
        </w:rPr>
        <w:t xml:space="preserve">: </w:t>
      </w:r>
      <w:r>
        <w:rPr>
          <w:rFonts w:hint="eastAsia" w:ascii="Arial" w:hAnsi="Arial" w:cs="Arial"/>
          <w:color w:val="000000" w:themeColor="text1"/>
          <w:sz w:val="16"/>
          <w:szCs w:val="16"/>
          <w:highlight w:val="none"/>
          <w14:textFill>
            <w14:solidFill>
              <w14:schemeClr w14:val="tx1"/>
            </w14:solidFill>
          </w14:textFill>
        </w:rPr>
        <w:t>A</w:t>
      </w:r>
      <w:r>
        <w:rPr>
          <w:rFonts w:ascii="Arial" w:hAnsi="Arial" w:cs="Arial"/>
          <w:color w:val="000000" w:themeColor="text1"/>
          <w:sz w:val="16"/>
          <w:szCs w:val="16"/>
          <w:highlight w:val="none"/>
          <w14:textFill>
            <w14:solidFill>
              <w14:schemeClr w14:val="tx1"/>
            </w14:solidFill>
          </w14:textFill>
        </w:rPr>
        <w:t>ngling the needle about 30 degrees superiorly and inferiorly from the original insertion point.</w:t>
      </w:r>
    </w:p>
    <w:p w14:paraId="23D3EAB9">
      <w:pPr>
        <w:tabs>
          <w:tab w:val="left" w:pos="2226"/>
        </w:tabs>
        <w:spacing w:line="360" w:lineRule="auto"/>
        <w:rPr>
          <w:rFonts w:ascii="Times New Roman" w:hAnsi="Times New Roman" w:cs="Times New Roman"/>
          <w:color w:val="000000" w:themeColor="text1"/>
          <w:szCs w:val="21"/>
          <w:highlight w:val="none"/>
          <w14:textFill>
            <w14:solidFill>
              <w14:schemeClr w14:val="tx1"/>
            </w14:solidFill>
          </w14:textFill>
        </w:rPr>
      </w:pPr>
      <w:r>
        <w:rPr>
          <w:rFonts w:hint="eastAsia" w:ascii="Times New Roman" w:hAnsi="Times New Roman" w:cs="Times New Roman"/>
          <w:color w:val="000000" w:themeColor="text1"/>
          <w:szCs w:val="21"/>
          <w:highlight w:val="none"/>
          <w14:textFill>
            <w14:solidFill>
              <w14:schemeClr w14:val="tx1"/>
            </w14:solidFill>
          </w14:textFill>
        </w:rPr>
        <w:t>All acupuncture treatments will be administered by study personnel who have undergone standardized training and hold valid physician licenses. The treatment cycle will last 4 weeks, with twice-weekly sessions totaling 8 sessions. Assessments will be performed at 2 and 4 weeks of treatment, with follow-up at 8, 12, and 24 weeks based on patient condition</w:t>
      </w:r>
      <w:r>
        <w:rPr>
          <w:rFonts w:ascii="Times New Roman" w:hAnsi="Times New Roman" w:cs="Times New Roman"/>
          <w:color w:val="000000" w:themeColor="text1"/>
          <w:szCs w:val="21"/>
          <w:highlight w:val="none"/>
          <w14:textFill>
            <w14:solidFill>
              <w14:schemeClr w14:val="tx1"/>
            </w14:solidFill>
          </w14:textFill>
        </w:rPr>
        <w:t>.</w:t>
      </w:r>
    </w:p>
    <w:p w14:paraId="13E072CF">
      <w:pPr>
        <w:tabs>
          <w:tab w:val="left" w:pos="2226"/>
        </w:tabs>
        <w:spacing w:line="360" w:lineRule="auto"/>
        <w:rPr>
          <w:rFonts w:ascii="Times New Roman" w:hAnsi="Times New Roman" w:cs="Times New Roman"/>
          <w:color w:val="000000" w:themeColor="text1"/>
          <w:szCs w:val="21"/>
          <w:highlight w:val="none"/>
          <w14:textFill>
            <w14:solidFill>
              <w14:schemeClr w14:val="tx1"/>
            </w14:solidFill>
          </w14:textFill>
        </w:rPr>
      </w:pPr>
    </w:p>
    <w:p w14:paraId="24A11A23">
      <w:pPr>
        <w:autoSpaceDE w:val="0"/>
        <w:autoSpaceDN w:val="0"/>
        <w:jc w:val="left"/>
        <w:outlineLvl w:val="0"/>
        <w:rPr>
          <w:rFonts w:ascii="Times New Roman" w:hAnsi="Times New Roman" w:cs="Times New Roman"/>
          <w:b/>
          <w:bCs/>
          <w:color w:val="000000" w:themeColor="text1"/>
          <w:sz w:val="24"/>
          <w:szCs w:val="24"/>
          <w:highlight w:val="none"/>
          <w14:textFill>
            <w14:solidFill>
              <w14:schemeClr w14:val="tx1"/>
            </w14:solidFill>
          </w14:textFill>
        </w:rPr>
      </w:pPr>
      <w:bookmarkStart w:id="32" w:name="_Toc2980"/>
      <w:r>
        <w:rPr>
          <w:rFonts w:hint="eastAsia" w:ascii="Times New Roman" w:hAnsi="Times New Roman" w:cs="Times New Roman"/>
          <w:b/>
          <w:bCs/>
          <w:color w:val="000000" w:themeColor="text1"/>
          <w:sz w:val="24"/>
          <w:szCs w:val="24"/>
          <w:highlight w:val="none"/>
          <w14:textFill>
            <w14:solidFill>
              <w14:schemeClr w14:val="tx1"/>
            </w14:solidFill>
          </w14:textFill>
        </w:rPr>
        <w:t>7. Observation Items and Testing Timepoints</w:t>
      </w:r>
      <w:bookmarkEnd w:id="32"/>
    </w:p>
    <w:p w14:paraId="53746743">
      <w:pPr>
        <w:tabs>
          <w:tab w:val="left" w:pos="2226"/>
        </w:tabs>
        <w:spacing w:line="360" w:lineRule="auto"/>
        <w:outlineLvl w:val="1"/>
        <w:rPr>
          <w:rFonts w:ascii="Times New Roman" w:hAnsi="Times New Roman" w:cs="Times New Roman"/>
          <w:b/>
          <w:bCs/>
          <w:color w:val="000000" w:themeColor="text1"/>
          <w:sz w:val="20"/>
          <w:szCs w:val="20"/>
          <w:highlight w:val="none"/>
          <w14:textFill>
            <w14:solidFill>
              <w14:schemeClr w14:val="tx1"/>
            </w14:solidFill>
          </w14:textFill>
        </w:rPr>
      </w:pPr>
      <w:bookmarkStart w:id="33" w:name="_Toc13448"/>
      <w:r>
        <w:rPr>
          <w:rFonts w:hint="eastAsia" w:ascii="Times New Roman" w:hAnsi="Times New Roman" w:cs="Times New Roman"/>
          <w:b/>
          <w:bCs/>
          <w:color w:val="000000" w:themeColor="text1"/>
          <w:sz w:val="20"/>
          <w:szCs w:val="20"/>
          <w:highlight w:val="none"/>
          <w14:textFill>
            <w14:solidFill>
              <w14:schemeClr w14:val="tx1"/>
            </w14:solidFill>
          </w14:textFill>
        </w:rPr>
        <w:t>7.1 Baseline Data</w:t>
      </w:r>
      <w:bookmarkEnd w:id="33"/>
    </w:p>
    <w:p w14:paraId="33AA582C">
      <w:pPr>
        <w:tabs>
          <w:tab w:val="left" w:pos="2226"/>
        </w:tabs>
        <w:spacing w:line="360" w:lineRule="auto"/>
        <w:rPr>
          <w:rFonts w:ascii="Times New Roman" w:hAnsi="Times New Roman" w:cs="Times New Roman"/>
          <w:color w:val="000000" w:themeColor="text1"/>
          <w:szCs w:val="21"/>
          <w:highlight w:val="none"/>
          <w14:textFill>
            <w14:solidFill>
              <w14:schemeClr w14:val="tx1"/>
            </w14:solidFill>
          </w14:textFill>
        </w:rPr>
      </w:pPr>
      <w:r>
        <w:rPr>
          <w:rFonts w:hint="eastAsia" w:ascii="Times New Roman" w:hAnsi="Times New Roman" w:cs="Times New Roman"/>
          <w:color w:val="000000" w:themeColor="text1"/>
          <w:szCs w:val="21"/>
          <w:highlight w:val="none"/>
          <w14:textFill>
            <w14:solidFill>
              <w14:schemeClr w14:val="tx1"/>
            </w14:solidFill>
          </w14:textFill>
        </w:rPr>
        <w:t>(1) Demographic indicators: age, gender, ethnicity, nationality, date of birth, marital status, educational attainment, height, weight, occupation, long-term residence, etc;</w:t>
      </w:r>
    </w:p>
    <w:p w14:paraId="290559DE">
      <w:pPr>
        <w:tabs>
          <w:tab w:val="left" w:pos="2226"/>
        </w:tabs>
        <w:spacing w:line="360" w:lineRule="auto"/>
        <w:rPr>
          <w:rFonts w:ascii="Times New Roman" w:hAnsi="Times New Roman" w:cs="Times New Roman"/>
          <w:color w:val="000000" w:themeColor="text1"/>
          <w:szCs w:val="21"/>
          <w:highlight w:val="none"/>
          <w14:textFill>
            <w14:solidFill>
              <w14:schemeClr w14:val="tx1"/>
            </w14:solidFill>
          </w14:textFill>
        </w:rPr>
      </w:pPr>
      <w:r>
        <w:rPr>
          <w:rFonts w:hint="eastAsia" w:ascii="Times New Roman" w:hAnsi="Times New Roman" w:cs="Times New Roman"/>
          <w:color w:val="000000" w:themeColor="text1"/>
          <w:szCs w:val="21"/>
          <w:highlight w:val="none"/>
          <w14:textFill>
            <w14:solidFill>
              <w14:schemeClr w14:val="tx1"/>
            </w14:solidFill>
          </w14:textFill>
        </w:rPr>
        <w:t>(2) Clinical Data</w:t>
      </w:r>
    </w:p>
    <w:p w14:paraId="129C052A">
      <w:pPr>
        <w:tabs>
          <w:tab w:val="left" w:pos="2226"/>
        </w:tabs>
        <w:spacing w:line="360" w:lineRule="auto"/>
        <w:outlineLvl w:val="1"/>
        <w:rPr>
          <w:rFonts w:hint="eastAsia" w:ascii="Times New Roman" w:hAnsi="Times New Roman" w:cs="Times New Roman" w:eastAsiaTheme="minorEastAsia"/>
          <w:b w:val="0"/>
          <w:bCs w:val="0"/>
          <w:color w:val="000000" w:themeColor="text1"/>
          <w:sz w:val="20"/>
          <w:szCs w:val="20"/>
          <w:highlight w:val="none"/>
          <w:lang w:eastAsia="zh-CN"/>
          <w14:textFill>
            <w14:solidFill>
              <w14:schemeClr w14:val="tx1"/>
            </w14:solidFill>
          </w14:textFill>
        </w:rPr>
      </w:pPr>
      <w:bookmarkStart w:id="34" w:name="_Toc7064"/>
      <w:r>
        <w:rPr>
          <w:rFonts w:hint="eastAsia" w:ascii="Times New Roman" w:hAnsi="Times New Roman" w:cs="Times New Roman"/>
          <w:b w:val="0"/>
          <w:bCs w:val="0"/>
          <w:color w:val="000000" w:themeColor="text1"/>
          <w:sz w:val="20"/>
          <w:szCs w:val="20"/>
          <w:highlight w:val="none"/>
          <w:lang w:val="en-US" w:eastAsia="zh-CN"/>
          <w14:textFill>
            <w14:solidFill>
              <w14:schemeClr w14:val="tx1"/>
            </w14:solidFill>
          </w14:textFill>
        </w:rPr>
        <w:t>①</w:t>
      </w:r>
      <w:r>
        <w:rPr>
          <w:rFonts w:hint="eastAsia" w:ascii="Times New Roman" w:hAnsi="Times New Roman" w:cs="Times New Roman"/>
          <w:b w:val="0"/>
          <w:bCs w:val="0"/>
          <w:color w:val="000000" w:themeColor="text1"/>
          <w:sz w:val="20"/>
          <w:szCs w:val="20"/>
          <w:highlight w:val="none"/>
          <w14:textFill>
            <w14:solidFill>
              <w14:schemeClr w14:val="tx1"/>
            </w14:solidFill>
          </w14:textFill>
        </w:rPr>
        <w:t xml:space="preserve"> Vital signs: body temperature, pulse, respiration, blood pressure;</w:t>
      </w:r>
      <w:bookmarkEnd w:id="34"/>
    </w:p>
    <w:p w14:paraId="1A99D1E3">
      <w:pPr>
        <w:tabs>
          <w:tab w:val="left" w:pos="2226"/>
        </w:tabs>
        <w:spacing w:line="360" w:lineRule="auto"/>
        <w:outlineLvl w:val="1"/>
        <w:rPr>
          <w:rFonts w:hint="eastAsia" w:ascii="Times New Roman" w:hAnsi="Times New Roman" w:cs="Times New Roman" w:eastAsiaTheme="minorEastAsia"/>
          <w:b w:val="0"/>
          <w:bCs w:val="0"/>
          <w:color w:val="000000" w:themeColor="text1"/>
          <w:sz w:val="20"/>
          <w:szCs w:val="20"/>
          <w:highlight w:val="none"/>
          <w:lang w:eastAsia="zh-CN"/>
          <w14:textFill>
            <w14:solidFill>
              <w14:schemeClr w14:val="tx1"/>
            </w14:solidFill>
          </w14:textFill>
        </w:rPr>
      </w:pPr>
      <w:bookmarkStart w:id="35" w:name="_Toc10593"/>
      <w:r>
        <w:rPr>
          <w:rFonts w:hint="eastAsia" w:ascii="Times New Roman" w:hAnsi="Times New Roman" w:cs="Times New Roman"/>
          <w:b w:val="0"/>
          <w:bCs w:val="0"/>
          <w:color w:val="000000" w:themeColor="text1"/>
          <w:sz w:val="20"/>
          <w:szCs w:val="20"/>
          <w:highlight w:val="none"/>
          <w:lang w:val="en-US" w:eastAsia="zh-CN"/>
          <w14:textFill>
            <w14:solidFill>
              <w14:schemeClr w14:val="tx1"/>
            </w14:solidFill>
          </w14:textFill>
        </w:rPr>
        <w:t>②</w:t>
      </w:r>
      <w:r>
        <w:rPr>
          <w:rFonts w:hint="eastAsia" w:ascii="Times New Roman" w:hAnsi="Times New Roman" w:cs="Times New Roman"/>
          <w:b w:val="0"/>
          <w:bCs w:val="0"/>
          <w:color w:val="000000" w:themeColor="text1"/>
          <w:sz w:val="20"/>
          <w:szCs w:val="20"/>
          <w:highlight w:val="none"/>
          <w14:textFill>
            <w14:solidFill>
              <w14:schemeClr w14:val="tx1"/>
            </w14:solidFill>
          </w14:textFill>
        </w:rPr>
        <w:t xml:space="preserve"> Disease diagnosis-related information: Medical history, precipitating factors, affected sites, disease course, etc.;</w:t>
      </w:r>
      <w:bookmarkEnd w:id="35"/>
    </w:p>
    <w:p w14:paraId="2F51295F">
      <w:pPr>
        <w:tabs>
          <w:tab w:val="left" w:pos="2226"/>
        </w:tabs>
        <w:spacing w:line="360" w:lineRule="auto"/>
        <w:outlineLvl w:val="1"/>
        <w:rPr>
          <w:rFonts w:hint="eastAsia" w:ascii="Times New Roman" w:hAnsi="Times New Roman" w:cs="Times New Roman" w:eastAsiaTheme="minorEastAsia"/>
          <w:b w:val="0"/>
          <w:bCs w:val="0"/>
          <w:color w:val="000000" w:themeColor="text1"/>
          <w:sz w:val="20"/>
          <w:szCs w:val="20"/>
          <w:highlight w:val="none"/>
          <w:lang w:eastAsia="zh-CN"/>
          <w14:textFill>
            <w14:solidFill>
              <w14:schemeClr w14:val="tx1"/>
            </w14:solidFill>
          </w14:textFill>
        </w:rPr>
      </w:pPr>
      <w:bookmarkStart w:id="36" w:name="_Toc16006"/>
      <w:r>
        <w:rPr>
          <w:rFonts w:hint="eastAsia" w:ascii="Times New Roman" w:hAnsi="Times New Roman" w:cs="Times New Roman"/>
          <w:b w:val="0"/>
          <w:bCs w:val="0"/>
          <w:color w:val="000000" w:themeColor="text1"/>
          <w:sz w:val="20"/>
          <w:szCs w:val="20"/>
          <w:highlight w:val="none"/>
          <w:lang w:val="en-US" w:eastAsia="zh-CN"/>
          <w14:textFill>
            <w14:solidFill>
              <w14:schemeClr w14:val="tx1"/>
            </w14:solidFill>
          </w14:textFill>
        </w:rPr>
        <w:t>③</w:t>
      </w:r>
      <w:r>
        <w:rPr>
          <w:rFonts w:hint="eastAsia" w:ascii="Times New Roman" w:hAnsi="Times New Roman" w:cs="Times New Roman"/>
          <w:b w:val="0"/>
          <w:bCs w:val="0"/>
          <w:color w:val="000000" w:themeColor="text1"/>
          <w:sz w:val="20"/>
          <w:szCs w:val="20"/>
          <w:highlight w:val="none"/>
          <w14:textFill>
            <w14:solidFill>
              <w14:schemeClr w14:val="tx1"/>
            </w14:solidFill>
          </w14:textFill>
        </w:rPr>
        <w:t xml:space="preserve"> Auxiliary Tests:</w:t>
      </w:r>
      <w:bookmarkEnd w:id="36"/>
    </w:p>
    <w:p w14:paraId="72CDEDBA">
      <w:pPr>
        <w:tabs>
          <w:tab w:val="left" w:pos="2226"/>
        </w:tabs>
        <w:spacing w:line="360" w:lineRule="auto"/>
        <w:outlineLvl w:val="1"/>
        <w:rPr>
          <w:rFonts w:hint="eastAsia" w:ascii="Times New Roman" w:hAnsi="Times New Roman" w:cs="Times New Roman" w:eastAsiaTheme="minorEastAsia"/>
          <w:b w:val="0"/>
          <w:bCs w:val="0"/>
          <w:color w:val="000000" w:themeColor="text1"/>
          <w:sz w:val="20"/>
          <w:szCs w:val="20"/>
          <w:highlight w:val="none"/>
          <w:lang w:eastAsia="zh-CN"/>
          <w14:textFill>
            <w14:solidFill>
              <w14:schemeClr w14:val="tx1"/>
            </w14:solidFill>
          </w14:textFill>
        </w:rPr>
      </w:pPr>
      <w:bookmarkStart w:id="37" w:name="_Toc27977"/>
      <w:r>
        <w:rPr>
          <w:rFonts w:hint="eastAsia" w:ascii="Times New Roman" w:hAnsi="Times New Roman" w:cs="Times New Roman"/>
          <w:b w:val="0"/>
          <w:bCs w:val="0"/>
          <w:color w:val="000000" w:themeColor="text1"/>
          <w:sz w:val="20"/>
          <w:szCs w:val="20"/>
          <w:highlight w:val="none"/>
          <w14:textFill>
            <w14:solidFill>
              <w14:schemeClr w14:val="tx1"/>
            </w14:solidFill>
          </w14:textFill>
        </w:rPr>
        <w:t>Pre-treatment: Markerless motion capture (mocap), Synapsys human postural balance system, shear wave elastography (SWE), transcranial sonography (TCS), resting-state functional MRI (rs-fMRI), diffusion tensor imaging (DTI), susceptibility-weighted imaging (SWI), neuromelanin-sensitive MRI (NM-MRI), multi-parameter quantitative MRI (qMRI), serum SOD, GSH-PX, TNF-α, IL-6, IL-1β, TGF-β1, neuronal α-synuclein monomers and aggregates, PBMC single-cell transcriptomics, and three refined components of neuronal α-synuclein and 5-HT expression levels carried by brain extracellular vesicle subpopulations.</w:t>
      </w:r>
      <w:bookmarkEnd w:id="37"/>
    </w:p>
    <w:p w14:paraId="19B630EB">
      <w:pPr>
        <w:tabs>
          <w:tab w:val="left" w:pos="2226"/>
        </w:tabs>
        <w:spacing w:line="360" w:lineRule="auto"/>
        <w:outlineLvl w:val="1"/>
        <w:rPr>
          <w:rFonts w:hint="eastAsia" w:ascii="Times New Roman" w:hAnsi="Times New Roman" w:cs="Times New Roman" w:eastAsiaTheme="minorEastAsia"/>
          <w:b w:val="0"/>
          <w:bCs w:val="0"/>
          <w:color w:val="000000" w:themeColor="text1"/>
          <w:sz w:val="20"/>
          <w:szCs w:val="20"/>
          <w:highlight w:val="none"/>
          <w:lang w:eastAsia="zh-CN"/>
          <w14:textFill>
            <w14:solidFill>
              <w14:schemeClr w14:val="tx1"/>
            </w14:solidFill>
          </w14:textFill>
        </w:rPr>
      </w:pPr>
      <w:bookmarkStart w:id="38" w:name="_Toc22868"/>
      <w:r>
        <w:rPr>
          <w:rFonts w:hint="eastAsia" w:ascii="Times New Roman" w:hAnsi="Times New Roman" w:cs="Times New Roman"/>
          <w:b w:val="0"/>
          <w:bCs w:val="0"/>
          <w:color w:val="000000" w:themeColor="text1"/>
          <w:sz w:val="20"/>
          <w:szCs w:val="20"/>
          <w:highlight w:val="none"/>
          <w14:textFill>
            <w14:solidFill>
              <w14:schemeClr w14:val="tx1"/>
            </w14:solidFill>
          </w14:textFill>
        </w:rPr>
        <w:t>Post-treatment: Markerless motion capture (mocap), Synapsys human postural balance system, shear wave elastography (SWE), transcranial sonography (TCS), resting-state functional MRI (rs-fMRI), diffusion tensor imaging (DTI), susceptibility-weighted imaging (SWI), neuromelanin-sensitive MRI (NM-MRI), multi-parameter quantitative MRI (qMRI), serum SOD, GSH-PX, TNF-α, IL-6, IL-1β, TGF-β1, neuronal α-synuclein monomers and aggregates, PBMC single-cell transcriptomics, and three refined components of neuronal α-synuclein and 5-HT expression levels carried by brain extracellular vesicle subpopulations.</w:t>
      </w:r>
      <w:bookmarkEnd w:id="38"/>
    </w:p>
    <w:p w14:paraId="1AE41FF7">
      <w:pPr>
        <w:tabs>
          <w:tab w:val="left" w:pos="2226"/>
        </w:tabs>
        <w:spacing w:line="360" w:lineRule="auto"/>
        <w:outlineLvl w:val="1"/>
        <w:rPr>
          <w:rFonts w:hint="eastAsia" w:ascii="Times New Roman" w:hAnsi="Times New Roman" w:cs="Times New Roman" w:eastAsiaTheme="minorEastAsia"/>
          <w:b w:val="0"/>
          <w:bCs w:val="0"/>
          <w:color w:val="000000" w:themeColor="text1"/>
          <w:sz w:val="20"/>
          <w:szCs w:val="20"/>
          <w:highlight w:val="none"/>
          <w:lang w:eastAsia="zh-CN"/>
          <w14:textFill>
            <w14:solidFill>
              <w14:schemeClr w14:val="tx1"/>
            </w14:solidFill>
          </w14:textFill>
        </w:rPr>
      </w:pPr>
      <w:bookmarkStart w:id="39" w:name="_Toc9064"/>
      <w:r>
        <w:rPr>
          <w:rFonts w:hint="eastAsia" w:ascii="Times New Roman" w:hAnsi="Times New Roman" w:cs="Times New Roman"/>
          <w:b w:val="0"/>
          <w:bCs w:val="0"/>
          <w:color w:val="000000" w:themeColor="text1"/>
          <w:sz w:val="20"/>
          <w:szCs w:val="20"/>
          <w:highlight w:val="none"/>
          <w:lang w:val="en-US" w:eastAsia="zh-CN"/>
          <w14:textFill>
            <w14:solidFill>
              <w14:schemeClr w14:val="tx1"/>
            </w14:solidFill>
          </w14:textFill>
        </w:rPr>
        <w:t xml:space="preserve">④ </w:t>
      </w:r>
      <w:r>
        <w:rPr>
          <w:rFonts w:hint="eastAsia" w:ascii="Times New Roman" w:hAnsi="Times New Roman" w:cs="Times New Roman"/>
          <w:b w:val="0"/>
          <w:bCs w:val="0"/>
          <w:color w:val="000000" w:themeColor="text1"/>
          <w:sz w:val="20"/>
          <w:szCs w:val="20"/>
          <w:highlight w:val="none"/>
          <w14:textFill>
            <w14:solidFill>
              <w14:schemeClr w14:val="tx1"/>
            </w14:solidFill>
          </w14:textFill>
        </w:rPr>
        <w:t>Observation Scales:</w:t>
      </w:r>
      <w:bookmarkEnd w:id="39"/>
    </w:p>
    <w:p w14:paraId="1D016060">
      <w:pPr>
        <w:tabs>
          <w:tab w:val="left" w:pos="2226"/>
        </w:tabs>
        <w:spacing w:line="360" w:lineRule="auto"/>
        <w:outlineLvl w:val="1"/>
        <w:rPr>
          <w:rFonts w:hint="eastAsia" w:ascii="Times New Roman" w:hAnsi="Times New Roman" w:cs="Times New Roman" w:eastAsiaTheme="minorEastAsia"/>
          <w:b w:val="0"/>
          <w:bCs w:val="0"/>
          <w:color w:val="000000" w:themeColor="text1"/>
          <w:sz w:val="20"/>
          <w:szCs w:val="20"/>
          <w:highlight w:val="none"/>
          <w:lang w:eastAsia="zh-CN"/>
          <w14:textFill>
            <w14:solidFill>
              <w14:schemeClr w14:val="tx1"/>
            </w14:solidFill>
          </w14:textFill>
        </w:rPr>
      </w:pPr>
      <w:bookmarkStart w:id="40" w:name="_Toc29954"/>
      <w:r>
        <w:rPr>
          <w:rFonts w:hint="eastAsia" w:ascii="Times New Roman" w:hAnsi="Times New Roman" w:cs="Times New Roman"/>
          <w:b w:val="0"/>
          <w:bCs w:val="0"/>
          <w:color w:val="000000" w:themeColor="text1"/>
          <w:sz w:val="20"/>
          <w:szCs w:val="20"/>
          <w:highlight w:val="none"/>
          <w:lang w:val="en-US" w:eastAsia="zh-CN"/>
          <w14:textFill>
            <w14:solidFill>
              <w14:schemeClr w14:val="tx1"/>
            </w14:solidFill>
          </w14:textFill>
        </w:rPr>
        <w:t xml:space="preserve">A. </w:t>
      </w:r>
      <w:r>
        <w:rPr>
          <w:rFonts w:hint="eastAsia" w:ascii="Times New Roman" w:hAnsi="Times New Roman" w:cs="Times New Roman"/>
          <w:b w:val="0"/>
          <w:bCs w:val="0"/>
          <w:color w:val="000000" w:themeColor="text1"/>
          <w:sz w:val="20"/>
          <w:szCs w:val="20"/>
          <w:highlight w:val="none"/>
          <w14:textFill>
            <w14:solidFill>
              <w14:schemeClr w14:val="tx1"/>
            </w14:solidFill>
          </w14:textFill>
        </w:rPr>
        <w:t>Unified Parkinson's Disease Rating Scale (UPDRS) score;</w:t>
      </w:r>
      <w:bookmarkEnd w:id="40"/>
    </w:p>
    <w:p w14:paraId="7C4C0F7C">
      <w:pPr>
        <w:tabs>
          <w:tab w:val="left" w:pos="2226"/>
        </w:tabs>
        <w:spacing w:line="360" w:lineRule="auto"/>
        <w:outlineLvl w:val="1"/>
        <w:rPr>
          <w:rFonts w:hint="eastAsia" w:ascii="Times New Roman" w:hAnsi="Times New Roman" w:cs="Times New Roman" w:eastAsiaTheme="minorEastAsia"/>
          <w:b w:val="0"/>
          <w:bCs w:val="0"/>
          <w:color w:val="000000" w:themeColor="text1"/>
          <w:sz w:val="20"/>
          <w:szCs w:val="20"/>
          <w:highlight w:val="none"/>
          <w:lang w:eastAsia="zh-CN"/>
          <w14:textFill>
            <w14:solidFill>
              <w14:schemeClr w14:val="tx1"/>
            </w14:solidFill>
          </w14:textFill>
        </w:rPr>
      </w:pPr>
      <w:bookmarkStart w:id="41" w:name="_Toc8549"/>
      <w:r>
        <w:rPr>
          <w:rFonts w:hint="eastAsia" w:ascii="Times New Roman" w:hAnsi="Times New Roman" w:cs="Times New Roman"/>
          <w:b w:val="0"/>
          <w:bCs w:val="0"/>
          <w:color w:val="000000" w:themeColor="text1"/>
          <w:sz w:val="20"/>
          <w:szCs w:val="20"/>
          <w:highlight w:val="none"/>
          <w:lang w:val="en-US" w:eastAsia="zh-CN"/>
          <w14:textFill>
            <w14:solidFill>
              <w14:schemeClr w14:val="tx1"/>
            </w14:solidFill>
          </w14:textFill>
        </w:rPr>
        <w:t>B.</w:t>
      </w:r>
      <w:r>
        <w:rPr>
          <w:rFonts w:hint="eastAsia" w:ascii="Times New Roman" w:hAnsi="Times New Roman" w:cs="Times New Roman"/>
          <w:b w:val="0"/>
          <w:bCs w:val="0"/>
          <w:color w:val="000000" w:themeColor="text1"/>
          <w:sz w:val="20"/>
          <w:szCs w:val="20"/>
          <w:highlight w:val="none"/>
          <w14:textFill>
            <w14:solidFill>
              <w14:schemeClr w14:val="tx1"/>
            </w14:solidFill>
          </w14:textFill>
        </w:rPr>
        <w:t xml:space="preserve"> Parkinson's Disease Non-Motor Symptom Scale (NMSS) score;</w:t>
      </w:r>
      <w:bookmarkEnd w:id="41"/>
    </w:p>
    <w:p w14:paraId="375B3B54">
      <w:pPr>
        <w:tabs>
          <w:tab w:val="left" w:pos="2226"/>
        </w:tabs>
        <w:spacing w:line="360" w:lineRule="auto"/>
        <w:outlineLvl w:val="1"/>
        <w:rPr>
          <w:rFonts w:hint="eastAsia" w:ascii="Times New Roman" w:hAnsi="Times New Roman" w:cs="Times New Roman"/>
          <w:b w:val="0"/>
          <w:bCs w:val="0"/>
          <w:color w:val="000000" w:themeColor="text1"/>
          <w:sz w:val="20"/>
          <w:szCs w:val="20"/>
          <w:highlight w:val="none"/>
          <w14:textFill>
            <w14:solidFill>
              <w14:schemeClr w14:val="tx1"/>
            </w14:solidFill>
          </w14:textFill>
        </w:rPr>
      </w:pPr>
      <w:bookmarkStart w:id="42" w:name="_Toc26262"/>
      <w:r>
        <w:rPr>
          <w:rFonts w:hint="eastAsia" w:ascii="Times New Roman" w:hAnsi="Times New Roman" w:cs="Times New Roman"/>
          <w:b w:val="0"/>
          <w:bCs w:val="0"/>
          <w:color w:val="000000" w:themeColor="text1"/>
          <w:sz w:val="20"/>
          <w:szCs w:val="20"/>
          <w:highlight w:val="none"/>
          <w:lang w:val="en-US" w:eastAsia="zh-CN"/>
          <w14:textFill>
            <w14:solidFill>
              <w14:schemeClr w14:val="tx1"/>
            </w14:solidFill>
          </w14:textFill>
        </w:rPr>
        <w:t xml:space="preserve">C. </w:t>
      </w:r>
      <w:r>
        <w:rPr>
          <w:rFonts w:hint="eastAsia" w:ascii="Times New Roman" w:hAnsi="Times New Roman" w:cs="Times New Roman"/>
          <w:b w:val="0"/>
          <w:bCs w:val="0"/>
          <w:color w:val="000000" w:themeColor="text1"/>
          <w:sz w:val="20"/>
          <w:szCs w:val="20"/>
          <w:highlight w:val="none"/>
          <w14:textFill>
            <w14:solidFill>
              <w14:schemeClr w14:val="tx1"/>
            </w14:solidFill>
          </w14:textFill>
        </w:rPr>
        <w:t>Parkinson's Disease Quality of Life Questionnaire (PDQ-39) score;</w:t>
      </w:r>
      <w:bookmarkEnd w:id="42"/>
    </w:p>
    <w:p w14:paraId="146A3647">
      <w:pPr>
        <w:tabs>
          <w:tab w:val="left" w:pos="2226"/>
        </w:tabs>
        <w:spacing w:line="360" w:lineRule="auto"/>
        <w:outlineLvl w:val="1"/>
        <w:rPr>
          <w:rFonts w:ascii="Times New Roman" w:hAnsi="Times New Roman" w:cs="Times New Roman"/>
          <w:b/>
          <w:bCs/>
          <w:color w:val="000000" w:themeColor="text1"/>
          <w:sz w:val="20"/>
          <w:szCs w:val="20"/>
          <w:highlight w:val="none"/>
          <w14:textFill>
            <w14:solidFill>
              <w14:schemeClr w14:val="tx1"/>
            </w14:solidFill>
          </w14:textFill>
        </w:rPr>
      </w:pPr>
      <w:bookmarkStart w:id="43" w:name="_Toc28203"/>
      <w:r>
        <w:rPr>
          <w:rFonts w:ascii="Times New Roman" w:hAnsi="Times New Roman" w:cs="Times New Roman"/>
          <w:b/>
          <w:bCs/>
          <w:color w:val="000000" w:themeColor="text1"/>
          <w:sz w:val="20"/>
          <w:szCs w:val="20"/>
          <w:highlight w:val="none"/>
          <w14:textFill>
            <w14:solidFill>
              <w14:schemeClr w14:val="tx1"/>
            </w14:solidFill>
          </w14:textFill>
        </w:rPr>
        <w:t>7.2 Clinical Observational Items and Time Points</w:t>
      </w:r>
      <w:bookmarkEnd w:id="43"/>
    </w:p>
    <w:p w14:paraId="76240912">
      <w:pPr>
        <w:tabs>
          <w:tab w:val="left" w:pos="2226"/>
        </w:tabs>
        <w:spacing w:line="360" w:lineRule="auto"/>
        <w:rPr>
          <w:rFonts w:hint="eastAsia" w:ascii="Times New Roman" w:hAnsi="Times New Roman" w:cs="Times New Roman"/>
          <w:color w:val="000000" w:themeColor="text1"/>
          <w:szCs w:val="21"/>
          <w:highlight w:val="none"/>
          <w14:textFill>
            <w14:solidFill>
              <w14:schemeClr w14:val="tx1"/>
            </w14:solidFill>
          </w14:textFill>
        </w:rPr>
      </w:pPr>
      <w:r>
        <w:rPr>
          <w:rFonts w:hint="eastAsia" w:ascii="Times New Roman" w:hAnsi="Times New Roman" w:cs="Times New Roman"/>
          <w:color w:val="000000" w:themeColor="text1"/>
          <w:szCs w:val="21"/>
          <w:highlight w:val="none"/>
          <w14:textFill>
            <w14:solidFill>
              <w14:schemeClr w14:val="tx1"/>
            </w14:solidFill>
          </w14:textFill>
        </w:rPr>
        <w:t>(1) Efficacy Outcome Measures: Observation scales (UPDRS, NMSS, PDQ-39) will be assessed and recorded at baseline, at week 2, week 4, week 8, week 12, and week 24 of treatment. Shear wave elastography (SWE), transcranial sonography (TCS), posture and gait balance analysis, motion capture, neuroimaging, and serum molecular markers will be assessed at baseline, week 4, and week 24.</w:t>
      </w:r>
    </w:p>
    <w:p w14:paraId="27931C3D">
      <w:pPr>
        <w:tabs>
          <w:tab w:val="left" w:pos="2226"/>
        </w:tabs>
        <w:spacing w:line="360" w:lineRule="auto"/>
        <w:rPr>
          <w:rFonts w:hint="eastAsia" w:ascii="Times New Roman" w:hAnsi="Times New Roman" w:cs="Times New Roman"/>
          <w:color w:val="000000" w:themeColor="text1"/>
          <w:szCs w:val="21"/>
          <w:highlight w:val="none"/>
          <w14:textFill>
            <w14:solidFill>
              <w14:schemeClr w14:val="tx1"/>
            </w14:solidFill>
          </w14:textFill>
        </w:rPr>
      </w:pPr>
      <w:r>
        <w:rPr>
          <w:rFonts w:hint="eastAsia" w:ascii="Times New Roman" w:hAnsi="Times New Roman" w:cs="Times New Roman"/>
          <w:color w:val="000000" w:themeColor="text1"/>
          <w:szCs w:val="21"/>
          <w:highlight w:val="none"/>
          <w14:textFill>
            <w14:solidFill>
              <w14:schemeClr w14:val="tx1"/>
            </w14:solidFill>
          </w14:textFill>
        </w:rPr>
        <w:t>(2) Baseline Medications and Other Treatments: All medications administered to patients during the study period, including the reason for administration, drug name, dosage, and duration of use, will be documented. Additionally, all other treatment modalities administered to patients, along with their frequency, intensity, and duration, will be recorded.</w:t>
      </w:r>
    </w:p>
    <w:p w14:paraId="40D22BC7">
      <w:pPr>
        <w:tabs>
          <w:tab w:val="left" w:pos="2226"/>
        </w:tabs>
        <w:spacing w:line="360" w:lineRule="auto"/>
        <w:rPr>
          <w:rFonts w:hint="eastAsia" w:ascii="Times New Roman" w:hAnsi="Times New Roman" w:cs="Times New Roman"/>
          <w:color w:val="000000" w:themeColor="text1"/>
          <w:szCs w:val="21"/>
          <w:highlight w:val="none"/>
          <w14:textFill>
            <w14:solidFill>
              <w14:schemeClr w14:val="tx1"/>
            </w14:solidFill>
          </w14:textFill>
        </w:rPr>
      </w:pPr>
      <w:r>
        <w:rPr>
          <w:rFonts w:hint="eastAsia" w:ascii="Times New Roman" w:hAnsi="Times New Roman" w:cs="Times New Roman"/>
          <w:color w:val="000000" w:themeColor="text1"/>
          <w:szCs w:val="21"/>
          <w:highlight w:val="none"/>
          <w14:textFill>
            <w14:solidFill>
              <w14:schemeClr w14:val="tx1"/>
            </w14:solidFill>
          </w14:textFill>
        </w:rPr>
        <w:t>(3) Adverse Events and Adverse Reactions: All adverse events and adverse reactions occurring in patients during the study period, along with the management process, will be recorded.</w:t>
      </w:r>
    </w:p>
    <w:p w14:paraId="03BCCB76">
      <w:pPr>
        <w:tabs>
          <w:tab w:val="left" w:pos="2226"/>
        </w:tabs>
        <w:spacing w:line="360" w:lineRule="auto"/>
        <w:rPr>
          <w:rFonts w:ascii="Times New Roman" w:hAnsi="Times New Roman" w:cs="Times New Roman"/>
          <w:color w:val="000000" w:themeColor="text1"/>
          <w:szCs w:val="21"/>
          <w:highlight w:val="none"/>
          <w14:textFill>
            <w14:solidFill>
              <w14:schemeClr w14:val="tx1"/>
            </w14:solidFill>
          </w14:textFill>
        </w:rPr>
      </w:pPr>
      <w:r>
        <w:rPr>
          <w:rFonts w:hint="eastAsia" w:ascii="Times New Roman" w:hAnsi="Times New Roman" w:cs="Times New Roman"/>
          <w:color w:val="000000" w:themeColor="text1"/>
          <w:szCs w:val="21"/>
          <w:highlight w:val="none"/>
          <w14:textFill>
            <w14:solidFill>
              <w14:schemeClr w14:val="tx1"/>
            </w14:solidFill>
          </w14:textFill>
        </w:rPr>
        <w:t>(4) Case Withdrawal or Exclusion: Cases where patients received other non-pharmacological treatments effective for Parkinson's disease during the treatment period, or developed other serious illnesses preventing continued participation in the study, etc.</w:t>
      </w:r>
    </w:p>
    <w:p w14:paraId="7CD6131A">
      <w:pPr>
        <w:tabs>
          <w:tab w:val="left" w:pos="2226"/>
        </w:tabs>
        <w:spacing w:line="360" w:lineRule="auto"/>
        <w:rPr>
          <w:rFonts w:ascii="Times New Roman" w:hAnsi="Times New Roman" w:cs="Times New Roman"/>
          <w:color w:val="000000" w:themeColor="text1"/>
          <w:szCs w:val="21"/>
          <w:highlight w:val="none"/>
          <w14:textFill>
            <w14:solidFill>
              <w14:schemeClr w14:val="tx1"/>
            </w14:solidFill>
          </w14:textFill>
        </w:rPr>
      </w:pPr>
    </w:p>
    <w:p w14:paraId="3BA7D737">
      <w:pPr>
        <w:autoSpaceDE w:val="0"/>
        <w:autoSpaceDN w:val="0"/>
        <w:jc w:val="left"/>
        <w:outlineLvl w:val="0"/>
        <w:rPr>
          <w:rFonts w:ascii="Times New Roman" w:hAnsi="Times New Roman" w:cs="Times New Roman"/>
          <w:b/>
          <w:bCs/>
          <w:color w:val="000000" w:themeColor="text1"/>
          <w:sz w:val="20"/>
          <w:szCs w:val="20"/>
          <w:highlight w:val="none"/>
          <w14:textFill>
            <w14:solidFill>
              <w14:schemeClr w14:val="tx1"/>
            </w14:solidFill>
          </w14:textFill>
        </w:rPr>
      </w:pPr>
      <w:bookmarkStart w:id="44" w:name="_Toc28513"/>
      <w:r>
        <w:rPr>
          <w:rFonts w:ascii="Times New Roman" w:hAnsi="Times New Roman" w:cs="Times New Roman"/>
          <w:b/>
          <w:bCs/>
          <w:color w:val="000000" w:themeColor="text1"/>
          <w:sz w:val="20"/>
          <w:szCs w:val="20"/>
          <w:highlight w:val="none"/>
          <w14:textFill>
            <w14:solidFill>
              <w14:schemeClr w14:val="tx1"/>
            </w14:solidFill>
          </w14:textFill>
        </w:rPr>
        <w:t>8. Observation of Adverse Events</w:t>
      </w:r>
      <w:bookmarkEnd w:id="44"/>
    </w:p>
    <w:p w14:paraId="30F81BBE">
      <w:pPr>
        <w:tabs>
          <w:tab w:val="left" w:pos="2226"/>
        </w:tabs>
        <w:spacing w:line="360" w:lineRule="auto"/>
        <w:outlineLvl w:val="1"/>
        <w:rPr>
          <w:rFonts w:ascii="Times New Roman" w:hAnsi="Times New Roman" w:cs="Times New Roman"/>
          <w:b/>
          <w:bCs/>
          <w:color w:val="000000" w:themeColor="text1"/>
          <w:sz w:val="20"/>
          <w:szCs w:val="20"/>
          <w:highlight w:val="none"/>
          <w14:textFill>
            <w14:solidFill>
              <w14:schemeClr w14:val="tx1"/>
            </w14:solidFill>
          </w14:textFill>
        </w:rPr>
      </w:pPr>
      <w:bookmarkStart w:id="45" w:name="_Toc2956"/>
      <w:r>
        <w:rPr>
          <w:rFonts w:ascii="Times New Roman" w:hAnsi="Times New Roman" w:cs="Times New Roman"/>
          <w:b/>
          <w:bCs/>
          <w:color w:val="000000" w:themeColor="text1"/>
          <w:sz w:val="20"/>
          <w:szCs w:val="20"/>
          <w:highlight w:val="none"/>
          <w14:textFill>
            <w14:solidFill>
              <w14:schemeClr w14:val="tx1"/>
            </w14:solidFill>
          </w14:textFill>
        </w:rPr>
        <w:t>8.1 Adverse Events</w:t>
      </w:r>
      <w:bookmarkEnd w:id="45"/>
    </w:p>
    <w:p w14:paraId="666DB208">
      <w:pPr>
        <w:tabs>
          <w:tab w:val="left" w:pos="2226"/>
        </w:tabs>
        <w:spacing w:line="360" w:lineRule="auto"/>
        <w:rPr>
          <w:rFonts w:hint="eastAsia" w:ascii="Times New Roman" w:hAnsi="Times New Roman" w:cs="Times New Roman"/>
          <w:color w:val="000000" w:themeColor="text1"/>
          <w:szCs w:val="21"/>
          <w:highlight w:val="none"/>
          <w14:textFill>
            <w14:solidFill>
              <w14:schemeClr w14:val="tx1"/>
            </w14:solidFill>
          </w14:textFill>
        </w:rPr>
      </w:pPr>
      <w:r>
        <w:rPr>
          <w:rFonts w:hint="eastAsia" w:ascii="Times New Roman" w:hAnsi="Times New Roman" w:cs="Times New Roman"/>
          <w:color w:val="000000" w:themeColor="text1"/>
          <w:szCs w:val="21"/>
          <w:highlight w:val="none"/>
          <w14:textFill>
            <w14:solidFill>
              <w14:schemeClr w14:val="tx1"/>
            </w14:solidFill>
          </w14:textFill>
        </w:rPr>
        <w:t>An adverse event refers to any adverse medical occurrence experienced by a subject during this clinical study, regardless of whether it is causally related to the study drug or intervention used as described above.</w:t>
      </w:r>
    </w:p>
    <w:p w14:paraId="5E30176E">
      <w:pPr>
        <w:tabs>
          <w:tab w:val="left" w:pos="2226"/>
        </w:tabs>
        <w:spacing w:line="360" w:lineRule="auto"/>
        <w:rPr>
          <w:rFonts w:ascii="Times New Roman" w:hAnsi="Times New Roman" w:cs="Times New Roman"/>
          <w:color w:val="000000" w:themeColor="text1"/>
          <w:szCs w:val="21"/>
          <w:highlight w:val="none"/>
          <w14:textFill>
            <w14:solidFill>
              <w14:schemeClr w14:val="tx1"/>
            </w14:solidFill>
          </w14:textFill>
        </w:rPr>
      </w:pPr>
      <w:r>
        <w:rPr>
          <w:rFonts w:hint="eastAsia" w:ascii="Times New Roman" w:hAnsi="Times New Roman" w:cs="Times New Roman"/>
          <w:color w:val="000000" w:themeColor="text1"/>
          <w:szCs w:val="21"/>
          <w:highlight w:val="none"/>
          <w14:textFill>
            <w14:solidFill>
              <w14:schemeClr w14:val="tx1"/>
            </w14:solidFill>
          </w14:textFill>
        </w:rPr>
        <w:t>During the clinical study, the investigator must still record all adverse events that are observed, elicited through non-prompted questioning, or reported by the subject, irrespective of the group in which the event occurs or whether it is related to the treatment regimen. Additionally, newly emerging diseases or worsening of pre-existing conditions during the study period should be reported. Inadequate clinical intervention outcomes should not be recorded as adverse events</w:t>
      </w:r>
      <w:r>
        <w:rPr>
          <w:rFonts w:ascii="Times New Roman" w:hAnsi="Times New Roman" w:cs="Times New Roman"/>
          <w:color w:val="000000" w:themeColor="text1"/>
          <w:szCs w:val="21"/>
          <w:highlight w:val="none"/>
          <w14:textFill>
            <w14:solidFill>
              <w14:schemeClr w14:val="tx1"/>
            </w14:solidFill>
          </w14:textFill>
        </w:rPr>
        <w:t>.</w:t>
      </w:r>
    </w:p>
    <w:p w14:paraId="75FFCB3F">
      <w:pPr>
        <w:tabs>
          <w:tab w:val="left" w:pos="2226"/>
        </w:tabs>
        <w:spacing w:line="360" w:lineRule="auto"/>
        <w:outlineLvl w:val="1"/>
        <w:rPr>
          <w:rFonts w:ascii="Times New Roman" w:hAnsi="Times New Roman" w:cs="Times New Roman"/>
          <w:b/>
          <w:bCs/>
          <w:color w:val="000000" w:themeColor="text1"/>
          <w:sz w:val="20"/>
          <w:szCs w:val="20"/>
          <w:highlight w:val="none"/>
          <w14:textFill>
            <w14:solidFill>
              <w14:schemeClr w14:val="tx1"/>
            </w14:solidFill>
          </w14:textFill>
        </w:rPr>
      </w:pPr>
      <w:bookmarkStart w:id="46" w:name="_Toc24723"/>
      <w:r>
        <w:rPr>
          <w:rFonts w:ascii="Times New Roman" w:hAnsi="Times New Roman" w:cs="Times New Roman"/>
          <w:b/>
          <w:bCs/>
          <w:color w:val="000000" w:themeColor="text1"/>
          <w:sz w:val="20"/>
          <w:szCs w:val="20"/>
          <w:highlight w:val="none"/>
          <w14:textFill>
            <w14:solidFill>
              <w14:schemeClr w14:val="tx1"/>
            </w14:solidFill>
          </w14:textFill>
        </w:rPr>
        <w:t>8.2 Potential Adverse Reactions to Acupuncture and Management</w:t>
      </w:r>
      <w:bookmarkEnd w:id="46"/>
    </w:p>
    <w:p w14:paraId="71252C7D">
      <w:pPr>
        <w:tabs>
          <w:tab w:val="left" w:pos="2226"/>
        </w:tabs>
        <w:spacing w:line="360" w:lineRule="auto"/>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 xml:space="preserve">(1) Acupuncture Syncope: Immediately cease needling, remove all needles, position the patient supine, ensure warmth, and monitor. Mild cases may recover after brief supine rest with warm water or sugar water. For severe cases, in addition to the above, stimulate acupoints such as Renzhong (GV26), </w:t>
      </w:r>
      <w:r>
        <w:rPr>
          <w:rFonts w:hint="eastAsia" w:ascii="Times New Roman" w:hAnsi="Times New Roman" w:cs="Times New Roman"/>
          <w:color w:val="000000" w:themeColor="text1"/>
          <w:szCs w:val="21"/>
          <w:highlight w:val="none"/>
          <w14:textFill>
            <w14:solidFill>
              <w14:schemeClr w14:val="tx1"/>
            </w14:solidFill>
          </w14:textFill>
        </w:rPr>
        <w:t>Suliao</w:t>
      </w:r>
      <w:r>
        <w:rPr>
          <w:rFonts w:ascii="Times New Roman" w:hAnsi="Times New Roman" w:cs="Times New Roman"/>
          <w:color w:val="000000" w:themeColor="text1"/>
          <w:szCs w:val="21"/>
          <w:highlight w:val="none"/>
          <w14:textFill>
            <w14:solidFill>
              <w14:schemeClr w14:val="tx1"/>
            </w14:solidFill>
          </w14:textFill>
        </w:rPr>
        <w:t xml:space="preserve"> (</w:t>
      </w:r>
      <w:r>
        <w:rPr>
          <w:rFonts w:hint="eastAsia" w:ascii="Times New Roman" w:hAnsi="Times New Roman" w:cs="Times New Roman"/>
          <w:color w:val="000000" w:themeColor="text1"/>
          <w:szCs w:val="21"/>
          <w:highlight w:val="none"/>
          <w14:textFill>
            <w14:solidFill>
              <w14:schemeClr w14:val="tx1"/>
            </w14:solidFill>
          </w14:textFill>
        </w:rPr>
        <w:t>GV25</w:t>
      </w:r>
      <w:r>
        <w:rPr>
          <w:rFonts w:ascii="Times New Roman" w:hAnsi="Times New Roman" w:cs="Times New Roman"/>
          <w:color w:val="000000" w:themeColor="text1"/>
          <w:szCs w:val="21"/>
          <w:highlight w:val="none"/>
          <w14:textFill>
            <w14:solidFill>
              <w14:schemeClr w14:val="tx1"/>
            </w14:solidFill>
          </w14:textFill>
        </w:rPr>
        <w:t>), Neiguan (PC6), Zusanli (ST36), or moxibustion at Baihui (GV20) and Qihai (CV6) for immediate recovery.</w:t>
      </w:r>
    </w:p>
    <w:p w14:paraId="3A28BA50">
      <w:pPr>
        <w:tabs>
          <w:tab w:val="left" w:pos="2226"/>
        </w:tabs>
        <w:spacing w:line="360" w:lineRule="auto"/>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(2) Needle</w:t>
      </w:r>
      <w:r>
        <w:rPr>
          <w:rFonts w:hint="eastAsia" w:ascii="Times New Roman" w:hAnsi="Times New Roman" w:cs="Times New Roman"/>
          <w:color w:val="000000" w:themeColor="text1"/>
          <w:szCs w:val="21"/>
          <w:highlight w:val="none"/>
          <w14:textFill>
            <w14:solidFill>
              <w14:schemeClr w14:val="tx1"/>
            </w14:solidFill>
          </w14:textFill>
        </w:rPr>
        <w:t xml:space="preserve"> </w:t>
      </w:r>
      <w:r>
        <w:rPr>
          <w:rFonts w:ascii="Times New Roman" w:hAnsi="Times New Roman" w:cs="Times New Roman"/>
          <w:color w:val="000000" w:themeColor="text1"/>
          <w:szCs w:val="21"/>
          <w:highlight w:val="none"/>
          <w14:textFill>
            <w14:solidFill>
              <w14:schemeClr w14:val="tx1"/>
            </w14:solidFill>
          </w14:textFill>
        </w:rPr>
        <w:t>Stuck: During needle manipulation or retention, the practitioner may perceive resistance, difficulty in twisting, lifting, or removing the needle, while the patient experiences severe pain. If the patient is tense and the local muscles are overly contracted, slightly prolong the retention time. Alternatively, apply pressure or tap the needle handle near the stuck point, or insert another needle nearby to promote qi and blood circulation and relieve muscle tension. If needle retention occurs due to improper manipulation or unidirectional twisting, reverse the twisting direction. Scraping or tapping the needle handle can release entangled muscle fibers, resolving the retention.</w:t>
      </w:r>
    </w:p>
    <w:p w14:paraId="47804F20">
      <w:pPr>
        <w:tabs>
          <w:tab w:val="left" w:pos="2226"/>
        </w:tabs>
        <w:spacing w:line="360" w:lineRule="auto"/>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(3) Hematoma: Minor subcutaneous bleeding causing localized bruising typically requires no intervention and resolves spontaneously. For severe swelling, pain, or extensive bruising impairing function, apply cold compresses to stop bleeding, followed by warm compresses or gentle local massage to promote absorption of stasis.</w:t>
      </w:r>
    </w:p>
    <w:p w14:paraId="20686415">
      <w:pPr>
        <w:tabs>
          <w:tab w:val="left" w:pos="2226"/>
        </w:tabs>
        <w:spacing w:line="360" w:lineRule="auto"/>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(4) Infection: Strictly sterilize acupuncture sites and instruments to prevent infection.</w:t>
      </w:r>
    </w:p>
    <w:p w14:paraId="5FD42ADB">
      <w:pPr>
        <w:tabs>
          <w:tab w:val="left" w:pos="2226"/>
        </w:tabs>
        <w:spacing w:line="360" w:lineRule="auto"/>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(5) Visceral Puncture: When needling Jueyinshu</w:t>
      </w:r>
      <w:r>
        <w:rPr>
          <w:rFonts w:hint="eastAsia" w:ascii="Times New Roman" w:hAnsi="Times New Roman" w:cs="Times New Roman"/>
          <w:color w:val="000000" w:themeColor="text1"/>
          <w:szCs w:val="21"/>
          <w:highlight w:val="none"/>
          <w14:textFill>
            <w14:solidFill>
              <w14:schemeClr w14:val="tx1"/>
            </w14:solidFill>
          </w14:textFill>
        </w:rPr>
        <w:t>(BL14)</w:t>
      </w:r>
      <w:r>
        <w:rPr>
          <w:rFonts w:ascii="Times New Roman" w:hAnsi="Times New Roman" w:cs="Times New Roman"/>
          <w:color w:val="000000" w:themeColor="text1"/>
          <w:szCs w:val="21"/>
          <w:highlight w:val="none"/>
          <w14:textFill>
            <w14:solidFill>
              <w14:schemeClr w14:val="tx1"/>
            </w14:solidFill>
          </w14:textFill>
        </w:rPr>
        <w:t>, ensure precise location and depth, followed by one minute of pressure application post-insertion. If the patient experiences chest tightness or chest pain, promptly transfer to emergency care.</w:t>
      </w:r>
    </w:p>
    <w:p w14:paraId="697CFA5C">
      <w:pPr>
        <w:tabs>
          <w:tab w:val="left" w:pos="2226"/>
        </w:tabs>
        <w:spacing w:line="360" w:lineRule="auto"/>
        <w:outlineLvl w:val="1"/>
        <w:rPr>
          <w:rFonts w:ascii="Times New Roman" w:hAnsi="Times New Roman" w:cs="Times New Roman"/>
          <w:b/>
          <w:bCs/>
          <w:color w:val="000000" w:themeColor="text1"/>
          <w:sz w:val="20"/>
          <w:szCs w:val="20"/>
          <w:highlight w:val="none"/>
          <w14:textFill>
            <w14:solidFill>
              <w14:schemeClr w14:val="tx1"/>
            </w14:solidFill>
          </w14:textFill>
        </w:rPr>
      </w:pPr>
      <w:bookmarkStart w:id="47" w:name="_Toc2583"/>
      <w:r>
        <w:rPr>
          <w:rFonts w:ascii="Times New Roman" w:hAnsi="Times New Roman" w:cs="Times New Roman"/>
          <w:b/>
          <w:bCs/>
          <w:color w:val="000000" w:themeColor="text1"/>
          <w:sz w:val="20"/>
          <w:szCs w:val="20"/>
          <w:highlight w:val="none"/>
          <w14:textFill>
            <w14:solidFill>
              <w14:schemeClr w14:val="tx1"/>
            </w14:solidFill>
          </w14:textFill>
        </w:rPr>
        <w:t>8.3 Adverse Event Recording and Reporting</w:t>
      </w:r>
      <w:bookmarkEnd w:id="47"/>
    </w:p>
    <w:p w14:paraId="7A9D7D5A">
      <w:pPr>
        <w:tabs>
          <w:tab w:val="left" w:pos="2226"/>
        </w:tabs>
        <w:spacing w:line="360" w:lineRule="auto"/>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 xml:space="preserve">Clinicians must document all adverse reactions occurring during the trial in detail on the observation form. </w:t>
      </w:r>
      <w:r>
        <w:rPr>
          <w:rFonts w:hint="eastAsia" w:ascii="Times New Roman" w:hAnsi="Times New Roman" w:cs="Times New Roman"/>
          <w:color w:val="000000" w:themeColor="text1"/>
          <w:szCs w:val="21"/>
          <w:highlight w:val="none"/>
          <w14:textFill>
            <w14:solidFill>
              <w14:schemeClr w14:val="tx1"/>
            </w14:solidFill>
          </w14:textFill>
        </w:rPr>
        <w:t xml:space="preserve">The </w:t>
      </w:r>
      <w:r>
        <w:rPr>
          <w:rFonts w:ascii="Times New Roman" w:hAnsi="Times New Roman" w:cs="Times New Roman"/>
          <w:color w:val="000000" w:themeColor="text1"/>
          <w:szCs w:val="21"/>
          <w:highlight w:val="none"/>
          <w14:textFill>
            <w14:solidFill>
              <w14:schemeClr w14:val="tx1"/>
            </w14:solidFill>
          </w14:textFill>
        </w:rPr>
        <w:t>correlation between adverse reactions and acupuncture/medication, as well as interactions with concomitant medications</w:t>
      </w:r>
      <w:r>
        <w:rPr>
          <w:rFonts w:hint="eastAsia" w:ascii="Times New Roman" w:hAnsi="Times New Roman" w:cs="Times New Roman"/>
          <w:color w:val="000000" w:themeColor="text1"/>
          <w:szCs w:val="21"/>
          <w:highlight w:val="none"/>
          <w14:textFill>
            <w14:solidFill>
              <w14:schemeClr w14:val="tx1"/>
            </w14:solidFill>
          </w14:textFill>
        </w:rPr>
        <w:t xml:space="preserve"> will be e</w:t>
      </w:r>
      <w:r>
        <w:rPr>
          <w:rFonts w:ascii="Times New Roman" w:hAnsi="Times New Roman" w:cs="Times New Roman"/>
          <w:color w:val="000000" w:themeColor="text1"/>
          <w:szCs w:val="21"/>
          <w:highlight w:val="none"/>
          <w14:textFill>
            <w14:solidFill>
              <w14:schemeClr w14:val="tx1"/>
            </w14:solidFill>
          </w14:textFill>
        </w:rPr>
        <w:t>valuate</w:t>
      </w:r>
      <w:r>
        <w:rPr>
          <w:rFonts w:hint="eastAsia" w:ascii="Times New Roman" w:hAnsi="Times New Roman" w:cs="Times New Roman"/>
          <w:color w:val="000000" w:themeColor="text1"/>
          <w:szCs w:val="21"/>
          <w:highlight w:val="none"/>
          <w14:textFill>
            <w14:solidFill>
              <w14:schemeClr w14:val="tx1"/>
            </w14:solidFill>
          </w14:textFill>
        </w:rPr>
        <w:t>d</w:t>
      </w:r>
      <w:r>
        <w:rPr>
          <w:rFonts w:ascii="Times New Roman" w:hAnsi="Times New Roman" w:cs="Times New Roman"/>
          <w:color w:val="000000" w:themeColor="text1"/>
          <w:szCs w:val="21"/>
          <w:highlight w:val="none"/>
          <w14:textFill>
            <w14:solidFill>
              <w14:schemeClr w14:val="tx1"/>
            </w14:solidFill>
          </w14:textFill>
        </w:rPr>
        <w:t xml:space="preserve">. Adverse events, including symptom/disease severity, onset date, frequency, duration, resolution date, management measures, treatment course, outcomes, and follow-up status </w:t>
      </w:r>
      <w:r>
        <w:rPr>
          <w:rFonts w:hint="eastAsia" w:ascii="Times New Roman" w:hAnsi="Times New Roman" w:cs="Times New Roman"/>
          <w:color w:val="000000" w:themeColor="text1"/>
          <w:szCs w:val="21"/>
          <w:highlight w:val="none"/>
          <w14:textFill>
            <w14:solidFill>
              <w14:schemeClr w14:val="tx1"/>
            </w14:solidFill>
          </w14:textFill>
        </w:rPr>
        <w:t xml:space="preserve">will be recorded </w:t>
      </w:r>
      <w:r>
        <w:rPr>
          <w:rFonts w:ascii="Times New Roman" w:hAnsi="Times New Roman" w:cs="Times New Roman"/>
          <w:color w:val="000000" w:themeColor="text1"/>
          <w:szCs w:val="21"/>
          <w:highlight w:val="none"/>
          <w14:textFill>
            <w14:solidFill>
              <w14:schemeClr w14:val="tx1"/>
            </w14:solidFill>
          </w14:textFill>
        </w:rPr>
        <w:t xml:space="preserve">on the case observation form. </w:t>
      </w:r>
      <w:r>
        <w:rPr>
          <w:rFonts w:hint="eastAsia" w:ascii="Times New Roman" w:hAnsi="Times New Roman" w:cs="Times New Roman"/>
          <w:color w:val="000000" w:themeColor="text1"/>
          <w:szCs w:val="21"/>
          <w:highlight w:val="none"/>
          <w14:textFill>
            <w14:solidFill>
              <w14:schemeClr w14:val="tx1"/>
            </w14:solidFill>
          </w14:textFill>
        </w:rPr>
        <w:t xml:space="preserve">The </w:t>
      </w:r>
      <w:r>
        <w:rPr>
          <w:rFonts w:ascii="Times New Roman" w:hAnsi="Times New Roman" w:cs="Times New Roman"/>
          <w:color w:val="000000" w:themeColor="text1"/>
          <w:szCs w:val="21"/>
          <w:highlight w:val="none"/>
          <w14:textFill>
            <w14:solidFill>
              <w14:schemeClr w14:val="tx1"/>
            </w14:solidFill>
          </w14:textFill>
        </w:rPr>
        <w:t xml:space="preserve">relevance to the trial </w:t>
      </w:r>
      <w:r>
        <w:rPr>
          <w:rFonts w:hint="eastAsia" w:ascii="Times New Roman" w:hAnsi="Times New Roman" w:cs="Times New Roman"/>
          <w:color w:val="000000" w:themeColor="text1"/>
          <w:szCs w:val="21"/>
          <w:highlight w:val="none"/>
          <w14:textFill>
            <w14:solidFill>
              <w14:schemeClr w14:val="tx1"/>
            </w14:solidFill>
          </w14:textFill>
        </w:rPr>
        <w:t xml:space="preserve">will be assessed </w:t>
      </w:r>
      <w:r>
        <w:rPr>
          <w:rFonts w:ascii="Times New Roman" w:hAnsi="Times New Roman" w:cs="Times New Roman"/>
          <w:color w:val="000000" w:themeColor="text1"/>
          <w:szCs w:val="21"/>
          <w:highlight w:val="none"/>
          <w14:textFill>
            <w14:solidFill>
              <w14:schemeClr w14:val="tx1"/>
            </w14:solidFill>
          </w14:textFill>
        </w:rPr>
        <w:t xml:space="preserve">by comprehensively considering comorbidities, concomitant medications/therapies, and treatment protocols. Physicians must document these details thoroughly, noting whether the patient continued the trial, and the investigator must sign the form. Adverse events should comply with the CONSORT reporting standards for non-pharmacological randomized controlled trials. Methods will be used to assess their relevance to the trial. </w:t>
      </w:r>
    </w:p>
    <w:p w14:paraId="06DECF0C">
      <w:pPr>
        <w:tabs>
          <w:tab w:val="left" w:pos="2226"/>
        </w:tabs>
        <w:spacing w:line="360" w:lineRule="auto"/>
        <w:outlineLvl w:val="1"/>
        <w:rPr>
          <w:rFonts w:ascii="Times New Roman" w:hAnsi="Times New Roman" w:cs="Times New Roman"/>
          <w:b/>
          <w:bCs/>
          <w:color w:val="000000" w:themeColor="text1"/>
          <w:sz w:val="20"/>
          <w:szCs w:val="20"/>
          <w:highlight w:val="none"/>
          <w14:textFill>
            <w14:solidFill>
              <w14:schemeClr w14:val="tx1"/>
            </w14:solidFill>
          </w14:textFill>
        </w:rPr>
      </w:pPr>
      <w:bookmarkStart w:id="48" w:name="_Toc25648"/>
      <w:r>
        <w:rPr>
          <w:rFonts w:ascii="Times New Roman" w:hAnsi="Times New Roman" w:cs="Times New Roman"/>
          <w:b/>
          <w:bCs/>
          <w:color w:val="000000" w:themeColor="text1"/>
          <w:sz w:val="20"/>
          <w:szCs w:val="20"/>
          <w:highlight w:val="none"/>
          <w14:textFill>
            <w14:solidFill>
              <w14:schemeClr w14:val="tx1"/>
            </w14:solidFill>
          </w14:textFill>
        </w:rPr>
        <w:t>8.4 Reporting of Adverse Events</w:t>
      </w:r>
      <w:bookmarkEnd w:id="48"/>
    </w:p>
    <w:p w14:paraId="2CB9C1D3">
      <w:pPr>
        <w:tabs>
          <w:tab w:val="left" w:pos="2226"/>
        </w:tabs>
        <w:spacing w:line="360" w:lineRule="auto"/>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Serious adverse events occurring during the trial must be promptly reported to the study center director, principal investigator, and designated contact person. The “Serious Adverse Event Report Form” must be completed to ensure compliance with all legally mandated reporting procedures.</w:t>
      </w:r>
    </w:p>
    <w:p w14:paraId="6D4D738C">
      <w:pPr>
        <w:tabs>
          <w:tab w:val="left" w:pos="2226"/>
        </w:tabs>
        <w:spacing w:line="360" w:lineRule="auto"/>
        <w:outlineLvl w:val="1"/>
        <w:rPr>
          <w:rFonts w:ascii="Times New Roman" w:hAnsi="Times New Roman" w:cs="Times New Roman"/>
          <w:b/>
          <w:bCs/>
          <w:color w:val="000000" w:themeColor="text1"/>
          <w:sz w:val="20"/>
          <w:szCs w:val="20"/>
          <w:highlight w:val="none"/>
          <w14:textFill>
            <w14:solidFill>
              <w14:schemeClr w14:val="tx1"/>
            </w14:solidFill>
          </w14:textFill>
        </w:rPr>
      </w:pPr>
      <w:bookmarkStart w:id="49" w:name="_Toc8361"/>
      <w:r>
        <w:rPr>
          <w:rFonts w:ascii="Times New Roman" w:hAnsi="Times New Roman" w:cs="Times New Roman"/>
          <w:b/>
          <w:bCs/>
          <w:color w:val="000000" w:themeColor="text1"/>
          <w:sz w:val="20"/>
          <w:szCs w:val="20"/>
          <w:highlight w:val="none"/>
          <w14:textFill>
            <w14:solidFill>
              <w14:schemeClr w14:val="tx1"/>
            </w14:solidFill>
          </w14:textFill>
        </w:rPr>
        <w:t>8.5 Management of Adverse Events</w:t>
      </w:r>
      <w:bookmarkEnd w:id="49"/>
    </w:p>
    <w:p w14:paraId="4F56AF07">
      <w:pPr>
        <w:tabs>
          <w:tab w:val="left" w:pos="2226"/>
        </w:tabs>
        <w:spacing w:line="360" w:lineRule="auto"/>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Upon identifying an adverse reaction, the observing physician may decide whether to discontinue observation based on the patient's condition. If a subject withdraws due to an adverse reaction, the reason for withdrawal must be documented, and relevant data properly retained. In the event of a serious adverse event, the institution conducting the clinical trial must immediately implement necessary measures to protect the subject's safety. All adverse events shall be investigated and tracked, with detailed documentation of management procedures and outcomes until resolution or stabilization of the condition. For subjects with abnormal laboratory findings, follow-up shall continue until normalization. Follow-up methods may include hospitalization, outpatient visits, home visits, telephone calls, or correspondence, selected based on the severity of the adverse reaction. Cases discontinued due to adverse reactions shall be included in adverse reaction statistical analysis. All adverse events shall undergo an assessment of their relationship to the study.</w:t>
      </w:r>
    </w:p>
    <w:p w14:paraId="4B859268">
      <w:pPr>
        <w:tabs>
          <w:tab w:val="left" w:pos="2226"/>
        </w:tabs>
        <w:spacing w:line="360" w:lineRule="auto"/>
        <w:rPr>
          <w:rFonts w:ascii="Times New Roman" w:hAnsi="Times New Roman" w:cs="Times New Roman"/>
          <w:color w:val="000000" w:themeColor="text1"/>
          <w:szCs w:val="21"/>
          <w:highlight w:val="none"/>
          <w14:textFill>
            <w14:solidFill>
              <w14:schemeClr w14:val="tx1"/>
            </w14:solidFill>
          </w14:textFill>
        </w:rPr>
      </w:pPr>
    </w:p>
    <w:p w14:paraId="5E4E8B14">
      <w:pPr>
        <w:autoSpaceDE w:val="0"/>
        <w:autoSpaceDN w:val="0"/>
        <w:jc w:val="left"/>
        <w:outlineLvl w:val="0"/>
        <w:rPr>
          <w:rFonts w:ascii="Times New Roman" w:hAnsi="Times New Roman" w:cs="Times New Roman"/>
          <w:b/>
          <w:bCs/>
          <w:color w:val="000000" w:themeColor="text1"/>
          <w:sz w:val="24"/>
          <w:szCs w:val="24"/>
          <w:highlight w:val="none"/>
          <w14:textFill>
            <w14:solidFill>
              <w14:schemeClr w14:val="tx1"/>
            </w14:solidFill>
          </w14:textFill>
        </w:rPr>
      </w:pPr>
      <w:bookmarkStart w:id="50" w:name="_Toc24289"/>
      <w:r>
        <w:rPr>
          <w:rFonts w:hint="eastAsia" w:ascii="Times New Roman" w:hAnsi="Times New Roman" w:cs="Times New Roman"/>
          <w:b/>
          <w:bCs/>
          <w:color w:val="000000" w:themeColor="text1"/>
          <w:sz w:val="24"/>
          <w:szCs w:val="24"/>
          <w:highlight w:val="none"/>
          <w14:textFill>
            <w14:solidFill>
              <w14:schemeClr w14:val="tx1"/>
            </w14:solidFill>
          </w14:textFill>
        </w:rPr>
        <w:t>9. Quality Control and Quality Assurance in Research</w:t>
      </w:r>
      <w:bookmarkEnd w:id="50"/>
    </w:p>
    <w:p w14:paraId="063A5C4E">
      <w:pPr>
        <w:tabs>
          <w:tab w:val="left" w:pos="2226"/>
        </w:tabs>
        <w:spacing w:line="360" w:lineRule="auto"/>
        <w:rPr>
          <w:rFonts w:ascii="Times New Roman" w:hAnsi="Times New Roman" w:cs="Times New Roman"/>
          <w:color w:val="000000" w:themeColor="text1"/>
          <w:szCs w:val="21"/>
          <w:highlight w:val="none"/>
          <w14:textFill>
            <w14:solidFill>
              <w14:schemeClr w14:val="tx1"/>
            </w14:solidFill>
          </w14:textFill>
        </w:rPr>
      </w:pPr>
      <w:r>
        <w:rPr>
          <w:rFonts w:hint="eastAsia" w:ascii="Times New Roman" w:hAnsi="Times New Roman" w:cs="Times New Roman"/>
          <w:color w:val="000000" w:themeColor="text1"/>
          <w:szCs w:val="21"/>
          <w:highlight w:val="none"/>
          <w14:textFill>
            <w14:solidFill>
              <w14:schemeClr w14:val="tx1"/>
            </w14:solidFill>
          </w14:textFill>
        </w:rPr>
        <w:t>(1) Protection of subject rights and interests shall be conducted in accordance with the Declaration of Helsinki and referencing the requirements of the Good Clinical Practice for Drug Clinical Research. Informed consent forms shall be developed, and each subject shall sign the informed consent form prior to receiving treatment.</w:t>
      </w:r>
    </w:p>
    <w:p w14:paraId="07F3CE3E">
      <w:pPr>
        <w:tabs>
          <w:tab w:val="left" w:pos="2226"/>
        </w:tabs>
        <w:spacing w:line="360" w:lineRule="auto"/>
        <w:rPr>
          <w:rFonts w:ascii="Times New Roman" w:hAnsi="Times New Roman" w:cs="Times New Roman"/>
          <w:color w:val="000000" w:themeColor="text1"/>
          <w:szCs w:val="21"/>
          <w:highlight w:val="none"/>
          <w14:textFill>
            <w14:solidFill>
              <w14:schemeClr w14:val="tx1"/>
            </w14:solidFill>
          </w14:textFill>
        </w:rPr>
      </w:pPr>
      <w:r>
        <w:rPr>
          <w:rFonts w:hint="eastAsia" w:ascii="Times New Roman" w:hAnsi="Times New Roman" w:cs="Times New Roman"/>
          <w:color w:val="000000" w:themeColor="text1"/>
          <w:szCs w:val="21"/>
          <w:highlight w:val="none"/>
          <w14:textFill>
            <w14:solidFill>
              <w14:schemeClr w14:val="tx1"/>
            </w14:solidFill>
          </w14:textFill>
        </w:rPr>
        <w:t>(2) Prior to clinical research, researchers shall undergo standardized training to familiarize themselves with and master relevant acupuncture operational standards, ensuring the reliability of research conclusions.</w:t>
      </w:r>
    </w:p>
    <w:p w14:paraId="2F3BD2F4">
      <w:pPr>
        <w:tabs>
          <w:tab w:val="left" w:pos="2226"/>
        </w:tabs>
        <w:spacing w:line="360" w:lineRule="auto"/>
        <w:rPr>
          <w:rFonts w:ascii="Times New Roman" w:hAnsi="Times New Roman" w:cs="Times New Roman"/>
          <w:color w:val="000000" w:themeColor="text1"/>
          <w:szCs w:val="21"/>
          <w:highlight w:val="none"/>
          <w14:textFill>
            <w14:solidFill>
              <w14:schemeClr w14:val="tx1"/>
            </w14:solidFill>
          </w14:textFill>
        </w:rPr>
      </w:pPr>
      <w:r>
        <w:rPr>
          <w:rFonts w:hint="eastAsia" w:ascii="Times New Roman" w:hAnsi="Times New Roman" w:cs="Times New Roman"/>
          <w:color w:val="000000" w:themeColor="text1"/>
          <w:szCs w:val="21"/>
          <w:highlight w:val="none"/>
          <w14:textFill>
            <w14:solidFill>
              <w14:schemeClr w14:val="tx1"/>
            </w14:solidFill>
          </w14:textFill>
        </w:rPr>
        <w:t>(3) All instruments, equipment, reagents, and reference standards used in clinical research examinations must meet stringent quality standards and be maintained in optimal operational condition.</w:t>
      </w:r>
    </w:p>
    <w:p w14:paraId="2518977C">
      <w:pPr>
        <w:tabs>
          <w:tab w:val="left" w:pos="2226"/>
        </w:tabs>
        <w:spacing w:line="360" w:lineRule="auto"/>
        <w:rPr>
          <w:rFonts w:ascii="Times New Roman" w:hAnsi="Times New Roman" w:cs="Times New Roman"/>
          <w:color w:val="000000" w:themeColor="text1"/>
          <w:szCs w:val="21"/>
          <w:highlight w:val="none"/>
          <w14:textFill>
            <w14:solidFill>
              <w14:schemeClr w14:val="tx1"/>
            </w14:solidFill>
          </w14:textFill>
        </w:rPr>
      </w:pPr>
      <w:r>
        <w:rPr>
          <w:rFonts w:hint="eastAsia" w:ascii="Times New Roman" w:hAnsi="Times New Roman" w:cs="Times New Roman"/>
          <w:color w:val="000000" w:themeColor="text1"/>
          <w:szCs w:val="21"/>
          <w:highlight w:val="none"/>
          <w14:textFill>
            <w14:solidFill>
              <w14:schemeClr w14:val="tx1"/>
            </w14:solidFill>
          </w14:textFill>
        </w:rPr>
        <w:t>(4) Regular inspections and feedback sessions will be conducted at the project's inception and mid-term to promptly address issues arising during research, ensuring smooth project progression.</w:t>
      </w:r>
    </w:p>
    <w:p w14:paraId="3B783668">
      <w:pPr>
        <w:tabs>
          <w:tab w:val="left" w:pos="2226"/>
        </w:tabs>
        <w:spacing w:line="360" w:lineRule="auto"/>
        <w:rPr>
          <w:rFonts w:ascii="Times New Roman" w:hAnsi="Times New Roman" w:cs="Times New Roman"/>
          <w:color w:val="000000" w:themeColor="text1"/>
          <w:szCs w:val="21"/>
          <w:highlight w:val="none"/>
          <w14:textFill>
            <w14:solidFill>
              <w14:schemeClr w14:val="tx1"/>
            </w14:solidFill>
          </w14:textFill>
        </w:rPr>
      </w:pPr>
    </w:p>
    <w:p w14:paraId="0DCBFCC4">
      <w:pPr>
        <w:autoSpaceDE w:val="0"/>
        <w:autoSpaceDN w:val="0"/>
        <w:jc w:val="left"/>
        <w:outlineLvl w:val="0"/>
        <w:rPr>
          <w:rFonts w:ascii="Times New Roman" w:hAnsi="Times New Roman" w:cs="Times New Roman"/>
          <w:b/>
          <w:bCs/>
          <w:color w:val="000000" w:themeColor="text1"/>
          <w:sz w:val="24"/>
          <w:szCs w:val="24"/>
          <w:highlight w:val="none"/>
          <w14:textFill>
            <w14:solidFill>
              <w14:schemeClr w14:val="tx1"/>
            </w14:solidFill>
          </w14:textFill>
        </w:rPr>
      </w:pPr>
      <w:bookmarkStart w:id="51" w:name="_Toc3455"/>
      <w:r>
        <w:rPr>
          <w:rFonts w:hint="eastAsia" w:ascii="Times New Roman" w:hAnsi="Times New Roman" w:cs="Times New Roman"/>
          <w:b/>
          <w:bCs/>
          <w:color w:val="000000" w:themeColor="text1"/>
          <w:sz w:val="24"/>
          <w:szCs w:val="24"/>
          <w:highlight w:val="none"/>
          <w14:textFill>
            <w14:solidFill>
              <w14:schemeClr w14:val="tx1"/>
            </w14:solidFill>
          </w14:textFill>
        </w:rPr>
        <w:t>10. Data Safety Monitoring</w:t>
      </w:r>
      <w:bookmarkEnd w:id="51"/>
    </w:p>
    <w:p w14:paraId="5D61B7CE">
      <w:pPr>
        <w:tabs>
          <w:tab w:val="left" w:pos="2226"/>
        </w:tabs>
        <w:spacing w:line="360" w:lineRule="auto"/>
        <w:rPr>
          <w:rFonts w:hint="eastAsia" w:ascii="Times New Roman" w:hAnsi="Times New Roman" w:cs="Times New Roman" w:eastAsiaTheme="minorEastAsia"/>
          <w:color w:val="000000" w:themeColor="text1"/>
          <w:szCs w:val="21"/>
          <w:highlight w:val="none"/>
          <w:lang w:eastAsia="zh-CN"/>
          <w14:textFill>
            <w14:solidFill>
              <w14:schemeClr w14:val="tx1"/>
            </w14:solidFill>
          </w14:textFill>
        </w:rPr>
      </w:pPr>
      <w:r>
        <w:rPr>
          <w:rFonts w:hint="eastAsia" w:ascii="Times New Roman" w:hAnsi="Times New Roman" w:cs="Times New Roman"/>
          <w:color w:val="000000" w:themeColor="text1"/>
          <w:szCs w:val="21"/>
          <w:highlight w:val="none"/>
          <w14:textFill>
            <w14:solidFill>
              <w14:schemeClr w14:val="tx1"/>
            </w14:solidFill>
          </w14:textFill>
        </w:rPr>
        <w:t xml:space="preserve">A detailed data management and monitoring plan </w:t>
      </w:r>
      <w:r>
        <w:rPr>
          <w:rFonts w:ascii="Times New Roman" w:hAnsi="Times New Roman" w:cs="Times New Roman"/>
          <w:color w:val="000000" w:themeColor="text1"/>
          <w:szCs w:val="21"/>
          <w:highlight w:val="none"/>
          <w14:textFill>
            <w14:solidFill>
              <w14:schemeClr w14:val="tx1"/>
            </w14:solidFill>
          </w14:textFill>
        </w:rPr>
        <w:t>will be developed</w:t>
      </w:r>
      <w:r>
        <w:rPr>
          <w:rFonts w:hint="eastAsia" w:ascii="Times New Roman" w:hAnsi="Times New Roman" w:cs="Times New Roman"/>
          <w:color w:val="000000" w:themeColor="text1"/>
          <w:szCs w:val="21"/>
          <w:highlight w:val="none"/>
          <w14:textFill>
            <w14:solidFill>
              <w14:schemeClr w14:val="tx1"/>
            </w14:solidFill>
          </w14:textFill>
        </w:rPr>
        <w:t xml:space="preserve">, including: CRF Completion and Management: All CRFs will be completed by trained investigators and undergo regular consistency checks. Monitor Verification: Monitors must regularly verify CRFs to ensure data accuracy and reliability, with on-site inspections conducted at least biweekly. Data Entry Procedures: Clear operational manuals for data entry </w:t>
      </w:r>
      <w:r>
        <w:rPr>
          <w:rFonts w:ascii="Times New Roman" w:hAnsi="Times New Roman" w:cs="Times New Roman"/>
          <w:color w:val="000000" w:themeColor="text1"/>
          <w:szCs w:val="21"/>
          <w:highlight w:val="none"/>
          <w14:textFill>
            <w14:solidFill>
              <w14:schemeClr w14:val="tx1"/>
            </w14:solidFill>
          </w14:textFill>
        </w:rPr>
        <w:t>will be established</w:t>
      </w:r>
      <w:r>
        <w:rPr>
          <w:rFonts w:hint="eastAsia" w:ascii="Times New Roman" w:hAnsi="Times New Roman" w:cs="Times New Roman"/>
          <w:color w:val="000000" w:themeColor="text1"/>
          <w:szCs w:val="21"/>
          <w:highlight w:val="none"/>
          <w14:textFill>
            <w14:solidFill>
              <w14:schemeClr w14:val="tx1"/>
            </w14:solidFill>
          </w14:textFill>
        </w:rPr>
        <w:t xml:space="preserve">, necessary training </w:t>
      </w:r>
      <w:r>
        <w:rPr>
          <w:rFonts w:ascii="Times New Roman" w:hAnsi="Times New Roman" w:cs="Times New Roman"/>
          <w:color w:val="000000" w:themeColor="text1"/>
          <w:szCs w:val="21"/>
          <w:highlight w:val="none"/>
          <w14:textFill>
            <w14:solidFill>
              <w14:schemeClr w14:val="tx1"/>
            </w14:solidFill>
          </w14:textFill>
        </w:rPr>
        <w:t>will be provided</w:t>
      </w:r>
      <w:r>
        <w:rPr>
          <w:rFonts w:hint="eastAsia" w:ascii="Times New Roman" w:hAnsi="Times New Roman" w:cs="Times New Roman"/>
          <w:color w:val="000000" w:themeColor="text1"/>
          <w:szCs w:val="21"/>
          <w:highlight w:val="none"/>
          <w14:textFill>
            <w14:solidFill>
              <w14:schemeClr w14:val="tx1"/>
            </w14:solidFill>
          </w14:textFill>
        </w:rPr>
        <w:t xml:space="preserve">, and data input accuracy </w:t>
      </w:r>
      <w:r>
        <w:rPr>
          <w:rFonts w:ascii="Times New Roman" w:hAnsi="Times New Roman" w:cs="Times New Roman"/>
          <w:color w:val="000000" w:themeColor="text1"/>
          <w:szCs w:val="21"/>
          <w:highlight w:val="none"/>
          <w14:textFill>
            <w14:solidFill>
              <w14:schemeClr w14:val="tx1"/>
            </w14:solidFill>
          </w14:textFill>
        </w:rPr>
        <w:t>will be ensured</w:t>
      </w:r>
      <w:r>
        <w:rPr>
          <w:rFonts w:hint="eastAsia" w:ascii="Times New Roman" w:hAnsi="Times New Roman" w:cs="Times New Roman"/>
          <w:color w:val="000000" w:themeColor="text1"/>
          <w:szCs w:val="21"/>
          <w:highlight w:val="none"/>
          <w14:textFill>
            <w14:solidFill>
              <w14:schemeClr w14:val="tx1"/>
            </w14:solidFill>
          </w14:textFill>
        </w:rPr>
        <w:t xml:space="preserve">. DQF Form Generation and Review: Data quality issues </w:t>
      </w:r>
      <w:r>
        <w:rPr>
          <w:rFonts w:ascii="Times New Roman" w:hAnsi="Times New Roman" w:cs="Times New Roman"/>
          <w:color w:val="000000" w:themeColor="text1"/>
          <w:szCs w:val="21"/>
          <w:highlight w:val="none"/>
          <w14:textFill>
            <w14:solidFill>
              <w14:schemeClr w14:val="tx1"/>
            </w14:solidFill>
          </w14:textFill>
        </w:rPr>
        <w:t xml:space="preserve">will be documented </w:t>
      </w:r>
      <w:r>
        <w:rPr>
          <w:rFonts w:hint="eastAsia" w:ascii="Times New Roman" w:hAnsi="Times New Roman" w:cs="Times New Roman"/>
          <w:color w:val="000000" w:themeColor="text1"/>
          <w:szCs w:val="21"/>
          <w:highlight w:val="none"/>
          <w14:textFill>
            <w14:solidFill>
              <w14:schemeClr w14:val="tx1"/>
            </w14:solidFill>
          </w14:textFill>
        </w:rPr>
        <w:t xml:space="preserve">and regular reviews </w:t>
      </w:r>
      <w:r>
        <w:rPr>
          <w:rFonts w:ascii="Times New Roman" w:hAnsi="Times New Roman" w:cs="Times New Roman"/>
          <w:color w:val="000000" w:themeColor="text1"/>
          <w:szCs w:val="21"/>
          <w:highlight w:val="none"/>
          <w14:textFill>
            <w14:solidFill>
              <w14:schemeClr w14:val="tx1"/>
            </w14:solidFill>
          </w14:textFill>
        </w:rPr>
        <w:t xml:space="preserve">will be conducted </w:t>
      </w:r>
      <w:r>
        <w:rPr>
          <w:rFonts w:hint="eastAsia" w:ascii="Times New Roman" w:hAnsi="Times New Roman" w:cs="Times New Roman"/>
          <w:color w:val="000000" w:themeColor="text1"/>
          <w:szCs w:val="21"/>
          <w:highlight w:val="none"/>
          <w14:textFill>
            <w14:solidFill>
              <w14:schemeClr w14:val="tx1"/>
            </w14:solidFill>
          </w14:textFill>
        </w:rPr>
        <w:t xml:space="preserve">to ensure timely correction of errors. Double Entry:  A dual data entry system </w:t>
      </w:r>
      <w:r>
        <w:rPr>
          <w:rFonts w:ascii="Times New Roman" w:hAnsi="Times New Roman" w:cs="Times New Roman"/>
          <w:color w:val="000000" w:themeColor="text1"/>
          <w:szCs w:val="21"/>
          <w:highlight w:val="none"/>
          <w14:textFill>
            <w14:solidFill>
              <w14:schemeClr w14:val="tx1"/>
            </w14:solidFill>
          </w14:textFill>
        </w:rPr>
        <w:t xml:space="preserve">will be implemented </w:t>
      </w:r>
      <w:r>
        <w:rPr>
          <w:rFonts w:hint="eastAsia" w:ascii="Times New Roman" w:hAnsi="Times New Roman" w:cs="Times New Roman"/>
          <w:color w:val="000000" w:themeColor="text1"/>
          <w:szCs w:val="21"/>
          <w:highlight w:val="none"/>
          <w14:textFill>
            <w14:solidFill>
              <w14:schemeClr w14:val="tx1"/>
            </w14:solidFill>
          </w14:textFill>
        </w:rPr>
        <w:t xml:space="preserve">to minimize input errors. Adverse Event and Concomitant Medication Coding: Standardized coding procedures </w:t>
      </w:r>
      <w:r>
        <w:rPr>
          <w:rFonts w:ascii="Times New Roman" w:hAnsi="Times New Roman" w:cs="Times New Roman"/>
          <w:color w:val="000000" w:themeColor="text1"/>
          <w:szCs w:val="21"/>
          <w:highlight w:val="none"/>
          <w14:textFill>
            <w14:solidFill>
              <w14:schemeClr w14:val="tx1"/>
            </w14:solidFill>
          </w14:textFill>
        </w:rPr>
        <w:t xml:space="preserve">will be established </w:t>
      </w:r>
      <w:r>
        <w:rPr>
          <w:rFonts w:hint="eastAsia" w:ascii="Times New Roman" w:hAnsi="Times New Roman" w:cs="Times New Roman"/>
          <w:color w:val="000000" w:themeColor="text1"/>
          <w:szCs w:val="21"/>
          <w:highlight w:val="none"/>
          <w14:textFill>
            <w14:solidFill>
              <w14:schemeClr w14:val="tx1"/>
            </w14:solidFill>
          </w14:textFill>
        </w:rPr>
        <w:t xml:space="preserve">to guarantee accuracy of adverse event and concomitant medication data. Blinded Data Review: A blinded data review protocol </w:t>
      </w:r>
      <w:r>
        <w:rPr>
          <w:rFonts w:ascii="Times New Roman" w:hAnsi="Times New Roman" w:cs="Times New Roman"/>
          <w:color w:val="000000" w:themeColor="text1"/>
          <w:szCs w:val="21"/>
          <w:highlight w:val="none"/>
          <w14:textFill>
            <w14:solidFill>
              <w14:schemeClr w14:val="tx1"/>
            </w14:solidFill>
          </w14:textFill>
        </w:rPr>
        <w:t xml:space="preserve">will be developed </w:t>
      </w:r>
      <w:r>
        <w:rPr>
          <w:rFonts w:hint="eastAsia" w:ascii="Times New Roman" w:hAnsi="Times New Roman" w:cs="Times New Roman"/>
          <w:color w:val="000000" w:themeColor="text1"/>
          <w:szCs w:val="21"/>
          <w:highlight w:val="none"/>
          <w14:textFill>
            <w14:solidFill>
              <w14:schemeClr w14:val="tx1"/>
            </w14:solidFill>
          </w14:textFill>
        </w:rPr>
        <w:t xml:space="preserve">to conduct periodic inspections without compromising blinding. Data Locking and Review: Clear data locking and review processes </w:t>
      </w:r>
      <w:r>
        <w:rPr>
          <w:rFonts w:ascii="Times New Roman" w:hAnsi="Times New Roman" w:cs="Times New Roman"/>
          <w:color w:val="000000" w:themeColor="text1"/>
          <w:szCs w:val="21"/>
          <w:highlight w:val="none"/>
          <w14:textFill>
            <w14:solidFill>
              <w14:schemeClr w14:val="tx1"/>
            </w14:solidFill>
          </w14:textFill>
        </w:rPr>
        <w:t xml:space="preserve">will be established </w:t>
      </w:r>
      <w:r>
        <w:rPr>
          <w:rFonts w:hint="eastAsia" w:ascii="Times New Roman" w:hAnsi="Times New Roman" w:cs="Times New Roman"/>
          <w:color w:val="000000" w:themeColor="text1"/>
          <w:szCs w:val="21"/>
          <w:highlight w:val="none"/>
          <w14:textFill>
            <w14:solidFill>
              <w14:schemeClr w14:val="tx1"/>
            </w14:solidFill>
          </w14:textFill>
        </w:rPr>
        <w:t>to ensure data integrity prior to final analysis.All adverse events will be documented in detail and classified (e.g., general adverse events, serious adverse events, unexpected events, etc.). An "Adverse Event Management Manual" will be established to ensure standardized processing procedures. Adverse event tracking will continue until patient stabilization or event resolution, with complete documentation. A clear timeline (e.g., weekly or monthly) for updates will be established. Serious adverse events and unexpected events must be reported to the Ethics Committee, regulatory authorities, and the sponsor within 24 hours, with documented management progress. The principal investigator will conduct cumulative reviews at the end of each data collection cycle, and at least quarterly, to monitor adverse event trends and ensure timely identification of potential risks. Investigator meetings will be convened as needed to discuss adverse events, the dynamic balance of study risks and benefits, and to determine whether study design adjustments or study suspension are necessary. In the event of serious adverse reactions or other clinical safety issues, the operational procedure must include clear criteria for emergency unblinding to maximize subject safety. Emergency unblinding procedures will be pre-established, and all study personnel will be familiarized with the process for rapid and effective execution.</w:t>
      </w:r>
    </w:p>
    <w:p w14:paraId="0DD04A3E">
      <w:pPr>
        <w:tabs>
          <w:tab w:val="left" w:pos="2226"/>
        </w:tabs>
        <w:spacing w:line="360" w:lineRule="auto"/>
        <w:rPr>
          <w:rFonts w:hint="eastAsia" w:ascii="Times New Roman" w:hAnsi="Times New Roman" w:cs="Times New Roman" w:eastAsiaTheme="minorEastAsia"/>
          <w:color w:val="000000" w:themeColor="text1"/>
          <w:szCs w:val="21"/>
          <w:highlight w:val="none"/>
          <w:lang w:eastAsia="zh-CN"/>
          <w14:textFill>
            <w14:solidFill>
              <w14:schemeClr w14:val="tx1"/>
            </w14:solidFill>
          </w14:textFill>
        </w:rPr>
      </w:pPr>
      <w:r>
        <w:rPr>
          <w:rFonts w:hint="eastAsia" w:ascii="Times New Roman" w:hAnsi="Times New Roman" w:cs="Times New Roman"/>
          <w:color w:val="000000" w:themeColor="text1"/>
          <w:szCs w:val="21"/>
          <w:highlight w:val="none"/>
          <w14:textFill>
            <w14:solidFill>
              <w14:schemeClr w14:val="tx1"/>
            </w14:solidFill>
          </w14:textFill>
        </w:rPr>
        <w:t>A detailed data management and monitoring plan will be developed, including:</w:t>
      </w:r>
      <w:r>
        <w:rPr>
          <w:rFonts w:hint="eastAsia" w:ascii="Times New Roman" w:hAnsi="Times New Roman" w:cs="Times New Roman"/>
          <w:color w:val="000000" w:themeColor="text1"/>
          <w:szCs w:val="21"/>
          <w:highlight w:val="none"/>
          <w:lang w:eastAsia="zh-CN"/>
          <w14:textFill>
            <w14:solidFill>
              <w14:schemeClr w14:val="tx1"/>
            </w14:solidFill>
          </w14:textFill>
        </w:rPr>
        <w:t xml:space="preserve"> </w:t>
      </w:r>
      <w:r>
        <w:rPr>
          <w:rFonts w:hint="eastAsia" w:ascii="Times New Roman" w:hAnsi="Times New Roman" w:cs="Times New Roman"/>
          <w:color w:val="000000" w:themeColor="text1"/>
          <w:szCs w:val="21"/>
          <w:highlight w:val="none"/>
          <w14:textFill>
            <w14:solidFill>
              <w14:schemeClr w14:val="tx1"/>
            </w14:solidFill>
          </w14:textFill>
        </w:rPr>
        <w:t>CRF Completion and Management: All CRFs will be completed by trained investigators and undergo regular consistency checks.</w:t>
      </w:r>
      <w:r>
        <w:rPr>
          <w:rFonts w:hint="eastAsia" w:ascii="Times New Roman" w:hAnsi="Times New Roman" w:cs="Times New Roman"/>
          <w:color w:val="000000" w:themeColor="text1"/>
          <w:szCs w:val="21"/>
          <w:highlight w:val="none"/>
          <w:lang w:eastAsia="zh-CN"/>
          <w14:textFill>
            <w14:solidFill>
              <w14:schemeClr w14:val="tx1"/>
            </w14:solidFill>
          </w14:textFill>
        </w:rPr>
        <w:t xml:space="preserve"> </w:t>
      </w:r>
      <w:r>
        <w:rPr>
          <w:rFonts w:hint="eastAsia" w:ascii="Times New Roman" w:hAnsi="Times New Roman" w:cs="Times New Roman"/>
          <w:color w:val="000000" w:themeColor="text1"/>
          <w:szCs w:val="21"/>
          <w:highlight w:val="none"/>
          <w14:textFill>
            <w14:solidFill>
              <w14:schemeClr w14:val="tx1"/>
            </w14:solidFill>
          </w14:textFill>
        </w:rPr>
        <w:t>Monitor Verification: Monitors must regularly verify CRFs to ensure data accuracy and reliability, with on-site inspections conducted at least biweekly.</w:t>
      </w:r>
      <w:r>
        <w:rPr>
          <w:rFonts w:hint="eastAsia" w:ascii="Times New Roman" w:hAnsi="Times New Roman" w:cs="Times New Roman"/>
          <w:color w:val="000000" w:themeColor="text1"/>
          <w:szCs w:val="21"/>
          <w:highlight w:val="none"/>
          <w:lang w:eastAsia="zh-CN"/>
          <w14:textFill>
            <w14:solidFill>
              <w14:schemeClr w14:val="tx1"/>
            </w14:solidFill>
          </w14:textFill>
        </w:rPr>
        <w:t xml:space="preserve"> </w:t>
      </w:r>
      <w:r>
        <w:rPr>
          <w:rFonts w:hint="eastAsia" w:ascii="Times New Roman" w:hAnsi="Times New Roman" w:cs="Times New Roman"/>
          <w:color w:val="000000" w:themeColor="text1"/>
          <w:szCs w:val="21"/>
          <w:highlight w:val="none"/>
          <w14:textFill>
            <w14:solidFill>
              <w14:schemeClr w14:val="tx1"/>
            </w14:solidFill>
          </w14:textFill>
        </w:rPr>
        <w:t>Data Entry Procedures: Clear operational manuals for data entry will be established, necessary training will be provided, and data input accuracy will be ensured.</w:t>
      </w:r>
      <w:r>
        <w:rPr>
          <w:rFonts w:hint="eastAsia" w:ascii="Times New Roman" w:hAnsi="Times New Roman" w:cs="Times New Roman"/>
          <w:color w:val="000000" w:themeColor="text1"/>
          <w:szCs w:val="21"/>
          <w:highlight w:val="none"/>
          <w:lang w:eastAsia="zh-CN"/>
          <w14:textFill>
            <w14:solidFill>
              <w14:schemeClr w14:val="tx1"/>
            </w14:solidFill>
          </w14:textFill>
        </w:rPr>
        <w:t xml:space="preserve"> </w:t>
      </w:r>
      <w:r>
        <w:rPr>
          <w:rFonts w:hint="eastAsia" w:ascii="Times New Roman" w:hAnsi="Times New Roman" w:cs="Times New Roman"/>
          <w:color w:val="000000" w:themeColor="text1"/>
          <w:szCs w:val="21"/>
          <w:highlight w:val="none"/>
          <w14:textFill>
            <w14:solidFill>
              <w14:schemeClr w14:val="tx1"/>
            </w14:solidFill>
          </w14:textFill>
        </w:rPr>
        <w:t>DQF Form Generation and Review: Data quality issues will be documented and regular reviews will be conducted to ensure timely correction of errors.</w:t>
      </w:r>
      <w:r>
        <w:rPr>
          <w:rFonts w:hint="eastAsia" w:ascii="Times New Roman" w:hAnsi="Times New Roman" w:cs="Times New Roman"/>
          <w:color w:val="000000" w:themeColor="text1"/>
          <w:szCs w:val="21"/>
          <w:highlight w:val="none"/>
          <w:lang w:eastAsia="zh-CN"/>
          <w14:textFill>
            <w14:solidFill>
              <w14:schemeClr w14:val="tx1"/>
            </w14:solidFill>
          </w14:textFill>
        </w:rPr>
        <w:t xml:space="preserve"> </w:t>
      </w:r>
      <w:r>
        <w:rPr>
          <w:rFonts w:hint="eastAsia" w:ascii="Times New Roman" w:hAnsi="Times New Roman" w:cs="Times New Roman"/>
          <w:color w:val="000000" w:themeColor="text1"/>
          <w:szCs w:val="21"/>
          <w:highlight w:val="none"/>
          <w14:textFill>
            <w14:solidFill>
              <w14:schemeClr w14:val="tx1"/>
            </w14:solidFill>
          </w14:textFill>
        </w:rPr>
        <w:t>Double Entry: A dual data entry system will be implemented to minimize input errors.</w:t>
      </w:r>
      <w:r>
        <w:rPr>
          <w:rFonts w:hint="eastAsia" w:ascii="Times New Roman" w:hAnsi="Times New Roman" w:cs="Times New Roman"/>
          <w:color w:val="000000" w:themeColor="text1"/>
          <w:szCs w:val="21"/>
          <w:highlight w:val="none"/>
          <w:lang w:eastAsia="zh-CN"/>
          <w14:textFill>
            <w14:solidFill>
              <w14:schemeClr w14:val="tx1"/>
            </w14:solidFill>
          </w14:textFill>
        </w:rPr>
        <w:t xml:space="preserve"> </w:t>
      </w:r>
      <w:r>
        <w:rPr>
          <w:rFonts w:hint="eastAsia" w:ascii="Times New Roman" w:hAnsi="Times New Roman" w:cs="Times New Roman"/>
          <w:color w:val="000000" w:themeColor="text1"/>
          <w:szCs w:val="21"/>
          <w:highlight w:val="none"/>
          <w14:textFill>
            <w14:solidFill>
              <w14:schemeClr w14:val="tx1"/>
            </w14:solidFill>
          </w14:textFill>
        </w:rPr>
        <w:t>Adverse Event and Concomitant Medication Coding: Standardized coding procedures will be established to guarantee accuracy of adverse event and concomitant medication data.</w:t>
      </w:r>
      <w:r>
        <w:rPr>
          <w:rFonts w:hint="eastAsia" w:ascii="Times New Roman" w:hAnsi="Times New Roman" w:cs="Times New Roman"/>
          <w:color w:val="000000" w:themeColor="text1"/>
          <w:szCs w:val="21"/>
          <w:highlight w:val="none"/>
          <w:lang w:eastAsia="zh-CN"/>
          <w14:textFill>
            <w14:solidFill>
              <w14:schemeClr w14:val="tx1"/>
            </w14:solidFill>
          </w14:textFill>
        </w:rPr>
        <w:t xml:space="preserve"> </w:t>
      </w:r>
      <w:r>
        <w:rPr>
          <w:rFonts w:hint="eastAsia" w:ascii="Times New Roman" w:hAnsi="Times New Roman" w:cs="Times New Roman"/>
          <w:color w:val="000000" w:themeColor="text1"/>
          <w:szCs w:val="21"/>
          <w:highlight w:val="none"/>
          <w14:textFill>
            <w14:solidFill>
              <w14:schemeClr w14:val="tx1"/>
            </w14:solidFill>
          </w14:textFill>
        </w:rPr>
        <w:t>Blinded Data Review: A blinded data review protocol will be developed to conduct periodic inspections without compromising blinding.</w:t>
      </w:r>
      <w:r>
        <w:rPr>
          <w:rFonts w:hint="eastAsia" w:ascii="Times New Roman" w:hAnsi="Times New Roman" w:cs="Times New Roman"/>
          <w:color w:val="000000" w:themeColor="text1"/>
          <w:szCs w:val="21"/>
          <w:highlight w:val="none"/>
          <w:lang w:eastAsia="zh-CN"/>
          <w14:textFill>
            <w14:solidFill>
              <w14:schemeClr w14:val="tx1"/>
            </w14:solidFill>
          </w14:textFill>
        </w:rPr>
        <w:t xml:space="preserve"> </w:t>
      </w:r>
      <w:r>
        <w:rPr>
          <w:rFonts w:hint="eastAsia" w:ascii="Times New Roman" w:hAnsi="Times New Roman" w:cs="Times New Roman"/>
          <w:color w:val="000000" w:themeColor="text1"/>
          <w:szCs w:val="21"/>
          <w:highlight w:val="none"/>
          <w14:textFill>
            <w14:solidFill>
              <w14:schemeClr w14:val="tx1"/>
            </w14:solidFill>
          </w14:textFill>
        </w:rPr>
        <w:t>Data Locking and Review: Clear data locking and review processes will be established to ensure data integrity prior to final analysis.</w:t>
      </w:r>
    </w:p>
    <w:p w14:paraId="29D79051">
      <w:pPr>
        <w:tabs>
          <w:tab w:val="left" w:pos="2226"/>
        </w:tabs>
        <w:spacing w:line="360" w:lineRule="auto"/>
        <w:rPr>
          <w:rFonts w:ascii="Times New Roman" w:hAnsi="Times New Roman" w:cs="Times New Roman"/>
          <w:color w:val="000000" w:themeColor="text1"/>
          <w:szCs w:val="21"/>
          <w:highlight w:val="none"/>
          <w14:textFill>
            <w14:solidFill>
              <w14:schemeClr w14:val="tx1"/>
            </w14:solidFill>
          </w14:textFill>
        </w:rPr>
      </w:pPr>
    </w:p>
    <w:p w14:paraId="4DC83A15">
      <w:pPr>
        <w:autoSpaceDE w:val="0"/>
        <w:autoSpaceDN w:val="0"/>
        <w:jc w:val="left"/>
        <w:outlineLvl w:val="0"/>
        <w:rPr>
          <w:rFonts w:ascii="Times New Roman" w:hAnsi="Times New Roman" w:cs="Times New Roman"/>
          <w:b/>
          <w:bCs/>
          <w:color w:val="000000" w:themeColor="text1"/>
          <w:sz w:val="24"/>
          <w:szCs w:val="24"/>
          <w:highlight w:val="none"/>
          <w14:textFill>
            <w14:solidFill>
              <w14:schemeClr w14:val="tx1"/>
            </w14:solidFill>
          </w14:textFill>
        </w:rPr>
      </w:pPr>
      <w:bookmarkStart w:id="52" w:name="_Toc14659"/>
      <w:r>
        <w:rPr>
          <w:rFonts w:ascii="Times New Roman" w:hAnsi="Times New Roman" w:cs="Times New Roman"/>
          <w:b/>
          <w:bCs/>
          <w:color w:val="000000" w:themeColor="text1"/>
          <w:sz w:val="24"/>
          <w:szCs w:val="24"/>
          <w:highlight w:val="none"/>
          <w14:textFill>
            <w14:solidFill>
              <w14:schemeClr w14:val="tx1"/>
            </w14:solidFill>
          </w14:textFill>
        </w:rPr>
        <w:t>11. Statistical Analysis</w:t>
      </w:r>
      <w:bookmarkEnd w:id="52"/>
    </w:p>
    <w:p w14:paraId="15691C7C">
      <w:pPr>
        <w:tabs>
          <w:tab w:val="left" w:pos="2226"/>
        </w:tabs>
        <w:spacing w:line="360" w:lineRule="auto"/>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 xml:space="preserve">Data analysis and visualization </w:t>
      </w:r>
      <w:r>
        <w:rPr>
          <w:rFonts w:hint="eastAsia" w:ascii="Times New Roman" w:hAnsi="Times New Roman" w:cs="Times New Roman"/>
          <w:color w:val="000000" w:themeColor="text1"/>
          <w:szCs w:val="21"/>
          <w:highlight w:val="none"/>
          <w14:textFill>
            <w14:solidFill>
              <w14:schemeClr w14:val="tx1"/>
            </w14:solidFill>
          </w14:textFill>
        </w:rPr>
        <w:t xml:space="preserve">will be </w:t>
      </w:r>
      <w:r>
        <w:rPr>
          <w:rFonts w:ascii="Times New Roman" w:hAnsi="Times New Roman" w:cs="Times New Roman"/>
          <w:color w:val="000000" w:themeColor="text1"/>
          <w:szCs w:val="21"/>
          <w:highlight w:val="none"/>
          <w14:textFill>
            <w14:solidFill>
              <w14:schemeClr w14:val="tx1"/>
            </w14:solidFill>
          </w14:textFill>
        </w:rPr>
        <w:t xml:space="preserve">performed using R software (version </w:t>
      </w:r>
      <w:r>
        <w:rPr>
          <w:rFonts w:ascii="Times New Roman" w:hAnsi="Times New Roman" w:eastAsia="宋体" w:cs="Times New Roman"/>
          <w:color w:val="000000" w:themeColor="text1"/>
          <w:sz w:val="22"/>
          <w:highlight w:val="none"/>
          <w14:textFill>
            <w14:solidFill>
              <w14:schemeClr w14:val="tx1"/>
            </w14:solidFill>
          </w14:textFill>
        </w:rPr>
        <w:t>4.5.1</w:t>
      </w:r>
      <w:r>
        <w:rPr>
          <w:rFonts w:ascii="Times New Roman" w:hAnsi="Times New Roman" w:cs="Times New Roman"/>
          <w:color w:val="000000" w:themeColor="text1"/>
          <w:szCs w:val="21"/>
          <w:highlight w:val="none"/>
          <w14:textFill>
            <w14:solidFill>
              <w14:schemeClr w14:val="tx1"/>
            </w14:solidFill>
          </w14:textFill>
        </w:rPr>
        <w:t>; R Foundation for Statistical Computing). A two-sided P value of &lt; 0.05</w:t>
      </w:r>
      <w:r>
        <w:rPr>
          <w:rFonts w:hint="eastAsia" w:ascii="Times New Roman" w:hAnsi="Times New Roman" w:cs="Times New Roman"/>
          <w:color w:val="000000" w:themeColor="text1"/>
          <w:szCs w:val="21"/>
          <w:highlight w:val="none"/>
          <w14:textFill>
            <w14:solidFill>
              <w14:schemeClr w14:val="tx1"/>
            </w14:solidFill>
          </w14:textFill>
        </w:rPr>
        <w:t xml:space="preserve"> will be</w:t>
      </w:r>
      <w:r>
        <w:rPr>
          <w:rFonts w:ascii="Times New Roman" w:hAnsi="Times New Roman" w:cs="Times New Roman"/>
          <w:color w:val="000000" w:themeColor="text1"/>
          <w:szCs w:val="21"/>
          <w:highlight w:val="none"/>
          <w14:textFill>
            <w14:solidFill>
              <w14:schemeClr w14:val="tx1"/>
            </w14:solidFill>
          </w14:textFill>
        </w:rPr>
        <w:t>considered statistically significant for all analyses.</w:t>
      </w:r>
    </w:p>
    <w:p w14:paraId="7C768740">
      <w:pPr>
        <w:tabs>
          <w:tab w:val="left" w:pos="2226"/>
        </w:tabs>
        <w:spacing w:line="360" w:lineRule="auto"/>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 xml:space="preserve">Baseline data </w:t>
      </w:r>
      <w:r>
        <w:rPr>
          <w:rFonts w:hint="eastAsia" w:ascii="Times New Roman" w:hAnsi="Times New Roman" w:cs="Times New Roman"/>
          <w:color w:val="000000" w:themeColor="text1"/>
          <w:szCs w:val="21"/>
          <w:highlight w:val="none"/>
          <w14:textFill>
            <w14:solidFill>
              <w14:schemeClr w14:val="tx1"/>
            </w14:solidFill>
          </w14:textFill>
        </w:rPr>
        <w:t xml:space="preserve">will be </w:t>
      </w:r>
      <w:r>
        <w:rPr>
          <w:rFonts w:ascii="Times New Roman" w:hAnsi="Times New Roman" w:cs="Times New Roman"/>
          <w:color w:val="000000" w:themeColor="text1"/>
          <w:szCs w:val="21"/>
          <w:highlight w:val="none"/>
          <w14:textFill>
            <w14:solidFill>
              <w14:schemeClr w14:val="tx1"/>
            </w14:solidFill>
          </w14:textFill>
        </w:rPr>
        <w:t xml:space="preserve">presented descriptively for the entire study population and for each treatment group separately. Between-group differences in baseline characteristics </w:t>
      </w:r>
      <w:r>
        <w:rPr>
          <w:rFonts w:hint="eastAsia" w:ascii="Times New Roman" w:hAnsi="Times New Roman" w:cs="Times New Roman"/>
          <w:color w:val="000000" w:themeColor="text1"/>
          <w:szCs w:val="21"/>
          <w:highlight w:val="none"/>
          <w14:textFill>
            <w14:solidFill>
              <w14:schemeClr w14:val="tx1"/>
            </w14:solidFill>
          </w14:textFill>
        </w:rPr>
        <w:t xml:space="preserve">will be </w:t>
      </w:r>
      <w:r>
        <w:rPr>
          <w:rFonts w:ascii="Times New Roman" w:hAnsi="Times New Roman" w:cs="Times New Roman"/>
          <w:color w:val="000000" w:themeColor="text1"/>
          <w:szCs w:val="21"/>
          <w:highlight w:val="none"/>
          <w14:textFill>
            <w14:solidFill>
              <w14:schemeClr w14:val="tx1"/>
            </w14:solidFill>
          </w14:textFill>
        </w:rPr>
        <w:t xml:space="preserve">assessed using independent t-tests for normally distributed continuous variables, Mann-Whitney U tests for non-normally distributed continuous variables, and χ² tests (or Fisher's exact tests when appropriate) for categorical variables. These comparisons </w:t>
      </w:r>
      <w:r>
        <w:rPr>
          <w:rFonts w:hint="eastAsia" w:ascii="Times New Roman" w:hAnsi="Times New Roman" w:cs="Times New Roman"/>
          <w:color w:val="000000" w:themeColor="text1"/>
          <w:szCs w:val="21"/>
          <w:highlight w:val="none"/>
          <w14:textFill>
            <w14:solidFill>
              <w14:schemeClr w14:val="tx1"/>
            </w14:solidFill>
          </w14:textFill>
        </w:rPr>
        <w:t xml:space="preserve">will be </w:t>
      </w:r>
      <w:r>
        <w:rPr>
          <w:rFonts w:ascii="Times New Roman" w:hAnsi="Times New Roman" w:cs="Times New Roman"/>
          <w:color w:val="000000" w:themeColor="text1"/>
          <w:szCs w:val="21"/>
          <w:highlight w:val="none"/>
          <w14:textFill>
            <w14:solidFill>
              <w14:schemeClr w14:val="tx1"/>
            </w14:solidFill>
          </w14:textFill>
        </w:rPr>
        <w:t>performed to assess the success of randomization rather than for hypothesis testing.</w:t>
      </w:r>
    </w:p>
    <w:p w14:paraId="419A60C0">
      <w:pPr>
        <w:tabs>
          <w:tab w:val="left" w:pos="2226"/>
        </w:tabs>
        <w:spacing w:line="360" w:lineRule="auto"/>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 xml:space="preserve">The primary analysis </w:t>
      </w:r>
      <w:r>
        <w:rPr>
          <w:rFonts w:hint="eastAsia" w:ascii="Times New Roman" w:hAnsi="Times New Roman" w:cs="Times New Roman"/>
          <w:color w:val="000000" w:themeColor="text1"/>
          <w:szCs w:val="21"/>
          <w:highlight w:val="none"/>
          <w14:textFill>
            <w14:solidFill>
              <w14:schemeClr w14:val="tx1"/>
            </w14:solidFill>
          </w14:textFill>
        </w:rPr>
        <w:t xml:space="preserve">will follow </w:t>
      </w:r>
      <w:r>
        <w:rPr>
          <w:rFonts w:ascii="Times New Roman" w:hAnsi="Times New Roman" w:cs="Times New Roman"/>
          <w:color w:val="000000" w:themeColor="text1"/>
          <w:szCs w:val="21"/>
          <w:highlight w:val="none"/>
          <w14:textFill>
            <w14:solidFill>
              <w14:schemeClr w14:val="tx1"/>
            </w14:solidFill>
          </w14:textFill>
        </w:rPr>
        <w:t>the intention-to-treat (ITT) principle, including all randomized participants who receive</w:t>
      </w:r>
      <w:r>
        <w:rPr>
          <w:rFonts w:hint="eastAsia" w:ascii="Times New Roman" w:hAnsi="Times New Roman" w:cs="Times New Roman"/>
          <w:color w:val="000000" w:themeColor="text1"/>
          <w:szCs w:val="21"/>
          <w:highlight w:val="none"/>
          <w14:textFill>
            <w14:solidFill>
              <w14:schemeClr w14:val="tx1"/>
            </w14:solidFill>
          </w14:textFill>
        </w:rPr>
        <w:t xml:space="preserve"> </w:t>
      </w:r>
      <w:r>
        <w:rPr>
          <w:rFonts w:ascii="Times New Roman" w:hAnsi="Times New Roman" w:cs="Times New Roman"/>
          <w:color w:val="000000" w:themeColor="text1"/>
          <w:szCs w:val="21"/>
          <w:highlight w:val="none"/>
          <w14:textFill>
            <w14:solidFill>
              <w14:schemeClr w14:val="tx1"/>
            </w14:solidFill>
          </w14:textFill>
        </w:rPr>
        <w:t xml:space="preserve">at least one treatment session and </w:t>
      </w:r>
      <w:r>
        <w:rPr>
          <w:rFonts w:hint="eastAsia" w:ascii="Times New Roman" w:hAnsi="Times New Roman" w:cs="Times New Roman"/>
          <w:color w:val="000000" w:themeColor="text1"/>
          <w:szCs w:val="21"/>
          <w:highlight w:val="none"/>
          <w14:textFill>
            <w14:solidFill>
              <w14:schemeClr w14:val="tx1"/>
            </w14:solidFill>
          </w14:textFill>
        </w:rPr>
        <w:t xml:space="preserve">have </w:t>
      </w:r>
      <w:r>
        <w:rPr>
          <w:rFonts w:ascii="Times New Roman" w:hAnsi="Times New Roman" w:cs="Times New Roman"/>
          <w:color w:val="000000" w:themeColor="text1"/>
          <w:szCs w:val="21"/>
          <w:highlight w:val="none"/>
          <w14:textFill>
            <w14:solidFill>
              <w14:schemeClr w14:val="tx1"/>
            </w14:solidFill>
          </w14:textFill>
        </w:rPr>
        <w:t>at least one post-baseline assessment.</w:t>
      </w:r>
      <w:r>
        <w:rPr>
          <w:rFonts w:hint="eastAsia" w:ascii="Times New Roman" w:hAnsi="Times New Roman" w:cs="Times New Roman"/>
          <w:color w:val="000000" w:themeColor="text1"/>
          <w:szCs w:val="21"/>
          <w:highlight w:val="none"/>
          <w:lang w:val="en-US" w:eastAsia="zh-CN"/>
          <w14:textFill>
            <w14:solidFill>
              <w14:schemeClr w14:val="tx1"/>
            </w14:solidFill>
          </w14:textFill>
        </w:rPr>
        <w:t xml:space="preserve"> </w:t>
      </w:r>
      <w:r>
        <w:rPr>
          <w:rFonts w:ascii="Times New Roman" w:hAnsi="Times New Roman" w:cs="Times New Roman"/>
          <w:color w:val="000000" w:themeColor="text1"/>
          <w:szCs w:val="21"/>
          <w:highlight w:val="none"/>
          <w14:textFill>
            <w14:solidFill>
              <w14:schemeClr w14:val="tx1"/>
            </w14:solidFill>
          </w14:textFill>
        </w:rPr>
        <w:t xml:space="preserve">Missing data </w:t>
      </w:r>
      <w:r>
        <w:rPr>
          <w:rFonts w:hint="eastAsia" w:ascii="Times New Roman" w:hAnsi="Times New Roman" w:cs="Times New Roman"/>
          <w:color w:val="000000" w:themeColor="text1"/>
          <w:szCs w:val="21"/>
          <w:highlight w:val="none"/>
          <w14:textFill>
            <w14:solidFill>
              <w14:schemeClr w14:val="tx1"/>
            </w14:solidFill>
          </w14:textFill>
        </w:rPr>
        <w:t xml:space="preserve">will be </w:t>
      </w:r>
      <w:r>
        <w:rPr>
          <w:rFonts w:ascii="Times New Roman" w:hAnsi="Times New Roman" w:cs="Times New Roman"/>
          <w:color w:val="000000" w:themeColor="text1"/>
          <w:szCs w:val="21"/>
          <w:highlight w:val="none"/>
          <w14:textFill>
            <w14:solidFill>
              <w14:schemeClr w14:val="tx1"/>
            </w14:solidFill>
          </w14:textFill>
        </w:rPr>
        <w:t>handled using multiple imputation by chained equations (MICE) to create 5</w:t>
      </w:r>
      <w:r>
        <w:rPr>
          <w:rFonts w:hint="eastAsia" w:ascii="Times New Roman" w:hAnsi="Times New Roman" w:cs="Times New Roman"/>
          <w:color w:val="000000" w:themeColor="text1"/>
          <w:szCs w:val="21"/>
          <w:highlight w:val="none"/>
          <w:lang w:val="en-US" w:eastAsia="zh-CN"/>
          <w14:textFill>
            <w14:solidFill>
              <w14:schemeClr w14:val="tx1"/>
            </w14:solidFill>
          </w14:textFill>
        </w:rPr>
        <w:t>0</w:t>
      </w:r>
      <w:r>
        <w:rPr>
          <w:rFonts w:ascii="Times New Roman" w:hAnsi="Times New Roman" w:cs="Times New Roman"/>
          <w:color w:val="000000" w:themeColor="text1"/>
          <w:szCs w:val="21"/>
          <w:highlight w:val="none"/>
          <w14:textFill>
            <w14:solidFill>
              <w14:schemeClr w14:val="tx1"/>
            </w14:solidFill>
          </w14:textFill>
        </w:rPr>
        <w:t xml:space="preserve"> complete datasets, which </w:t>
      </w:r>
      <w:r>
        <w:rPr>
          <w:rFonts w:hint="eastAsia" w:ascii="Times New Roman" w:hAnsi="Times New Roman" w:cs="Times New Roman"/>
          <w:color w:val="000000" w:themeColor="text1"/>
          <w:szCs w:val="21"/>
          <w:highlight w:val="none"/>
          <w14:textFill>
            <w14:solidFill>
              <w14:schemeClr w14:val="tx1"/>
            </w14:solidFill>
          </w14:textFill>
        </w:rPr>
        <w:t xml:space="preserve">will be </w:t>
      </w:r>
      <w:r>
        <w:rPr>
          <w:rFonts w:ascii="Times New Roman" w:hAnsi="Times New Roman" w:cs="Times New Roman"/>
          <w:color w:val="000000" w:themeColor="text1"/>
          <w:szCs w:val="21"/>
          <w:highlight w:val="none"/>
          <w14:textFill>
            <w14:solidFill>
              <w14:schemeClr w14:val="tx1"/>
            </w14:solidFill>
          </w14:textFill>
        </w:rPr>
        <w:t xml:space="preserve">pooled for the final ITT analysis. Continuous variables </w:t>
      </w:r>
      <w:r>
        <w:rPr>
          <w:rFonts w:hint="eastAsia" w:ascii="Times New Roman" w:hAnsi="Times New Roman" w:cs="Times New Roman"/>
          <w:color w:val="000000" w:themeColor="text1"/>
          <w:szCs w:val="21"/>
          <w:highlight w:val="none"/>
          <w14:textFill>
            <w14:solidFill>
              <w14:schemeClr w14:val="tx1"/>
            </w14:solidFill>
          </w14:textFill>
        </w:rPr>
        <w:t xml:space="preserve">will be </w:t>
      </w:r>
      <w:r>
        <w:rPr>
          <w:rFonts w:ascii="Times New Roman" w:hAnsi="Times New Roman" w:cs="Times New Roman"/>
          <w:color w:val="000000" w:themeColor="text1"/>
          <w:szCs w:val="21"/>
          <w:highlight w:val="none"/>
          <w14:textFill>
            <w14:solidFill>
              <w14:schemeClr w14:val="tx1"/>
            </w14:solidFill>
          </w14:textFill>
        </w:rPr>
        <w:t>described as mean (SD) or median (IQR), and categorical variables as frequencies (%), as appropriate.</w:t>
      </w:r>
    </w:p>
    <w:p w14:paraId="40AE7BB3">
      <w:pPr>
        <w:tabs>
          <w:tab w:val="left" w:pos="2226"/>
        </w:tabs>
        <w:spacing w:line="360" w:lineRule="auto"/>
        <w:rPr>
          <w:rFonts w:hint="eastAsia" w:ascii="Times New Roman" w:hAnsi="Times New Roman" w:cs="Times New Roman"/>
          <w:color w:val="000000" w:themeColor="text1"/>
          <w:szCs w:val="21"/>
          <w:highlight w:val="none"/>
          <w:lang w:eastAsia="zh-CN"/>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 xml:space="preserve">The UPDRS-III, NMSS, and PDQ-39 scores </w:t>
      </w:r>
      <w:r>
        <w:rPr>
          <w:rFonts w:hint="eastAsia" w:ascii="Times New Roman" w:hAnsi="Times New Roman" w:cs="Times New Roman"/>
          <w:color w:val="000000" w:themeColor="text1"/>
          <w:szCs w:val="21"/>
          <w:highlight w:val="none"/>
          <w14:textFill>
            <w14:solidFill>
              <w14:schemeClr w14:val="tx1"/>
            </w14:solidFill>
          </w14:textFill>
        </w:rPr>
        <w:t xml:space="preserve">will be </w:t>
      </w:r>
      <w:r>
        <w:rPr>
          <w:rFonts w:ascii="Times New Roman" w:hAnsi="Times New Roman" w:cs="Times New Roman"/>
          <w:color w:val="000000" w:themeColor="text1"/>
          <w:szCs w:val="21"/>
          <w:highlight w:val="none"/>
          <w14:textFill>
            <w14:solidFill>
              <w14:schemeClr w14:val="tx1"/>
            </w14:solidFill>
          </w14:textFill>
        </w:rPr>
        <w:t xml:space="preserve">analyzed using a linear mixed-effects model (LMM). The model </w:t>
      </w:r>
      <w:r>
        <w:rPr>
          <w:rFonts w:hint="eastAsia" w:ascii="Times New Roman" w:hAnsi="Times New Roman" w:cs="Times New Roman"/>
          <w:color w:val="000000" w:themeColor="text1"/>
          <w:szCs w:val="21"/>
          <w:highlight w:val="none"/>
          <w14:textFill>
            <w14:solidFill>
              <w14:schemeClr w14:val="tx1"/>
            </w14:solidFill>
          </w14:textFill>
        </w:rPr>
        <w:t xml:space="preserve">will </w:t>
      </w:r>
      <w:r>
        <w:rPr>
          <w:rFonts w:ascii="Times New Roman" w:hAnsi="Times New Roman" w:cs="Times New Roman"/>
          <w:color w:val="000000" w:themeColor="text1"/>
          <w:szCs w:val="21"/>
          <w:highlight w:val="none"/>
          <w14:textFill>
            <w14:solidFill>
              <w14:schemeClr w14:val="tx1"/>
            </w14:solidFill>
          </w14:textFill>
        </w:rPr>
        <w:t xml:space="preserve">include fixed effects for treatment group, time (baseline, week </w:t>
      </w:r>
      <w:r>
        <w:rPr>
          <w:rFonts w:hint="eastAsia" w:ascii="Times New Roman" w:hAnsi="Times New Roman" w:cs="Times New Roman"/>
          <w:color w:val="000000" w:themeColor="text1"/>
          <w:szCs w:val="21"/>
          <w:highlight w:val="none"/>
          <w:lang w:val="en-US" w:eastAsia="zh-CN"/>
          <w14:textFill>
            <w14:solidFill>
              <w14:schemeClr w14:val="tx1"/>
            </w14:solidFill>
          </w14:textFill>
        </w:rPr>
        <w:t>4</w:t>
      </w:r>
      <w:r>
        <w:rPr>
          <w:rFonts w:ascii="Times New Roman" w:hAnsi="Times New Roman" w:cs="Times New Roman"/>
          <w:color w:val="000000" w:themeColor="text1"/>
          <w:szCs w:val="21"/>
          <w:highlight w:val="none"/>
          <w14:textFill>
            <w14:solidFill>
              <w14:schemeClr w14:val="tx1"/>
            </w14:solidFill>
          </w14:textFill>
        </w:rPr>
        <w:t xml:space="preserve">, week </w:t>
      </w:r>
      <w:r>
        <w:rPr>
          <w:rFonts w:hint="eastAsia" w:ascii="Times New Roman" w:hAnsi="Times New Roman" w:cs="Times New Roman"/>
          <w:color w:val="000000" w:themeColor="text1"/>
          <w:szCs w:val="21"/>
          <w:highlight w:val="none"/>
          <w:lang w:val="en-US" w:eastAsia="zh-CN"/>
          <w14:textFill>
            <w14:solidFill>
              <w14:schemeClr w14:val="tx1"/>
            </w14:solidFill>
          </w14:textFill>
        </w:rPr>
        <w:t>8</w:t>
      </w:r>
      <w:r>
        <w:rPr>
          <w:rFonts w:ascii="Times New Roman" w:hAnsi="Times New Roman" w:cs="Times New Roman"/>
          <w:color w:val="000000" w:themeColor="text1"/>
          <w:szCs w:val="21"/>
          <w:highlight w:val="none"/>
          <w14:textFill>
            <w14:solidFill>
              <w14:schemeClr w14:val="tx1"/>
            </w14:solidFill>
          </w14:textFill>
        </w:rPr>
        <w:t xml:space="preserve">), and their interaction, with a random intercept for each subject. The model </w:t>
      </w:r>
      <w:r>
        <w:rPr>
          <w:rFonts w:hint="eastAsia" w:ascii="Times New Roman" w:hAnsi="Times New Roman" w:cs="Times New Roman"/>
          <w:color w:val="000000" w:themeColor="text1"/>
          <w:szCs w:val="21"/>
          <w:highlight w:val="none"/>
          <w14:textFill>
            <w14:solidFill>
              <w14:schemeClr w14:val="tx1"/>
            </w14:solidFill>
          </w14:textFill>
        </w:rPr>
        <w:t xml:space="preserve">will </w:t>
      </w:r>
      <w:r>
        <w:rPr>
          <w:rFonts w:ascii="Times New Roman" w:hAnsi="Times New Roman" w:cs="Times New Roman"/>
          <w:color w:val="000000" w:themeColor="text1"/>
          <w:szCs w:val="21"/>
          <w:highlight w:val="none"/>
          <w14:textFill>
            <w14:solidFill>
              <w14:schemeClr w14:val="tx1"/>
            </w14:solidFill>
          </w14:textFill>
        </w:rPr>
        <w:t>estimate the least-squares mean changes from baseline within each group and the mean differences between groups at each time point, along with their 95% confidence intervals (CIs).</w:t>
      </w:r>
      <w:r>
        <w:rPr>
          <w:rFonts w:hint="eastAsia" w:ascii="Times New Roman" w:hAnsi="Times New Roman" w:cs="Times New Roman"/>
          <w:color w:val="000000" w:themeColor="text1"/>
          <w:szCs w:val="21"/>
          <w:highlight w:val="none"/>
          <w:lang w:eastAsia="zh-CN"/>
          <w14:textFill>
            <w14:solidFill>
              <w14:schemeClr w14:val="tx1"/>
            </w14:solidFill>
          </w14:textFill>
        </w:rPr>
        <w:t xml:space="preserve"> </w:t>
      </w:r>
    </w:p>
    <w:p w14:paraId="23EBF52D">
      <w:pPr>
        <w:tabs>
          <w:tab w:val="left" w:pos="2226"/>
        </w:tabs>
        <w:spacing w:line="360" w:lineRule="auto"/>
        <w:rPr>
          <w:rFonts w:hint="default" w:ascii="Times New Roman" w:hAnsi="Times New Roman" w:cs="Times New Roman" w:eastAsiaTheme="minorEastAsia"/>
          <w:color w:val="000000" w:themeColor="text1"/>
          <w:szCs w:val="21"/>
          <w:highlight w:val="none"/>
          <w:lang w:val="en-US" w:eastAsia="zh-CN"/>
          <w14:textFill>
            <w14:solidFill>
              <w14:schemeClr w14:val="tx1"/>
            </w14:solidFill>
          </w14:textFill>
        </w:rPr>
      </w:pPr>
      <w:r>
        <w:rPr>
          <w:rFonts w:hint="eastAsia" w:ascii="Times New Roman" w:hAnsi="Times New Roman" w:cs="Times New Roman"/>
          <w:color w:val="000000" w:themeColor="text1"/>
          <w:szCs w:val="21"/>
          <w:highlight w:val="none"/>
          <w:lang w:val="en-US" w:eastAsia="zh-CN"/>
          <w14:textFill>
            <w14:solidFill>
              <w14:schemeClr w14:val="tx1"/>
            </w14:solidFill>
          </w14:textFill>
        </w:rPr>
        <w:t>For Neuroimaging data analysis, the CAT12 toolbox (SPM12) will perform gray matter volume analysis, including bias correction, tissue segmentation, and spatial normalization to MNI152 space. The cortical thickness/surface area will be computed via CIVET 2.1.1. The rs-fMRI data will be preprocessed in DPABI 4.5, which includes slice timing correction, motion scrubbing (framewise displacement &gt;0.5 mm), spatial smoothing (6 mm FWHM), and bandpass filtering (0.01–0.08 Hz). Seed-based connectivity (basal ganglia, thalamus) will be analyzed via Fisher’s z-transformed Pearson correlations. For DTI data , the NODDI toolbox (MATLAB 2013b) will be used to compute fractional anisotropy (FA), and mean/radial diffusivity (MD/RD). Deterministic tractography will be conducted in DTIStudio. The phase images from SWI will undergo low-pass filtering (32×32) for correction, and regions of interest (ROIs) will be manually delineated to measure the area of the substantia nigra (SN) and the width of the SN compacta (SNc). NM-MRI image analysis will be conducted via the ADW4.6 workstation (level/width=800/400), which measures the width of the SNc as an indicator of neuromelanin.</w:t>
      </w:r>
    </w:p>
    <w:p w14:paraId="2E2991A8">
      <w:pPr>
        <w:autoSpaceDE w:val="0"/>
        <w:autoSpaceDN w:val="0"/>
        <w:jc w:val="left"/>
        <w:outlineLvl w:val="0"/>
        <w:rPr>
          <w:rFonts w:ascii="Times New Roman" w:hAnsi="Times New Roman" w:cs="Times New Roman"/>
          <w:b/>
          <w:bCs/>
          <w:color w:val="000000" w:themeColor="text1"/>
          <w:sz w:val="24"/>
          <w:szCs w:val="24"/>
          <w:highlight w:val="none"/>
          <w14:textFill>
            <w14:solidFill>
              <w14:schemeClr w14:val="tx1"/>
            </w14:solidFill>
          </w14:textFill>
        </w:rPr>
      </w:pPr>
      <w:bookmarkStart w:id="53" w:name="_Toc29903"/>
      <w:r>
        <w:rPr>
          <w:rFonts w:ascii="Times New Roman" w:hAnsi="Times New Roman" w:cs="Times New Roman"/>
          <w:b/>
          <w:bCs/>
          <w:color w:val="000000" w:themeColor="text1"/>
          <w:sz w:val="24"/>
          <w:szCs w:val="24"/>
          <w:highlight w:val="none"/>
          <w14:textFill>
            <w14:solidFill>
              <w14:schemeClr w14:val="tx1"/>
            </w14:solidFill>
          </w14:textFill>
        </w:rPr>
        <w:t>12. Ethics in Clinical Research</w:t>
      </w:r>
      <w:bookmarkEnd w:id="53"/>
    </w:p>
    <w:p w14:paraId="0BC5B51C">
      <w:pPr>
        <w:tabs>
          <w:tab w:val="left" w:pos="2226"/>
        </w:tabs>
        <w:spacing w:line="360" w:lineRule="auto"/>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cs="Times New Roman"/>
          <w:color w:val="000000" w:themeColor="text1"/>
          <w:szCs w:val="21"/>
          <w:highlight w:val="none"/>
          <w14:textFill>
            <w14:solidFill>
              <w14:schemeClr w14:val="tx1"/>
            </w14:solidFill>
          </w14:textFill>
        </w:rPr>
        <w:t xml:space="preserve">Clinical research shall comply with relevant regulations including the Declaration of Helsinki adopted by the World Medical Association. Clinical studies may only commence after the trial protocol has been approved by an ethics committee. Prior to enrollment, investigators are responsible for fully and comprehensively explaining the study's purpose, procedures, and potential risks to each participant or their legal representative. Written informed consent must be obtained, clearly informing participants of their right to withdraw at any time. This consent form shall be retained as part of the clinical study documentation for reference. Participants' personal privacy and data confidentiality will be protected throughout the study. </w:t>
      </w:r>
    </w:p>
    <w:p w14:paraId="3AC1B18D">
      <w:pPr>
        <w:tabs>
          <w:tab w:val="left" w:pos="2226"/>
        </w:tabs>
        <w:spacing w:line="360" w:lineRule="auto"/>
        <w:rPr>
          <w:rFonts w:ascii="Times New Roman" w:hAnsi="Times New Roman" w:cs="Times New Roman"/>
          <w:color w:val="000000" w:themeColor="text1"/>
          <w:szCs w:val="21"/>
          <w:highlight w:val="none"/>
          <w14:textFill>
            <w14:solidFill>
              <w14:schemeClr w14:val="tx1"/>
            </w14:solidFill>
          </w14:textFill>
        </w:rPr>
      </w:pPr>
    </w:p>
    <w:p w14:paraId="33C53D29">
      <w:pPr>
        <w:autoSpaceDE w:val="0"/>
        <w:autoSpaceDN w:val="0"/>
        <w:jc w:val="left"/>
        <w:outlineLvl w:val="0"/>
        <w:rPr>
          <w:rFonts w:ascii="Times New Roman" w:hAnsi="Times New Roman" w:cs="Times New Roman"/>
          <w:b/>
          <w:bCs/>
          <w:color w:val="000000" w:themeColor="text1"/>
          <w:sz w:val="24"/>
          <w:szCs w:val="24"/>
          <w:highlight w:val="none"/>
          <w14:textFill>
            <w14:solidFill>
              <w14:schemeClr w14:val="tx1"/>
            </w14:solidFill>
          </w14:textFill>
        </w:rPr>
      </w:pPr>
      <w:bookmarkStart w:id="54" w:name="_Toc5268"/>
      <w:r>
        <w:rPr>
          <w:rFonts w:ascii="Times New Roman" w:hAnsi="Times New Roman" w:cs="Times New Roman"/>
          <w:b/>
          <w:bCs/>
          <w:color w:val="000000" w:themeColor="text1"/>
          <w:sz w:val="24"/>
          <w:szCs w:val="24"/>
          <w:highlight w:val="none"/>
          <w14:textFill>
            <w14:solidFill>
              <w14:schemeClr w14:val="tx1"/>
            </w14:solidFill>
          </w14:textFill>
        </w:rPr>
        <w:t>13. Protocol Amendments</w:t>
      </w:r>
      <w:bookmarkEnd w:id="54"/>
    </w:p>
    <w:p w14:paraId="4B00ECE0">
      <w:pPr>
        <w:tabs>
          <w:tab w:val="left" w:pos="2226"/>
        </w:tabs>
        <w:spacing w:line="360" w:lineRule="auto"/>
        <w:rPr>
          <w:rFonts w:ascii="Times New Roman" w:hAnsi="Times New Roman" w:cs="Times New Roman"/>
          <w:color w:val="000000" w:themeColor="text1"/>
          <w:szCs w:val="21"/>
          <w:highlight w:val="none"/>
          <w14:textFill>
            <w14:solidFill>
              <w14:schemeClr w14:val="tx1"/>
            </w14:solidFill>
          </w14:textFill>
        </w:rPr>
      </w:pPr>
      <w:r>
        <w:rPr>
          <w:rFonts w:hint="eastAsia" w:ascii="Times New Roman" w:hAnsi="Times New Roman" w:cs="Times New Roman"/>
          <w:color w:val="000000" w:themeColor="text1"/>
          <w:szCs w:val="21"/>
          <w:highlight w:val="none"/>
          <w14:textFill>
            <w14:solidFill>
              <w14:schemeClr w14:val="tx1"/>
            </w14:solidFill>
          </w14:textFill>
        </w:rPr>
        <w:t>The following amendments were made to the initial trial protocol. First, transcranial sonography (TCS) assessment was added to the multimodal imaging protocol to supplement the evaluation of basal ganglia echogenicity as an additional imaging biomarker. Second, the waitlist control arm was discontinued, and the study was reconfigured as a two</w:t>
      </w:r>
      <w:r>
        <w:rPr>
          <w:rFonts w:hint="eastAsia" w:ascii="Times New Roman" w:hAnsi="Times New Roman" w:cs="Times New Roman"/>
          <w:color w:val="000000" w:themeColor="text1"/>
          <w:szCs w:val="21"/>
          <w:highlight w:val="none"/>
          <w:lang w:eastAsia="zh-CN"/>
          <w14:textFill>
            <w14:solidFill>
              <w14:schemeClr w14:val="tx1"/>
            </w14:solidFill>
          </w14:textFill>
        </w:rPr>
        <w:t>-</w:t>
      </w:r>
      <w:r>
        <w:rPr>
          <w:rFonts w:hint="eastAsia" w:ascii="Times New Roman" w:hAnsi="Times New Roman" w:cs="Times New Roman"/>
          <w:color w:val="000000" w:themeColor="text1"/>
          <w:szCs w:val="21"/>
          <w:highlight w:val="none"/>
          <w14:textFill>
            <w14:solidFill>
              <w14:schemeClr w14:val="tx1"/>
            </w14:solidFill>
          </w14:textFill>
        </w:rPr>
        <w:t>arm randomized, sham</w:t>
      </w:r>
      <w:r>
        <w:rPr>
          <w:rFonts w:hint="eastAsia" w:ascii="Times New Roman" w:hAnsi="Times New Roman" w:cs="Times New Roman"/>
          <w:color w:val="000000" w:themeColor="text1"/>
          <w:szCs w:val="21"/>
          <w:highlight w:val="none"/>
          <w:lang w:eastAsia="zh-CN"/>
          <w14:textFill>
            <w14:solidFill>
              <w14:schemeClr w14:val="tx1"/>
            </w14:solidFill>
          </w14:textFill>
        </w:rPr>
        <w:t>-</w:t>
      </w:r>
      <w:r>
        <w:rPr>
          <w:rFonts w:hint="eastAsia" w:ascii="Times New Roman" w:hAnsi="Times New Roman" w:cs="Times New Roman"/>
          <w:color w:val="000000" w:themeColor="text1"/>
          <w:szCs w:val="21"/>
          <w:highlight w:val="none"/>
          <w14:textFill>
            <w14:solidFill>
              <w14:schemeClr w14:val="tx1"/>
            </w14:solidFill>
          </w14:textFill>
        </w:rPr>
        <w:t>controlled design (verum acupuncture vs. sham acupuncture), owing to high refusal rates due to participants</w:t>
      </w:r>
      <w:r>
        <w:rPr>
          <w:rFonts w:hint="eastAsia" w:ascii="Times New Roman" w:hAnsi="Times New Roman" w:cs="Times New Roman"/>
          <w:color w:val="000000" w:themeColor="text1"/>
          <w:szCs w:val="21"/>
          <w:highlight w:val="none"/>
          <w:lang w:eastAsia="zh-CN"/>
          <w14:textFill>
            <w14:solidFill>
              <w14:schemeClr w14:val="tx1"/>
            </w14:solidFill>
          </w14:textFill>
        </w:rPr>
        <w:t>'</w:t>
      </w:r>
      <w:r>
        <w:rPr>
          <w:rFonts w:hint="eastAsia" w:ascii="Times New Roman" w:hAnsi="Times New Roman" w:cs="Times New Roman"/>
          <w:color w:val="000000" w:themeColor="text1"/>
          <w:szCs w:val="21"/>
          <w:highlight w:val="none"/>
          <w14:textFill>
            <w14:solidFill>
              <w14:schemeClr w14:val="tx1"/>
            </w14:solidFill>
          </w14:textFill>
        </w:rPr>
        <w:t xml:space="preserve"> reluctance to be assigned to the no</w:t>
      </w:r>
      <w:r>
        <w:rPr>
          <w:rFonts w:hint="eastAsia" w:ascii="Times New Roman" w:hAnsi="Times New Roman" w:cs="Times New Roman"/>
          <w:color w:val="000000" w:themeColor="text1"/>
          <w:szCs w:val="21"/>
          <w:highlight w:val="none"/>
          <w:lang w:eastAsia="zh-CN"/>
          <w14:textFill>
            <w14:solidFill>
              <w14:schemeClr w14:val="tx1"/>
            </w14:solidFill>
          </w14:textFill>
        </w:rPr>
        <w:t>-</w:t>
      </w:r>
      <w:r>
        <w:rPr>
          <w:rFonts w:hint="eastAsia" w:ascii="Times New Roman" w:hAnsi="Times New Roman" w:cs="Times New Roman"/>
          <w:color w:val="000000" w:themeColor="text1"/>
          <w:szCs w:val="21"/>
          <w:highlight w:val="none"/>
          <w14:textFill>
            <w14:solidFill>
              <w14:schemeClr w14:val="tx1"/>
            </w14:solidFill>
          </w14:textFill>
        </w:rPr>
        <w:t xml:space="preserve">treatment group and high withdrawal rates among those initially assigned. Third, a healthy control cohort was added to provide normative reference values for baseline ultrasound and MRI measures. All amendments were approved by the ethics committee and updated in the ITMCTR registry. </w:t>
      </w:r>
    </w:p>
    <w:p w14:paraId="08D7526A">
      <w:pPr>
        <w:tabs>
          <w:tab w:val="left" w:pos="2226"/>
        </w:tabs>
        <w:spacing w:line="360" w:lineRule="auto"/>
        <w:rPr>
          <w:rFonts w:ascii="Times New Roman" w:hAnsi="Times New Roman" w:cs="Times New Roman"/>
          <w:color w:val="000000" w:themeColor="text1"/>
          <w:szCs w:val="21"/>
          <w:highlight w:val="none"/>
          <w14:textFill>
            <w14:solidFill>
              <w14:schemeClr w14:val="tx1"/>
            </w14:solidFill>
          </w14:textFill>
        </w:rPr>
      </w:pPr>
    </w:p>
    <w:p w14:paraId="47815977">
      <w:pPr>
        <w:autoSpaceDE w:val="0"/>
        <w:autoSpaceDN w:val="0"/>
        <w:jc w:val="left"/>
        <w:outlineLvl w:val="0"/>
        <w:rPr>
          <w:rFonts w:ascii="Times New Roman" w:hAnsi="Times New Roman" w:cs="Times New Roman"/>
          <w:b/>
          <w:bCs/>
          <w:color w:val="000000" w:themeColor="text1"/>
          <w:sz w:val="24"/>
          <w:szCs w:val="24"/>
          <w:highlight w:val="none"/>
          <w14:textFill>
            <w14:solidFill>
              <w14:schemeClr w14:val="tx1"/>
            </w14:solidFill>
          </w14:textFill>
        </w:rPr>
      </w:pPr>
      <w:bookmarkStart w:id="55" w:name="_Toc20788"/>
      <w:r>
        <w:rPr>
          <w:rFonts w:hint="eastAsia" w:ascii="Times New Roman" w:hAnsi="Times New Roman" w:cs="Times New Roman"/>
          <w:b/>
          <w:bCs/>
          <w:color w:val="000000" w:themeColor="text1"/>
          <w:sz w:val="24"/>
          <w:szCs w:val="24"/>
          <w:highlight w:val="none"/>
          <w14:textFill>
            <w14:solidFill>
              <w14:schemeClr w14:val="tx1"/>
            </w14:solidFill>
          </w14:textFill>
        </w:rPr>
        <w:t>14.</w:t>
      </w:r>
      <w:r>
        <w:rPr>
          <w:rFonts w:ascii="Times New Roman" w:hAnsi="Times New Roman" w:cs="Times New Roman"/>
          <w:b/>
          <w:bCs/>
          <w:color w:val="000000" w:themeColor="text1"/>
          <w:sz w:val="24"/>
          <w:szCs w:val="24"/>
          <w:highlight w:val="none"/>
          <w14:textFill>
            <w14:solidFill>
              <w14:schemeClr w14:val="tx1"/>
            </w14:solidFill>
          </w14:textFill>
        </w:rPr>
        <w:t>Funding</w:t>
      </w:r>
      <w:bookmarkEnd w:id="55"/>
    </w:p>
    <w:p w14:paraId="48520378">
      <w:pPr>
        <w:tabs>
          <w:tab w:val="left" w:pos="2226"/>
        </w:tabs>
        <w:spacing w:line="360" w:lineRule="auto"/>
        <w:rPr>
          <w:rFonts w:ascii="Times New Roman" w:hAnsi="Times New Roman" w:cs="Times New Roman"/>
          <w:color w:val="000000" w:themeColor="text1"/>
          <w:szCs w:val="21"/>
          <w:highlight w:val="none"/>
          <w14:textFill>
            <w14:solidFill>
              <w14:schemeClr w14:val="tx1"/>
            </w14:solidFill>
          </w14:textFill>
        </w:rPr>
      </w:pPr>
      <w:r>
        <w:rPr>
          <w:rFonts w:hint="eastAsia" w:ascii="Times New Roman" w:hAnsi="Times New Roman" w:cs="Times New Roman"/>
          <w:color w:val="000000" w:themeColor="text1"/>
          <w:szCs w:val="21"/>
          <w:highlight w:val="none"/>
          <w14:textFill>
            <w14:solidFill>
              <w14:schemeClr w14:val="tx1"/>
            </w14:solidFill>
          </w14:textFill>
        </w:rPr>
        <w:t>This work was supported by Guangzhou Municipal Health Commission (No. 2023-2318), the First Affiliated Hospital of Guangzhou University of Chinese Medicine (No. 2026JS06), and Guangzhou University of Chinese Medicine (No. A1-2601-26-415-110Z104, No. GZY2025ZJ31). The funders had no role in the study design; the collection, management, analysis, and interpretation of data; writing of the report; or the decision to submit the report for publication.</w:t>
      </w:r>
    </w:p>
    <w:p w14:paraId="0D5BF940">
      <w:pPr>
        <w:tabs>
          <w:tab w:val="left" w:pos="2226"/>
        </w:tabs>
        <w:spacing w:line="360" w:lineRule="auto"/>
        <w:rPr>
          <w:rFonts w:ascii="Times New Roman" w:hAnsi="Times New Roman" w:cs="Times New Roman"/>
          <w:color w:val="000000" w:themeColor="text1"/>
          <w:szCs w:val="21"/>
          <w:highlight w:val="none"/>
          <w14:textFill>
            <w14:solidFill>
              <w14:schemeClr w14:val="tx1"/>
            </w14:solidFill>
          </w14:textFill>
        </w:rPr>
      </w:pPr>
    </w:p>
    <w:p w14:paraId="1C75B9E2">
      <w:pPr>
        <w:autoSpaceDE w:val="0"/>
        <w:autoSpaceDN w:val="0"/>
        <w:jc w:val="left"/>
        <w:outlineLvl w:val="0"/>
        <w:rPr>
          <w:rFonts w:ascii="Times New Roman" w:hAnsi="Times New Roman" w:cs="Times New Roman"/>
          <w:b/>
          <w:bCs/>
          <w:color w:val="000000" w:themeColor="text1"/>
          <w:sz w:val="24"/>
          <w:szCs w:val="24"/>
          <w:highlight w:val="none"/>
          <w14:textFill>
            <w14:solidFill>
              <w14:schemeClr w14:val="tx1"/>
            </w14:solidFill>
          </w14:textFill>
        </w:rPr>
      </w:pPr>
      <w:bookmarkStart w:id="56" w:name="_Toc19961"/>
      <w:r>
        <w:rPr>
          <w:rFonts w:hint="eastAsia" w:ascii="Times New Roman" w:hAnsi="Times New Roman" w:cs="Times New Roman"/>
          <w:b/>
          <w:bCs/>
          <w:color w:val="000000" w:themeColor="text1"/>
          <w:sz w:val="24"/>
          <w:szCs w:val="24"/>
          <w:highlight w:val="none"/>
          <w14:textFill>
            <w14:solidFill>
              <w14:schemeClr w14:val="tx1"/>
            </w14:solidFill>
          </w14:textFill>
        </w:rPr>
        <w:t>15.</w:t>
      </w:r>
      <w:r>
        <w:rPr>
          <w:rFonts w:ascii="Times New Roman" w:hAnsi="Times New Roman" w:cs="Times New Roman"/>
          <w:b/>
          <w:bCs/>
          <w:color w:val="000000" w:themeColor="text1"/>
          <w:sz w:val="24"/>
          <w:szCs w:val="24"/>
          <w:highlight w:val="none"/>
          <w14:textFill>
            <w14:solidFill>
              <w14:schemeClr w14:val="tx1"/>
            </w14:solidFill>
          </w14:textFill>
        </w:rPr>
        <w:t>References</w:t>
      </w:r>
      <w:bookmarkEnd w:id="56"/>
    </w:p>
    <w:p w14:paraId="5F525771">
      <w:pPr>
        <w:tabs>
          <w:tab w:val="left" w:pos="2226"/>
        </w:tabs>
        <w:spacing w:line="360" w:lineRule="auto"/>
        <w:rPr>
          <w:rFonts w:hint="eastAsia" w:ascii="Times New Roman" w:hAnsi="Times New Roman" w:eastAsia="宋体"/>
          <w:b w:val="0"/>
          <w:bCs/>
          <w:color w:val="000000" w:themeColor="text1"/>
          <w:sz w:val="20"/>
          <w:szCs w:val="24"/>
          <w:highlight w:val="none"/>
          <w:lang w:eastAsia="zh-CN"/>
          <w14:textFill>
            <w14:solidFill>
              <w14:schemeClr w14:val="tx1"/>
            </w14:solidFill>
          </w14:textFill>
        </w:rPr>
      </w:pPr>
      <w:r>
        <w:rPr>
          <w:rFonts w:hint="eastAsia" w:ascii="Times New Roman" w:hAnsi="Times New Roman" w:eastAsia="Times New Roman"/>
          <w:b w:val="0"/>
          <w:bCs/>
          <w:color w:val="000000" w:themeColor="text1"/>
          <w:sz w:val="20"/>
          <w:szCs w:val="24"/>
          <w:highlight w:val="none"/>
          <w14:textFill>
            <w14:solidFill>
              <w14:schemeClr w14:val="tx1"/>
            </w14:solidFill>
          </w14:textFill>
        </w:rPr>
        <w:t>[1] Liu SY, Chen B. Epidemiological status of Parkinson’s disease. Chin J Contemp Neurol Neurosurg. 2016;16(2):98-101.</w:t>
      </w:r>
    </w:p>
    <w:p w14:paraId="116C6A02">
      <w:pPr>
        <w:tabs>
          <w:tab w:val="left" w:pos="2226"/>
        </w:tabs>
        <w:spacing w:line="360" w:lineRule="auto"/>
        <w:rPr>
          <w:rFonts w:hint="eastAsia" w:ascii="Times New Roman" w:hAnsi="Times New Roman" w:eastAsia="宋体"/>
          <w:b w:val="0"/>
          <w:bCs/>
          <w:color w:val="000000" w:themeColor="text1"/>
          <w:sz w:val="20"/>
          <w:szCs w:val="24"/>
          <w:highlight w:val="none"/>
          <w:lang w:eastAsia="zh-CN"/>
          <w14:textFill>
            <w14:solidFill>
              <w14:schemeClr w14:val="tx1"/>
            </w14:solidFill>
          </w14:textFill>
        </w:rPr>
      </w:pPr>
      <w:r>
        <w:rPr>
          <w:rFonts w:hint="eastAsia" w:ascii="Times New Roman" w:hAnsi="Times New Roman" w:eastAsia="Times New Roman"/>
          <w:b w:val="0"/>
          <w:bCs/>
          <w:color w:val="000000" w:themeColor="text1"/>
          <w:sz w:val="20"/>
          <w:szCs w:val="24"/>
          <w:highlight w:val="none"/>
          <w14:textFill>
            <w14:solidFill>
              <w14:schemeClr w14:val="tx1"/>
            </w14:solidFill>
          </w14:textFill>
        </w:rPr>
        <w:t>[2] GBD 2015 Neurological Disorders Collaborator Group. Global, regional, and national burden of neurological disorders during 1990–2015: a systematic analysis for the Global Burden of Disease Study 2015. Lancet Neurol. 2017;16(11):877-897.</w:t>
      </w:r>
    </w:p>
    <w:p w14:paraId="02DBCDD8">
      <w:pPr>
        <w:tabs>
          <w:tab w:val="left" w:pos="2226"/>
        </w:tabs>
        <w:spacing w:line="360" w:lineRule="auto"/>
        <w:rPr>
          <w:rFonts w:hint="eastAsia" w:ascii="Times New Roman" w:hAnsi="Times New Roman" w:eastAsia="宋体"/>
          <w:b w:val="0"/>
          <w:bCs/>
          <w:color w:val="000000" w:themeColor="text1"/>
          <w:sz w:val="20"/>
          <w:szCs w:val="24"/>
          <w:highlight w:val="none"/>
          <w:lang w:eastAsia="zh-CN"/>
          <w14:textFill>
            <w14:solidFill>
              <w14:schemeClr w14:val="tx1"/>
            </w14:solidFill>
          </w14:textFill>
        </w:rPr>
      </w:pPr>
      <w:r>
        <w:rPr>
          <w:rFonts w:hint="eastAsia" w:ascii="Times New Roman" w:hAnsi="Times New Roman" w:eastAsia="Times New Roman"/>
          <w:b w:val="0"/>
          <w:bCs/>
          <w:color w:val="000000" w:themeColor="text1"/>
          <w:sz w:val="20"/>
          <w:szCs w:val="24"/>
          <w:highlight w:val="none"/>
          <w14:textFill>
            <w14:solidFill>
              <w14:schemeClr w14:val="tx1"/>
            </w14:solidFill>
          </w14:textFill>
        </w:rPr>
        <w:t>[3] Dorsey ER, Constantinescu R, Thompson JP, et al. Projected number of people with Parkinson disease in the most populous nations, 2005 through 2030. Neurology. 2007;68(5):384-386.</w:t>
      </w:r>
    </w:p>
    <w:p w14:paraId="78D151A3">
      <w:pPr>
        <w:tabs>
          <w:tab w:val="left" w:pos="2226"/>
        </w:tabs>
        <w:spacing w:line="360" w:lineRule="auto"/>
        <w:rPr>
          <w:rFonts w:hint="eastAsia" w:ascii="Times New Roman" w:hAnsi="Times New Roman" w:eastAsia="宋体"/>
          <w:b w:val="0"/>
          <w:bCs/>
          <w:color w:val="000000" w:themeColor="text1"/>
          <w:sz w:val="20"/>
          <w:szCs w:val="24"/>
          <w:highlight w:val="none"/>
          <w:lang w:eastAsia="zh-CN"/>
          <w14:textFill>
            <w14:solidFill>
              <w14:schemeClr w14:val="tx1"/>
            </w14:solidFill>
          </w14:textFill>
        </w:rPr>
      </w:pPr>
      <w:r>
        <w:rPr>
          <w:rFonts w:hint="eastAsia" w:ascii="Times New Roman" w:hAnsi="Times New Roman" w:eastAsia="Times New Roman"/>
          <w:b w:val="0"/>
          <w:bCs/>
          <w:color w:val="000000" w:themeColor="text1"/>
          <w:sz w:val="20"/>
          <w:szCs w:val="24"/>
          <w:highlight w:val="none"/>
          <w14:textFill>
            <w14:solidFill>
              <w14:schemeClr w14:val="tx1"/>
            </w14:solidFill>
          </w14:textFill>
        </w:rPr>
        <w:t>[4] Zhang ZX, Roman GC, Hong Z, et al. Parkinson’s disease in China: prevalence in Beijing, Xian, and Shanghai. Lancet. 2005;365(9459):595-597.</w:t>
      </w:r>
    </w:p>
    <w:p w14:paraId="54F06469">
      <w:pPr>
        <w:tabs>
          <w:tab w:val="left" w:pos="2226"/>
        </w:tabs>
        <w:spacing w:line="360" w:lineRule="auto"/>
        <w:rPr>
          <w:rFonts w:hint="eastAsia" w:ascii="Times New Roman" w:hAnsi="Times New Roman" w:eastAsia="宋体"/>
          <w:b w:val="0"/>
          <w:bCs/>
          <w:color w:val="000000" w:themeColor="text1"/>
          <w:sz w:val="20"/>
          <w:szCs w:val="24"/>
          <w:highlight w:val="none"/>
          <w:lang w:eastAsia="zh-CN"/>
          <w14:textFill>
            <w14:solidFill>
              <w14:schemeClr w14:val="tx1"/>
            </w14:solidFill>
          </w14:textFill>
        </w:rPr>
      </w:pPr>
      <w:r>
        <w:rPr>
          <w:rFonts w:hint="eastAsia" w:ascii="Times New Roman" w:hAnsi="Times New Roman" w:eastAsia="Times New Roman"/>
          <w:b w:val="0"/>
          <w:bCs/>
          <w:color w:val="000000" w:themeColor="text1"/>
          <w:sz w:val="20"/>
          <w:szCs w:val="24"/>
          <w:highlight w:val="none"/>
          <w14:textFill>
            <w14:solidFill>
              <w14:schemeClr w14:val="tx1"/>
            </w14:solidFill>
          </w14:textFill>
        </w:rPr>
        <w:t>[5] Khodadadian A, Hemmati-Dinarvand M, Kalantary-Charvadeh A, et al. Candidate biomarkers for Parkinson’s disease. Biomed Pharmacother. 2018;104:699-704.</w:t>
      </w:r>
    </w:p>
    <w:p w14:paraId="202E3433">
      <w:pPr>
        <w:tabs>
          <w:tab w:val="left" w:pos="2226"/>
        </w:tabs>
        <w:spacing w:line="360" w:lineRule="auto"/>
        <w:rPr>
          <w:rFonts w:hint="eastAsia" w:ascii="Times New Roman" w:hAnsi="Times New Roman" w:eastAsia="宋体"/>
          <w:b w:val="0"/>
          <w:bCs/>
          <w:color w:val="000000" w:themeColor="text1"/>
          <w:sz w:val="20"/>
          <w:szCs w:val="24"/>
          <w:highlight w:val="none"/>
          <w:lang w:eastAsia="zh-CN"/>
          <w14:textFill>
            <w14:solidFill>
              <w14:schemeClr w14:val="tx1"/>
            </w14:solidFill>
          </w14:textFill>
        </w:rPr>
      </w:pPr>
      <w:r>
        <w:rPr>
          <w:rFonts w:hint="eastAsia" w:ascii="Times New Roman" w:hAnsi="Times New Roman" w:eastAsia="Times New Roman"/>
          <w:b w:val="0"/>
          <w:bCs/>
          <w:color w:val="000000" w:themeColor="text1"/>
          <w:sz w:val="20"/>
          <w:szCs w:val="24"/>
          <w:highlight w:val="none"/>
          <w14:textFill>
            <w14:solidFill>
              <w14:schemeClr w14:val="tx1"/>
            </w14:solidFill>
          </w14:textFill>
        </w:rPr>
        <w:t>[6] Blauwendraat C, Nalls MA, Singleton AB. The genetic architecture of Parkinson’s disease. Lancet Neurol. 2020;19(2):170-178.</w:t>
      </w:r>
    </w:p>
    <w:p w14:paraId="258C69CE">
      <w:pPr>
        <w:tabs>
          <w:tab w:val="left" w:pos="2226"/>
        </w:tabs>
        <w:spacing w:line="360" w:lineRule="auto"/>
        <w:rPr>
          <w:rFonts w:hint="eastAsia" w:ascii="Times New Roman" w:hAnsi="Times New Roman" w:eastAsia="宋体"/>
          <w:b w:val="0"/>
          <w:bCs/>
          <w:color w:val="000000" w:themeColor="text1"/>
          <w:sz w:val="20"/>
          <w:szCs w:val="24"/>
          <w:highlight w:val="none"/>
          <w:lang w:eastAsia="zh-CN"/>
          <w14:textFill>
            <w14:solidFill>
              <w14:schemeClr w14:val="tx1"/>
            </w14:solidFill>
          </w14:textFill>
        </w:rPr>
      </w:pPr>
      <w:r>
        <w:rPr>
          <w:rFonts w:hint="eastAsia" w:ascii="Times New Roman" w:hAnsi="Times New Roman" w:eastAsia="Times New Roman"/>
          <w:b w:val="0"/>
          <w:bCs/>
          <w:color w:val="000000" w:themeColor="text1"/>
          <w:sz w:val="20"/>
          <w:szCs w:val="24"/>
          <w:highlight w:val="none"/>
          <w14:textFill>
            <w14:solidFill>
              <w14:schemeClr w14:val="tx1"/>
            </w14:solidFill>
          </w14:textFill>
        </w:rPr>
        <w:t>[7] Li FF, Feng T. Research progress in early‑onset Parkinson’s disease. Chin J Geriatr Cardiovasc Cerebrovasc Dis. 2015;17(6):663-664.</w:t>
      </w:r>
    </w:p>
    <w:p w14:paraId="66B48746">
      <w:pPr>
        <w:tabs>
          <w:tab w:val="left" w:pos="2226"/>
        </w:tabs>
        <w:spacing w:line="360" w:lineRule="auto"/>
        <w:rPr>
          <w:rFonts w:hint="eastAsia" w:ascii="Times New Roman" w:hAnsi="Times New Roman" w:eastAsia="宋体"/>
          <w:b w:val="0"/>
          <w:bCs/>
          <w:color w:val="000000" w:themeColor="text1"/>
          <w:sz w:val="20"/>
          <w:szCs w:val="24"/>
          <w:highlight w:val="none"/>
          <w:lang w:eastAsia="zh-CN"/>
          <w14:textFill>
            <w14:solidFill>
              <w14:schemeClr w14:val="tx1"/>
            </w14:solidFill>
          </w14:textFill>
        </w:rPr>
      </w:pPr>
      <w:r>
        <w:rPr>
          <w:rFonts w:hint="eastAsia" w:ascii="Times New Roman" w:hAnsi="Times New Roman" w:eastAsia="Times New Roman"/>
          <w:b w:val="0"/>
          <w:bCs/>
          <w:color w:val="000000" w:themeColor="text1"/>
          <w:sz w:val="20"/>
          <w:szCs w:val="24"/>
          <w:highlight w:val="none"/>
          <w14:textFill>
            <w14:solidFill>
              <w14:schemeClr w14:val="tx1"/>
            </w14:solidFill>
          </w14:textFill>
        </w:rPr>
        <w:t>[8] Fu RJ, Wang YY. Criteria for diagnosis and efficacy evaluation of senile tremor syndrome in traditional Chinese medicine (trial). J Shandong Coll Tradit Chin Med. 1992;(6):55.</w:t>
      </w:r>
    </w:p>
    <w:p w14:paraId="34E6094F">
      <w:pPr>
        <w:tabs>
          <w:tab w:val="left" w:pos="2226"/>
        </w:tabs>
        <w:spacing w:line="360" w:lineRule="auto"/>
        <w:rPr>
          <w:rFonts w:hint="eastAsia" w:ascii="Times New Roman" w:hAnsi="Times New Roman" w:eastAsia="宋体"/>
          <w:b w:val="0"/>
          <w:bCs/>
          <w:color w:val="000000" w:themeColor="text1"/>
          <w:sz w:val="20"/>
          <w:szCs w:val="24"/>
          <w:highlight w:val="none"/>
          <w:lang w:eastAsia="zh-CN"/>
          <w14:textFill>
            <w14:solidFill>
              <w14:schemeClr w14:val="tx1"/>
            </w14:solidFill>
          </w14:textFill>
        </w:rPr>
      </w:pPr>
      <w:r>
        <w:rPr>
          <w:rFonts w:hint="eastAsia" w:ascii="Times New Roman" w:hAnsi="Times New Roman" w:eastAsia="Times New Roman"/>
          <w:b w:val="0"/>
          <w:bCs/>
          <w:color w:val="000000" w:themeColor="text1"/>
          <w:sz w:val="20"/>
          <w:szCs w:val="24"/>
          <w:highlight w:val="none"/>
          <w14:textFill>
            <w14:solidFill>
              <w14:schemeClr w14:val="tx1"/>
            </w14:solidFill>
          </w14:textFill>
        </w:rPr>
        <w:t>[9] Li X, Zhou J, He R, et al. A study on the effects of the Qihuang Needle therapy on patients with Parkinson’s disease. Front Neurol. 2022;13:1022057.</w:t>
      </w:r>
    </w:p>
    <w:p w14:paraId="6998CA22">
      <w:pPr>
        <w:tabs>
          <w:tab w:val="left" w:pos="2226"/>
        </w:tabs>
        <w:spacing w:line="360" w:lineRule="auto"/>
        <w:rPr>
          <w:rFonts w:hint="eastAsia" w:ascii="Times New Roman" w:hAnsi="Times New Roman" w:eastAsia="宋体"/>
          <w:b w:val="0"/>
          <w:bCs/>
          <w:color w:val="000000" w:themeColor="text1"/>
          <w:sz w:val="20"/>
          <w:szCs w:val="24"/>
          <w:highlight w:val="none"/>
          <w:lang w:eastAsia="zh-CN"/>
          <w14:textFill>
            <w14:solidFill>
              <w14:schemeClr w14:val="tx1"/>
            </w14:solidFill>
          </w14:textFill>
        </w:rPr>
      </w:pPr>
      <w:r>
        <w:rPr>
          <w:rFonts w:hint="eastAsia" w:ascii="Times New Roman" w:hAnsi="Times New Roman" w:eastAsia="Times New Roman"/>
          <w:b w:val="0"/>
          <w:bCs/>
          <w:color w:val="000000" w:themeColor="text1"/>
          <w:sz w:val="20"/>
          <w:szCs w:val="24"/>
          <w:highlight w:val="none"/>
          <w14:textFill>
            <w14:solidFill>
              <w14:schemeClr w14:val="tx1"/>
            </w14:solidFill>
          </w14:textFill>
        </w:rPr>
        <w:t>[10] Li K, Xu S, Wang R, et al. Electroacupuncture for motor dysfunction and constipation in patients with Parkinson’s disease: a randomised controlled multi‑centre trial. EClinicalMedicine. 2023;56:101814.</w:t>
      </w:r>
    </w:p>
    <w:p w14:paraId="6062BB83">
      <w:pPr>
        <w:tabs>
          <w:tab w:val="left" w:pos="2226"/>
        </w:tabs>
        <w:spacing w:line="360" w:lineRule="auto"/>
        <w:rPr>
          <w:rFonts w:hint="eastAsia" w:ascii="Times New Roman" w:hAnsi="Times New Roman" w:eastAsia="宋体"/>
          <w:b w:val="0"/>
          <w:bCs/>
          <w:color w:val="000000" w:themeColor="text1"/>
          <w:sz w:val="20"/>
          <w:szCs w:val="24"/>
          <w:highlight w:val="none"/>
          <w:lang w:eastAsia="zh-CN"/>
          <w14:textFill>
            <w14:solidFill>
              <w14:schemeClr w14:val="tx1"/>
            </w14:solidFill>
          </w14:textFill>
        </w:rPr>
      </w:pPr>
      <w:r>
        <w:rPr>
          <w:rFonts w:hint="eastAsia" w:ascii="Times New Roman" w:hAnsi="Times New Roman" w:eastAsia="Times New Roman"/>
          <w:b w:val="0"/>
          <w:bCs/>
          <w:color w:val="000000" w:themeColor="text1"/>
          <w:sz w:val="20"/>
          <w:szCs w:val="24"/>
          <w:highlight w:val="none"/>
          <w14:textFill>
            <w14:solidFill>
              <w14:schemeClr w14:val="tx1"/>
            </w14:solidFill>
          </w14:textFill>
        </w:rPr>
        <w:t>[11] Li Z, Chen J, Cheng J, et al. Acupuncture modulates the cerebello‑thalamo‑cortical circuit and cognitive brain regions in patients of Parkinson’s disease with tremor. Front Aging Neurosci. 2018;10:206.</w:t>
      </w:r>
    </w:p>
    <w:p w14:paraId="6376B12E">
      <w:pPr>
        <w:tabs>
          <w:tab w:val="left" w:pos="2226"/>
        </w:tabs>
        <w:spacing w:line="360" w:lineRule="auto"/>
        <w:rPr>
          <w:rFonts w:hint="eastAsia" w:ascii="Times New Roman" w:hAnsi="Times New Roman" w:eastAsia="宋体"/>
          <w:b w:val="0"/>
          <w:bCs/>
          <w:color w:val="000000" w:themeColor="text1"/>
          <w:sz w:val="20"/>
          <w:szCs w:val="24"/>
          <w:highlight w:val="none"/>
          <w:lang w:eastAsia="zh-CN"/>
          <w14:textFill>
            <w14:solidFill>
              <w14:schemeClr w14:val="tx1"/>
            </w14:solidFill>
          </w14:textFill>
        </w:rPr>
      </w:pPr>
      <w:r>
        <w:rPr>
          <w:rFonts w:hint="eastAsia" w:ascii="Times New Roman" w:hAnsi="Times New Roman" w:eastAsia="Times New Roman"/>
          <w:b w:val="0"/>
          <w:bCs/>
          <w:color w:val="000000" w:themeColor="text1"/>
          <w:sz w:val="20"/>
          <w:szCs w:val="24"/>
          <w:highlight w:val="none"/>
          <w14:textFill>
            <w14:solidFill>
              <w14:schemeClr w14:val="tx1"/>
            </w14:solidFill>
          </w14:textFill>
        </w:rPr>
        <w:t>[12] Liu H, Chen L, Zhang Z, et al. Effectiveness and safety of acupuncture combined with Madopar for Parkinson’s disease: a systematic review with meta‑analysis. Acupunct Med. 2017;35(6):404-412.</w:t>
      </w:r>
    </w:p>
    <w:p w14:paraId="7A590058">
      <w:pPr>
        <w:tabs>
          <w:tab w:val="left" w:pos="2226"/>
        </w:tabs>
        <w:spacing w:line="360" w:lineRule="auto"/>
        <w:rPr>
          <w:rFonts w:hint="eastAsia" w:ascii="Times New Roman" w:hAnsi="Times New Roman" w:eastAsia="宋体"/>
          <w:b w:val="0"/>
          <w:bCs/>
          <w:color w:val="000000" w:themeColor="text1"/>
          <w:sz w:val="20"/>
          <w:szCs w:val="24"/>
          <w:highlight w:val="none"/>
          <w:lang w:eastAsia="zh-CN"/>
          <w14:textFill>
            <w14:solidFill>
              <w14:schemeClr w14:val="tx1"/>
            </w14:solidFill>
          </w14:textFill>
        </w:rPr>
      </w:pPr>
      <w:r>
        <w:rPr>
          <w:rFonts w:hint="eastAsia" w:ascii="Times New Roman" w:hAnsi="Times New Roman" w:eastAsia="Times New Roman"/>
          <w:b w:val="0"/>
          <w:bCs/>
          <w:color w:val="000000" w:themeColor="text1"/>
          <w:sz w:val="20"/>
          <w:szCs w:val="24"/>
          <w:highlight w:val="none"/>
          <w14:textFill>
            <w14:solidFill>
              <w14:schemeClr w14:val="tx1"/>
            </w14:solidFill>
          </w14:textFill>
        </w:rPr>
        <w:t>[13] Jatesiktat P, Lim GM, Lim WS, et al. Anatomical‑marker‑driven 3D markerless human motion capture. IEEE J Biomed Health Inform. 2024;</w:t>
      </w:r>
    </w:p>
    <w:p w14:paraId="614C91A1">
      <w:pPr>
        <w:tabs>
          <w:tab w:val="left" w:pos="2226"/>
        </w:tabs>
        <w:spacing w:line="360" w:lineRule="auto"/>
        <w:rPr>
          <w:rFonts w:hint="eastAsia" w:ascii="Times New Roman" w:hAnsi="Times New Roman" w:eastAsia="宋体"/>
          <w:b w:val="0"/>
          <w:bCs/>
          <w:color w:val="000000" w:themeColor="text1"/>
          <w:sz w:val="20"/>
          <w:szCs w:val="24"/>
          <w:highlight w:val="none"/>
          <w:lang w:eastAsia="zh-CN"/>
          <w14:textFill>
            <w14:solidFill>
              <w14:schemeClr w14:val="tx1"/>
            </w14:solidFill>
          </w14:textFill>
        </w:rPr>
      </w:pPr>
      <w:r>
        <w:rPr>
          <w:rFonts w:hint="eastAsia" w:ascii="Times New Roman" w:hAnsi="Times New Roman" w:eastAsia="Times New Roman"/>
          <w:b w:val="0"/>
          <w:bCs/>
          <w:color w:val="000000" w:themeColor="text1"/>
          <w:sz w:val="20"/>
          <w:szCs w:val="24"/>
          <w:highlight w:val="none"/>
          <w14:textFill>
            <w14:solidFill>
              <w14:schemeClr w14:val="tx1"/>
            </w14:solidFill>
          </w14:textFill>
        </w:rPr>
        <w:t>[14] Cui QT, Liang LP. Clinical diagnostic value of transcranial sonography for substantia nigra hyperechogenicity combined with hemodynamics in Parkinson’s disease. Inner Mongolia Med J. 2024;56(10):1174-1177.</w:t>
      </w:r>
    </w:p>
    <w:p w14:paraId="7881899F">
      <w:pPr>
        <w:tabs>
          <w:tab w:val="left" w:pos="2226"/>
        </w:tabs>
        <w:spacing w:line="360" w:lineRule="auto"/>
        <w:rPr>
          <w:rFonts w:hint="eastAsia" w:ascii="Times New Roman" w:hAnsi="Times New Roman" w:eastAsia="宋体"/>
          <w:b w:val="0"/>
          <w:bCs/>
          <w:color w:val="000000" w:themeColor="text1"/>
          <w:sz w:val="20"/>
          <w:szCs w:val="24"/>
          <w:highlight w:val="none"/>
          <w:lang w:eastAsia="zh-CN"/>
          <w14:textFill>
            <w14:solidFill>
              <w14:schemeClr w14:val="tx1"/>
            </w14:solidFill>
          </w14:textFill>
        </w:rPr>
      </w:pPr>
      <w:r>
        <w:rPr>
          <w:rFonts w:hint="eastAsia" w:ascii="Times New Roman" w:hAnsi="Times New Roman" w:eastAsia="Times New Roman"/>
          <w:b w:val="0"/>
          <w:bCs/>
          <w:color w:val="000000" w:themeColor="text1"/>
          <w:sz w:val="20"/>
          <w:szCs w:val="24"/>
          <w:highlight w:val="none"/>
          <w14:textFill>
            <w14:solidFill>
              <w14:schemeClr w14:val="tx1"/>
            </w14:solidFill>
          </w14:textFill>
        </w:rPr>
        <w:t>[15] Liu J, Meng LC, Li MY, et al. Shear wave elastography for evaluating the effect of acupuncture on muscle rigidity improvement in Parkinson’s disease. Chin J Med Imaging Technol. 2023;39(7):1065-1069.</w:t>
      </w:r>
    </w:p>
    <w:p w14:paraId="6F9469DA">
      <w:pPr>
        <w:tabs>
          <w:tab w:val="left" w:pos="2226"/>
        </w:tabs>
        <w:spacing w:line="360" w:lineRule="auto"/>
        <w:rPr>
          <w:rFonts w:hint="eastAsia" w:ascii="Times New Roman" w:hAnsi="Times New Roman" w:eastAsia="宋体"/>
          <w:b w:val="0"/>
          <w:bCs/>
          <w:color w:val="000000" w:themeColor="text1"/>
          <w:sz w:val="20"/>
          <w:szCs w:val="24"/>
          <w:highlight w:val="none"/>
          <w:lang w:eastAsia="zh-CN"/>
          <w14:textFill>
            <w14:solidFill>
              <w14:schemeClr w14:val="tx1"/>
            </w14:solidFill>
          </w14:textFill>
        </w:rPr>
      </w:pPr>
      <w:r>
        <w:rPr>
          <w:rFonts w:hint="eastAsia" w:ascii="Times New Roman" w:hAnsi="Times New Roman" w:eastAsia="Times New Roman"/>
          <w:b w:val="0"/>
          <w:bCs/>
          <w:color w:val="000000" w:themeColor="text1"/>
          <w:sz w:val="20"/>
          <w:szCs w:val="24"/>
          <w:highlight w:val="none"/>
          <w14:textFill>
            <w14:solidFill>
              <w14:schemeClr w14:val="tx1"/>
            </w14:solidFill>
          </w14:textFill>
        </w:rPr>
        <w:t>[16] Jiang C, Fu Y, Liu G, Shu B, Davis J, Tofaris GK. Multiplexed profiling of extracellular vesicles for biomarker development. Nano‑Micro Lett. 2021;14(1):3.</w:t>
      </w:r>
    </w:p>
    <w:p w14:paraId="3F76A77A">
      <w:pPr>
        <w:tabs>
          <w:tab w:val="left" w:pos="2226"/>
        </w:tabs>
        <w:spacing w:line="360" w:lineRule="auto"/>
        <w:rPr>
          <w:rFonts w:hint="eastAsia" w:ascii="Times New Roman" w:hAnsi="Times New Roman" w:eastAsia="宋体"/>
          <w:b w:val="0"/>
          <w:bCs/>
          <w:color w:val="000000" w:themeColor="text1"/>
          <w:sz w:val="20"/>
          <w:szCs w:val="24"/>
          <w:highlight w:val="none"/>
          <w:lang w:eastAsia="zh-CN"/>
          <w14:textFill>
            <w14:solidFill>
              <w14:schemeClr w14:val="tx1"/>
            </w14:solidFill>
          </w14:textFill>
        </w:rPr>
      </w:pPr>
      <w:r>
        <w:rPr>
          <w:rFonts w:hint="eastAsia" w:ascii="Times New Roman" w:hAnsi="Times New Roman" w:eastAsia="Times New Roman"/>
          <w:b w:val="0"/>
          <w:bCs/>
          <w:color w:val="000000" w:themeColor="text1"/>
          <w:sz w:val="20"/>
          <w:szCs w:val="24"/>
          <w:highlight w:val="none"/>
          <w14:textFill>
            <w14:solidFill>
              <w14:schemeClr w14:val="tx1"/>
            </w14:solidFill>
          </w14:textFill>
        </w:rPr>
        <w:t>[17] Jiang C, Hopfner F, Katsikoudi A, et al. Serum neuronal exosomes predict and differentiate Parkinson’s disease from atypical parkinsonism. J Neurol Neurosurg Psychiatry. 2020;91(7):720-729.</w:t>
      </w:r>
    </w:p>
    <w:p w14:paraId="1532FBCD">
      <w:pPr>
        <w:tabs>
          <w:tab w:val="left" w:pos="2226"/>
        </w:tabs>
        <w:spacing w:line="360" w:lineRule="auto"/>
        <w:rPr>
          <w:rFonts w:hint="eastAsia" w:ascii="Times New Roman" w:hAnsi="Times New Roman" w:eastAsia="宋体"/>
          <w:b w:val="0"/>
          <w:bCs/>
          <w:color w:val="000000" w:themeColor="text1"/>
          <w:sz w:val="20"/>
          <w:szCs w:val="24"/>
          <w:highlight w:val="none"/>
          <w:lang w:eastAsia="zh-CN"/>
          <w14:textFill>
            <w14:solidFill>
              <w14:schemeClr w14:val="tx1"/>
            </w14:solidFill>
          </w14:textFill>
        </w:rPr>
      </w:pPr>
      <w:r>
        <w:rPr>
          <w:rFonts w:hint="eastAsia" w:ascii="Times New Roman" w:hAnsi="Times New Roman" w:eastAsia="Times New Roman"/>
          <w:b w:val="0"/>
          <w:bCs/>
          <w:color w:val="000000" w:themeColor="text1"/>
          <w:sz w:val="20"/>
          <w:szCs w:val="24"/>
          <w:highlight w:val="none"/>
          <w14:textFill>
            <w14:solidFill>
              <w14:schemeClr w14:val="tx1"/>
            </w14:solidFill>
          </w14:textFill>
        </w:rPr>
        <w:t>[18] Gomes DE, Witwer KW. L1CAM‑associated extracellular vesicles: a systematic review of nomenclature, sources, separation, and characterization. J Extracell Biol. 2022;1(3):e35.</w:t>
      </w:r>
    </w:p>
    <w:p w14:paraId="6AFB6BA2">
      <w:pPr>
        <w:tabs>
          <w:tab w:val="left" w:pos="2226"/>
        </w:tabs>
        <w:spacing w:line="360" w:lineRule="auto"/>
        <w:rPr>
          <w:rFonts w:hint="eastAsia" w:ascii="Times New Roman" w:hAnsi="Times New Roman" w:eastAsia="宋体"/>
          <w:b w:val="0"/>
          <w:bCs/>
          <w:color w:val="000000" w:themeColor="text1"/>
          <w:sz w:val="20"/>
          <w:szCs w:val="24"/>
          <w:highlight w:val="none"/>
          <w:lang w:eastAsia="zh-CN"/>
          <w14:textFill>
            <w14:solidFill>
              <w14:schemeClr w14:val="tx1"/>
            </w14:solidFill>
          </w14:textFill>
        </w:rPr>
      </w:pPr>
      <w:r>
        <w:rPr>
          <w:rFonts w:hint="eastAsia" w:ascii="Times New Roman" w:hAnsi="Times New Roman" w:eastAsia="Times New Roman"/>
          <w:b w:val="0"/>
          <w:bCs/>
          <w:color w:val="000000" w:themeColor="text1"/>
          <w:sz w:val="20"/>
          <w:szCs w:val="24"/>
          <w:highlight w:val="none"/>
          <w14:textFill>
            <w14:solidFill>
              <w14:schemeClr w14:val="tx1"/>
            </w14:solidFill>
          </w14:textFill>
        </w:rPr>
        <w:t>[19] Wu LF, Xu BL, Yuan WJ, et al. Mechanisms and research progress of acupuncture treatment for Parkinson’s disease. J Changchun Univ Chin Med. 2023;39(10):1176-1180.</w:t>
      </w:r>
    </w:p>
    <w:p w14:paraId="2811CA80">
      <w:pPr>
        <w:tabs>
          <w:tab w:val="left" w:pos="2226"/>
        </w:tabs>
        <w:spacing w:line="360" w:lineRule="auto"/>
        <w:rPr>
          <w:rFonts w:hint="eastAsia" w:ascii="Times New Roman" w:hAnsi="Times New Roman" w:eastAsia="宋体"/>
          <w:b w:val="0"/>
          <w:bCs/>
          <w:color w:val="000000" w:themeColor="text1"/>
          <w:sz w:val="20"/>
          <w:szCs w:val="24"/>
          <w:highlight w:val="none"/>
          <w:lang w:eastAsia="zh-CN"/>
          <w14:textFill>
            <w14:solidFill>
              <w14:schemeClr w14:val="tx1"/>
            </w14:solidFill>
          </w14:textFill>
        </w:rPr>
      </w:pPr>
      <w:r>
        <w:rPr>
          <w:rFonts w:hint="eastAsia" w:ascii="Times New Roman" w:hAnsi="Times New Roman" w:eastAsia="Times New Roman"/>
          <w:b w:val="0"/>
          <w:bCs/>
          <w:color w:val="000000" w:themeColor="text1"/>
          <w:sz w:val="20"/>
          <w:szCs w:val="24"/>
          <w:highlight w:val="none"/>
          <w14:textFill>
            <w14:solidFill>
              <w14:schemeClr w14:val="tx1"/>
            </w14:solidFill>
          </w14:textFill>
        </w:rPr>
        <w:t>[20] Shi XM. Acupuncture and Moxibustion. Beijing: China Traditional Chinese Medicine Press; 2017.</w:t>
      </w:r>
    </w:p>
    <w:p w14:paraId="6828CC7B">
      <w:pPr>
        <w:tabs>
          <w:tab w:val="left" w:pos="2226"/>
        </w:tabs>
        <w:spacing w:line="360" w:lineRule="auto"/>
        <w:rPr>
          <w:rFonts w:ascii="Times New Roman" w:hAnsi="Times New Roman" w:eastAsia="微软雅黑" w:cs="Times New Roman"/>
          <w:b w:val="0"/>
          <w:bCs/>
          <w:color w:val="000000" w:themeColor="text1"/>
          <w:sz w:val="22"/>
          <w:szCs w:val="28"/>
          <w:highlight w:val="none"/>
          <w14:textFill>
            <w14:solidFill>
              <w14:schemeClr w14:val="tx1"/>
            </w14:solidFill>
          </w14:textFill>
        </w:rPr>
      </w:pPr>
      <w:r>
        <w:rPr>
          <w:rFonts w:hint="eastAsia" w:ascii="Times New Roman" w:hAnsi="Times New Roman" w:eastAsia="Times New Roman"/>
          <w:b w:val="0"/>
          <w:bCs/>
          <w:color w:val="000000" w:themeColor="text1"/>
          <w:sz w:val="20"/>
          <w:szCs w:val="24"/>
          <w:highlight w:val="none"/>
          <w14:textFill>
            <w14:solidFill>
              <w14:schemeClr w14:val="tx1"/>
            </w14:solidFill>
          </w14:textFill>
        </w:rPr>
        <w:t>[21] Chen ZH. Qihuang Needle Therapy. Beijing: People’s Medical Publishing House; 2020.</w:t>
      </w:r>
    </w:p>
    <w:p w14:paraId="0039893E">
      <w:pPr>
        <w:tabs>
          <w:tab w:val="left" w:pos="2226"/>
        </w:tabs>
        <w:spacing w:line="360" w:lineRule="auto"/>
        <w:rPr>
          <w:rFonts w:ascii="Times New Roman" w:hAnsi="Times New Roman" w:eastAsia="微软雅黑" w:cs="Times New Roman"/>
          <w:color w:val="000000" w:themeColor="text1"/>
          <w:sz w:val="22"/>
          <w:szCs w:val="28"/>
          <w:highlight w:val="none"/>
          <w14:textFill>
            <w14:solidFill>
              <w14:schemeClr w14:val="tx1"/>
            </w14:solidFill>
          </w14:textFill>
        </w:rPr>
        <w:sectPr>
          <w:pgSz w:w="11906" w:h="16838"/>
          <w:pgMar w:top="1440" w:right="1080" w:bottom="1440" w:left="1080" w:header="851" w:footer="992" w:gutter="0"/>
          <w:cols w:space="720" w:num="1"/>
          <w:docGrid w:type="lines" w:linePitch="312" w:charSpace="0"/>
        </w:sectPr>
      </w:pPr>
    </w:p>
    <w:p w14:paraId="3A52BAFC">
      <w:pPr>
        <w:jc w:val="center"/>
        <w:outlineLvl w:val="0"/>
        <w:rPr>
          <w:rFonts w:ascii="Times New Roman" w:hAnsi="Times New Roman" w:cs="Times New Roman"/>
          <w:b/>
          <w:bCs/>
          <w:color w:val="000000" w:themeColor="text1"/>
          <w:sz w:val="24"/>
          <w:szCs w:val="24"/>
          <w:highlight w:val="none"/>
          <w14:textFill>
            <w14:solidFill>
              <w14:schemeClr w14:val="tx1"/>
            </w14:solidFill>
          </w14:textFill>
        </w:rPr>
      </w:pPr>
      <w:bookmarkStart w:id="57" w:name="_Toc27760"/>
      <w:r>
        <w:rPr>
          <w:rFonts w:ascii="Times New Roman" w:hAnsi="Times New Roman" w:cs="Times New Roman"/>
          <w:b/>
          <w:bCs/>
          <w:color w:val="000000" w:themeColor="text1"/>
          <w:sz w:val="24"/>
          <w:szCs w:val="24"/>
          <w:highlight w:val="none"/>
          <w14:textFill>
            <w14:solidFill>
              <w14:schemeClr w14:val="tx1"/>
            </w14:solidFill>
          </w14:textFill>
        </w:rPr>
        <w:t>Informed Consent Form for Clinical Research (Experimental Study)</w:t>
      </w:r>
      <w:bookmarkEnd w:id="57"/>
    </w:p>
    <w:p w14:paraId="12DC1684">
      <w:pP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b/>
          <w:bCs/>
          <w:color w:val="000000" w:themeColor="text1"/>
          <w:sz w:val="20"/>
          <w:szCs w:val="20"/>
          <w:highlight w:val="none"/>
          <w14:textFill>
            <w14:solidFill>
              <w14:schemeClr w14:val="tx1"/>
            </w14:solidFill>
          </w14:textFill>
        </w:rPr>
        <w:t>Project Title:</w:t>
      </w:r>
      <w:r>
        <w:rPr>
          <w:rFonts w:ascii="Times New Roman" w:hAnsi="Times New Roman" w:cs="Times New Roman"/>
          <w:b w:val="0"/>
          <w:bCs w:val="0"/>
          <w:color w:val="000000" w:themeColor="text1"/>
          <w:sz w:val="20"/>
          <w:szCs w:val="20"/>
          <w:highlight w:val="none"/>
          <w14:textFill>
            <w14:solidFill>
              <w14:schemeClr w14:val="tx1"/>
            </w14:solidFill>
          </w14:textFill>
        </w:rPr>
        <w:t xml:space="preserve"> </w:t>
      </w:r>
      <w:r>
        <w:rPr>
          <w:rFonts w:hint="eastAsia" w:ascii="Times New Roman" w:hAnsi="Times New Roman" w:cs="Times New Roman"/>
          <w:b w:val="0"/>
          <w:bCs w:val="0"/>
          <w:color w:val="000000" w:themeColor="text1"/>
          <w:sz w:val="20"/>
          <w:szCs w:val="20"/>
          <w:highlight w:val="none"/>
          <w14:textFill>
            <w14:solidFill>
              <w14:schemeClr w14:val="tx1"/>
            </w14:solidFill>
          </w14:textFill>
        </w:rPr>
        <w:t>Acupuncture in the Treatment of Parkinson's Disease: A Prospective Randomized Controlled Clinical Trial</w:t>
      </w:r>
    </w:p>
    <w:p w14:paraId="205873F6">
      <w:pP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b/>
          <w:bCs/>
          <w:color w:val="000000" w:themeColor="text1"/>
          <w:sz w:val="20"/>
          <w:szCs w:val="20"/>
          <w:highlight w:val="none"/>
          <w14:textFill>
            <w14:solidFill>
              <w14:schemeClr w14:val="tx1"/>
            </w14:solidFill>
          </w14:textFill>
        </w:rPr>
        <w:t xml:space="preserve">Clinical Trial Institution: </w:t>
      </w:r>
      <w:r>
        <w:rPr>
          <w:rFonts w:ascii="Times New Roman" w:hAnsi="Times New Roman" w:cs="Times New Roman"/>
          <w:color w:val="000000" w:themeColor="text1"/>
          <w:sz w:val="20"/>
          <w:szCs w:val="20"/>
          <w:highlight w:val="none"/>
          <w14:textFill>
            <w14:solidFill>
              <w14:schemeClr w14:val="tx1"/>
            </w14:solidFill>
          </w14:textFill>
        </w:rPr>
        <w:t>The First Affiliated Hospital of Guangzhou University of Chinese Medicine</w:t>
      </w:r>
    </w:p>
    <w:p w14:paraId="7C656C12">
      <w:pPr>
        <w:rPr>
          <w:rFonts w:ascii="Times New Roman" w:hAnsi="Times New Roman" w:cs="Times New Roman"/>
          <w:b/>
          <w:bCs/>
          <w:color w:val="000000" w:themeColor="text1"/>
          <w:sz w:val="20"/>
          <w:szCs w:val="20"/>
          <w:highlight w:val="none"/>
          <w14:textFill>
            <w14:solidFill>
              <w14:schemeClr w14:val="tx1"/>
            </w14:solidFill>
          </w14:textFill>
        </w:rPr>
      </w:pPr>
      <w:r>
        <w:rPr>
          <w:rFonts w:ascii="Times New Roman" w:hAnsi="Times New Roman" w:cs="Times New Roman"/>
          <w:b/>
          <w:bCs/>
          <w:color w:val="000000" w:themeColor="text1"/>
          <w:sz w:val="20"/>
          <w:szCs w:val="20"/>
          <w:highlight w:val="none"/>
          <w14:textFill>
            <w14:solidFill>
              <w14:schemeClr w14:val="tx1"/>
            </w14:solidFill>
          </w14:textFill>
        </w:rPr>
        <w:t xml:space="preserve">Version Number or Date: </w:t>
      </w:r>
      <w:r>
        <w:rPr>
          <w:rFonts w:ascii="Times New Roman" w:hAnsi="Times New Roman" w:cs="Times New Roman"/>
          <w:color w:val="000000" w:themeColor="text1"/>
          <w:sz w:val="20"/>
          <w:szCs w:val="20"/>
          <w:highlight w:val="none"/>
          <w14:textFill>
            <w14:solidFill>
              <w14:schemeClr w14:val="tx1"/>
            </w14:solidFill>
          </w14:textFill>
        </w:rPr>
        <w:t>V</w:t>
      </w:r>
      <w:r>
        <w:rPr>
          <w:rFonts w:hint="eastAsia" w:ascii="Times New Roman" w:hAnsi="Times New Roman" w:cs="Times New Roman"/>
          <w:color w:val="000000" w:themeColor="text1"/>
          <w:sz w:val="20"/>
          <w:szCs w:val="20"/>
          <w:highlight w:val="none"/>
          <w:lang w:val="en-US" w:eastAsia="zh-CN"/>
          <w14:textFill>
            <w14:solidFill>
              <w14:schemeClr w14:val="tx1"/>
            </w14:solidFill>
          </w14:textFill>
        </w:rPr>
        <w:t>6</w:t>
      </w:r>
      <w:r>
        <w:rPr>
          <w:rFonts w:ascii="Times New Roman" w:hAnsi="Times New Roman" w:cs="Times New Roman"/>
          <w:color w:val="000000" w:themeColor="text1"/>
          <w:sz w:val="20"/>
          <w:szCs w:val="20"/>
          <w:highlight w:val="none"/>
          <w14:textFill>
            <w14:solidFill>
              <w14:schemeClr w14:val="tx1"/>
            </w14:solidFill>
          </w14:textFill>
        </w:rPr>
        <w:t>.0</w:t>
      </w:r>
    </w:p>
    <w:p w14:paraId="59EFE839">
      <w:pPr>
        <w:rPr>
          <w:rFonts w:ascii="Times New Roman" w:hAnsi="Times New Roman" w:cs="Times New Roman"/>
          <w:b w:val="0"/>
          <w:bCs w:val="0"/>
          <w:color w:val="000000" w:themeColor="text1"/>
          <w:sz w:val="20"/>
          <w:szCs w:val="20"/>
          <w:highlight w:val="none"/>
          <w14:textFill>
            <w14:solidFill>
              <w14:schemeClr w14:val="tx1"/>
            </w14:solidFill>
          </w14:textFill>
        </w:rPr>
      </w:pPr>
      <w:r>
        <w:rPr>
          <w:rFonts w:ascii="Times New Roman" w:hAnsi="Times New Roman" w:cs="Times New Roman"/>
          <w:b/>
          <w:bCs/>
          <w:color w:val="000000" w:themeColor="text1"/>
          <w:sz w:val="20"/>
          <w:szCs w:val="20"/>
          <w:highlight w:val="none"/>
          <w14:textFill>
            <w14:solidFill>
              <w14:schemeClr w14:val="tx1"/>
            </w14:solidFill>
          </w14:textFill>
        </w:rPr>
        <w:t xml:space="preserve">Principal Investigator: </w:t>
      </w:r>
      <w:r>
        <w:rPr>
          <w:rFonts w:hint="eastAsia" w:ascii="Times New Roman" w:hAnsi="Times New Roman" w:cs="Times New Roman"/>
          <w:b w:val="0"/>
          <w:bCs w:val="0"/>
          <w:color w:val="000000" w:themeColor="text1"/>
          <w:sz w:val="20"/>
          <w:szCs w:val="20"/>
          <w:highlight w:val="none"/>
          <w14:textFill>
            <w14:solidFill>
              <w14:schemeClr w14:val="tx1"/>
            </w14:solidFill>
          </w14:textFill>
        </w:rPr>
        <w:t>Nanbu Wang</w:t>
      </w:r>
    </w:p>
    <w:p w14:paraId="63ACABF2">
      <w:pPr>
        <w:rPr>
          <w:rFonts w:ascii="Times New Roman" w:hAnsi="Times New Roman" w:cs="Times New Roman"/>
          <w:b/>
          <w:bCs/>
          <w:color w:val="000000" w:themeColor="text1"/>
          <w:sz w:val="24"/>
          <w:szCs w:val="24"/>
          <w:highlight w:val="none"/>
          <w14:textFill>
            <w14:solidFill>
              <w14:schemeClr w14:val="tx1"/>
            </w14:solidFill>
          </w14:textFill>
        </w:rPr>
      </w:pPr>
    </w:p>
    <w:p w14:paraId="724D4990">
      <w:pPr>
        <w:jc w:val="center"/>
        <w:rPr>
          <w:rFonts w:ascii="Times New Roman" w:hAnsi="Times New Roman" w:cs="Times New Roman"/>
          <w:b/>
          <w:bCs/>
          <w:color w:val="000000" w:themeColor="text1"/>
          <w:sz w:val="24"/>
          <w:szCs w:val="24"/>
          <w:highlight w:val="none"/>
          <w14:textFill>
            <w14:solidFill>
              <w14:schemeClr w14:val="tx1"/>
            </w14:solidFill>
          </w14:textFill>
        </w:rPr>
      </w:pPr>
      <w:r>
        <w:rPr>
          <w:rFonts w:ascii="Times New Roman" w:hAnsi="Times New Roman" w:cs="Times New Roman"/>
          <w:b/>
          <w:bCs/>
          <w:color w:val="000000" w:themeColor="text1"/>
          <w:sz w:val="24"/>
          <w:szCs w:val="24"/>
          <w:highlight w:val="none"/>
          <w14:textFill>
            <w14:solidFill>
              <w14:schemeClr w14:val="tx1"/>
            </w14:solidFill>
          </w14:textFill>
        </w:rPr>
        <w:t>Personal Reading Material</w:t>
      </w:r>
    </w:p>
    <w:p w14:paraId="5DA40454">
      <w:pPr>
        <w:rPr>
          <w:rFonts w:hint="eastAsia"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Dear Patient, please read this document carefully. We welcome you to ask questions and discuss them with your family, relatives, friends, or us.</w:t>
      </w:r>
    </w:p>
    <w:p w14:paraId="622B5173">
      <w:pPr>
        <w:rPr>
          <w:rFonts w:hint="eastAsia"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You are invited to participate in this clinical study. The purpose of this research is to investigate the clinical efficacy of acupuncture treatment in patients with Parkinson's disease.</w:t>
      </w:r>
    </w:p>
    <w:p w14:paraId="3C35A5EA">
      <w:pPr>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Participation in this study is entirely voluntary. Before making your decision, please review this material thoroughly. It will help you fully understand the study's objectives, methods, procedures, potential benefits and inconveniences of participation, as well as your rights. The information provided in this informed consent form will assist you in deciding whether to participate in this clinical trial. If you have any questions, please ask the investigator responsible for this trial. You may also discuss it with your family, relatives, or friends to ensure you fully understand the relevant content. Your participation in this trial is voluntary. If you agree to participate in this clinical trial, please sign the declaration in the informed consent form.</w:t>
      </w:r>
    </w:p>
    <w:p w14:paraId="712AD540">
      <w:pPr>
        <w:rPr>
          <w:rFonts w:ascii="Times New Roman" w:hAnsi="Times New Roman" w:cs="Times New Roman"/>
          <w:color w:val="000000" w:themeColor="text1"/>
          <w:sz w:val="20"/>
          <w:szCs w:val="20"/>
          <w:highlight w:val="none"/>
          <w14:textFill>
            <w14:solidFill>
              <w14:schemeClr w14:val="tx1"/>
            </w14:solidFill>
          </w14:textFill>
        </w:rPr>
      </w:pPr>
    </w:p>
    <w:p w14:paraId="1343F0E3">
      <w:pPr>
        <w:rPr>
          <w:rFonts w:ascii="Times New Roman" w:hAnsi="Times New Roman" w:cs="Times New Roman"/>
          <w:b/>
          <w:bCs/>
          <w:color w:val="000000" w:themeColor="text1"/>
          <w:sz w:val="20"/>
          <w:szCs w:val="20"/>
          <w:highlight w:val="none"/>
          <w14:textFill>
            <w14:solidFill>
              <w14:schemeClr w14:val="tx1"/>
            </w14:solidFill>
          </w14:textFill>
        </w:rPr>
      </w:pPr>
      <w:r>
        <w:rPr>
          <w:rFonts w:ascii="Times New Roman" w:hAnsi="Times New Roman" w:cs="Times New Roman"/>
          <w:b/>
          <w:bCs/>
          <w:color w:val="000000" w:themeColor="text1"/>
          <w:sz w:val="20"/>
          <w:szCs w:val="20"/>
          <w:highlight w:val="none"/>
          <w14:textFill>
            <w14:solidFill>
              <w14:schemeClr w14:val="tx1"/>
            </w14:solidFill>
          </w14:textFill>
        </w:rPr>
        <w:t>1. What is this research study about? [Background and Purpose]</w:t>
      </w:r>
    </w:p>
    <w:p w14:paraId="307CF907">
      <w:pP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This study is titled “</w:t>
      </w:r>
      <w:r>
        <w:rPr>
          <w:rFonts w:hint="eastAsia" w:ascii="Times New Roman" w:hAnsi="Times New Roman" w:cs="Times New Roman"/>
          <w:b w:val="0"/>
          <w:bCs w:val="0"/>
          <w:color w:val="000000" w:themeColor="text1"/>
          <w:sz w:val="20"/>
          <w:szCs w:val="20"/>
          <w:highlight w:val="none"/>
          <w14:textFill>
            <w14:solidFill>
              <w14:schemeClr w14:val="tx1"/>
            </w14:solidFill>
          </w14:textFill>
        </w:rPr>
        <w:t>Acupuncture in the Treatment of Parkinson's Disease: A Prospective Randomized Controlled Clinical Trial</w:t>
      </w:r>
      <w:r>
        <w:rPr>
          <w:rFonts w:ascii="Times New Roman" w:hAnsi="Times New Roman" w:cs="Times New Roman"/>
          <w:color w:val="000000" w:themeColor="text1"/>
          <w:sz w:val="20"/>
          <w:szCs w:val="20"/>
          <w:highlight w:val="none"/>
          <w14:textFill>
            <w14:solidFill>
              <w14:schemeClr w14:val="tx1"/>
            </w14:solidFill>
          </w14:textFill>
        </w:rPr>
        <w:t>.” It has been reviewed and approved by the Ethics Committee of the First Affiliated Hospital of Guangzhou University of Chinese Medicine, which confirms that the study adheres to the internationally recognized principles of the Declaration of Helsinki and complies with medical ethics.</w:t>
      </w:r>
    </w:p>
    <w:p w14:paraId="456A3CBC">
      <w:pP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w:t>
      </w:r>
      <w:r>
        <w:rPr>
          <w:rFonts w:hint="eastAsia" w:ascii="Times New Roman" w:hAnsi="Times New Roman" w:cs="Times New Roman"/>
          <w:color w:val="000000" w:themeColor="text1"/>
          <w:sz w:val="20"/>
          <w:szCs w:val="20"/>
          <w:highlight w:val="none"/>
          <w14:textFill>
            <w14:solidFill>
              <w14:schemeClr w14:val="tx1"/>
            </w14:solidFill>
          </w14:textFill>
        </w:rPr>
        <w:t>1</w:t>
      </w:r>
      <w:r>
        <w:rPr>
          <w:rFonts w:ascii="Times New Roman" w:hAnsi="Times New Roman" w:cs="Times New Roman"/>
          <w:color w:val="000000" w:themeColor="text1"/>
          <w:sz w:val="20"/>
          <w:szCs w:val="20"/>
          <w:highlight w:val="none"/>
          <w14:textFill>
            <w14:solidFill>
              <w14:schemeClr w14:val="tx1"/>
            </w14:solidFill>
          </w14:textFill>
        </w:rPr>
        <w:t>) Current Treatment Methods for Parkinson's Disease</w:t>
      </w:r>
    </w:p>
    <w:p w14:paraId="17A8E52C">
      <w:pPr>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①</w:t>
      </w:r>
      <w:r>
        <w:rPr>
          <w:rFonts w:ascii="Times New Roman" w:hAnsi="Times New Roman" w:cs="Times New Roman"/>
          <w:color w:val="000000" w:themeColor="text1"/>
          <w:sz w:val="20"/>
          <w:szCs w:val="20"/>
          <w:highlight w:val="none"/>
          <w14:textFill>
            <w14:solidFill>
              <w14:schemeClr w14:val="tx1"/>
            </w14:solidFill>
          </w14:textFill>
        </w:rPr>
        <w:t>Pharmacological Therapy: Levodopa preparations, non-ergot dopamine receptor agonists, MAO-B inhibitors, COMT inhibitors, anticholinergic drugs, etc.</w:t>
      </w:r>
    </w:p>
    <w:p w14:paraId="456C798A">
      <w:pPr>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②</w:t>
      </w:r>
      <w:r>
        <w:rPr>
          <w:rFonts w:ascii="Times New Roman" w:hAnsi="Times New Roman" w:cs="Times New Roman"/>
          <w:color w:val="000000" w:themeColor="text1"/>
          <w:sz w:val="20"/>
          <w:szCs w:val="20"/>
          <w:highlight w:val="none"/>
          <w14:textFill>
            <w14:solidFill>
              <w14:schemeClr w14:val="tx1"/>
            </w14:solidFill>
          </w14:textFill>
        </w:rPr>
        <w:t>Acupuncture Therapy: Acupuncture unblocks meridians, regulates qi and blood circulation, connects internal organs, and restores yin-yang balance. It is a safe, effective, and convenient treatment widely used clinically for Parkinson's disease.</w:t>
      </w:r>
    </w:p>
    <w:p w14:paraId="6D7F7195">
      <w:pPr>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③</w:t>
      </w:r>
      <w:r>
        <w:rPr>
          <w:rFonts w:ascii="Times New Roman" w:hAnsi="Times New Roman" w:cs="Times New Roman"/>
          <w:color w:val="000000" w:themeColor="text1"/>
          <w:sz w:val="20"/>
          <w:szCs w:val="20"/>
          <w:highlight w:val="none"/>
          <w14:textFill>
            <w14:solidFill>
              <w14:schemeClr w14:val="tx1"/>
            </w14:solidFill>
          </w14:textFill>
        </w:rPr>
        <w:t>Surgical Interventions: Botulinum toxin injections, Deep Brain Stimulation (DBS), and Repetitive Transcranial Magnetic Stimulation (rTMS).</w:t>
      </w:r>
    </w:p>
    <w:p w14:paraId="4D3541C9">
      <w:pPr>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④Exercise and Rehabilitation Therapy: Speech and swallowing function training, gait training, postural balance exercises, as well as Tai Chi, yoga, dance, hydrotherapy, and meditation can help improve both motor and non-motor symptoms in Parkinson's patients.</w:t>
      </w:r>
      <w:r>
        <w:rPr>
          <w:rFonts w:ascii="Times New Roman" w:hAnsi="Times New Roman" w:cs="Times New Roman"/>
          <w:color w:val="000000" w:themeColor="text1"/>
          <w:sz w:val="20"/>
          <w:szCs w:val="20"/>
          <w:highlight w:val="none"/>
          <w14:textFill>
            <w14:solidFill>
              <w14:schemeClr w14:val="tx1"/>
            </w14:solidFill>
          </w14:textFill>
        </w:rPr>
        <w:t>.</w:t>
      </w:r>
    </w:p>
    <w:p w14:paraId="0F29A226">
      <w:pPr>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⑤</w:t>
      </w:r>
      <w:r>
        <w:rPr>
          <w:rFonts w:ascii="Times New Roman" w:hAnsi="Times New Roman" w:cs="Times New Roman"/>
          <w:color w:val="000000" w:themeColor="text1"/>
          <w:sz w:val="20"/>
          <w:szCs w:val="20"/>
          <w:highlight w:val="none"/>
          <w14:textFill>
            <w14:solidFill>
              <w14:schemeClr w14:val="tx1"/>
            </w14:solidFill>
          </w14:textFill>
        </w:rPr>
        <w:t>Care and Psychological Support: Providing disease education and psychological counseling to patients and family members builds confidence in treatment and rehabilitation, helps alleviate depression and anxiety, while scientific nursing, nutritional support, and preventing aspiration and falls offer positive adjunctive therapeutic effects.</w:t>
      </w:r>
    </w:p>
    <w:p w14:paraId="4B3E5562">
      <w:pP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w:t>
      </w:r>
      <w:r>
        <w:rPr>
          <w:rFonts w:hint="eastAsia" w:ascii="Times New Roman" w:hAnsi="Times New Roman" w:cs="Times New Roman"/>
          <w:color w:val="000000" w:themeColor="text1"/>
          <w:sz w:val="20"/>
          <w:szCs w:val="20"/>
          <w:highlight w:val="none"/>
          <w14:textFill>
            <w14:solidFill>
              <w14:schemeClr w14:val="tx1"/>
            </w14:solidFill>
          </w14:textFill>
        </w:rPr>
        <w:t>2</w:t>
      </w:r>
      <w:r>
        <w:rPr>
          <w:rFonts w:ascii="Times New Roman" w:hAnsi="Times New Roman" w:cs="Times New Roman"/>
          <w:color w:val="000000" w:themeColor="text1"/>
          <w:sz w:val="20"/>
          <w:szCs w:val="20"/>
          <w:highlight w:val="none"/>
          <w14:textFill>
            <w14:solidFill>
              <w14:schemeClr w14:val="tx1"/>
            </w14:solidFill>
          </w14:textFill>
        </w:rPr>
        <w:t>) Introduction to the Research Methodology</w:t>
      </w:r>
    </w:p>
    <w:p w14:paraId="315E78AE">
      <w:pP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The objective of this study is to investigate the clinical efficacy of acupuncture treatment in patients with Parkinson's disease.</w:t>
      </w:r>
    </w:p>
    <w:p w14:paraId="10486A27">
      <w:pPr>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This research will be conducted at the First Affiliated Hospital of Guangzhou University of Chinese Medicine. If you consent to participate in this clinical study, you will be randomly assigned to one of the following treatment groups</w:t>
      </w:r>
      <w:r>
        <w:rPr>
          <w:rFonts w:ascii="Times New Roman" w:hAnsi="Times New Roman" w:cs="Times New Roman"/>
          <w:color w:val="000000" w:themeColor="text1"/>
          <w:sz w:val="20"/>
          <w:szCs w:val="20"/>
          <w:highlight w:val="none"/>
          <w14:textFill>
            <w14:solidFill>
              <w14:schemeClr w14:val="tx1"/>
            </w14:solidFill>
          </w14:textFill>
        </w:rPr>
        <w:t>:</w:t>
      </w:r>
    </w:p>
    <w:p w14:paraId="451D23D3">
      <w:pP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 xml:space="preserve">Treatment Group: </w:t>
      </w:r>
      <w:r>
        <w:rPr>
          <w:rFonts w:hint="eastAsia" w:ascii="Times New Roman" w:hAnsi="Times New Roman" w:cs="Times New Roman"/>
          <w:color w:val="000000" w:themeColor="text1"/>
          <w:sz w:val="20"/>
          <w:szCs w:val="20"/>
          <w:highlight w:val="none"/>
          <w14:textFill>
            <w14:solidFill>
              <w14:schemeClr w14:val="tx1"/>
            </w14:solidFill>
          </w14:textFill>
        </w:rPr>
        <w:t>Baseline medication + Acupuncture therapy</w:t>
      </w:r>
      <w:r>
        <w:rPr>
          <w:rFonts w:ascii="Times New Roman" w:hAnsi="Times New Roman" w:cs="Times New Roman"/>
          <w:color w:val="000000" w:themeColor="text1"/>
          <w:sz w:val="20"/>
          <w:szCs w:val="20"/>
          <w:highlight w:val="none"/>
          <w14:textFill>
            <w14:solidFill>
              <w14:schemeClr w14:val="tx1"/>
            </w14:solidFill>
          </w14:textFill>
        </w:rPr>
        <w:t xml:space="preserve">; Control group: </w:t>
      </w:r>
      <w:r>
        <w:rPr>
          <w:rFonts w:hint="eastAsia" w:ascii="Times New Roman" w:hAnsi="Times New Roman" w:cs="Times New Roman"/>
          <w:color w:val="000000" w:themeColor="text1"/>
          <w:sz w:val="20"/>
          <w:szCs w:val="20"/>
          <w:highlight w:val="none"/>
          <w14:textFill>
            <w14:solidFill>
              <w14:schemeClr w14:val="tx1"/>
            </w14:solidFill>
          </w14:textFill>
        </w:rPr>
        <w:t>Baseline medication + Sham acupuncture therapy.</w:t>
      </w:r>
      <w:r>
        <w:rPr>
          <w:rFonts w:ascii="Times New Roman" w:hAnsi="Times New Roman" w:cs="Times New Roman"/>
          <w:color w:val="000000" w:themeColor="text1"/>
          <w:sz w:val="20"/>
          <w:szCs w:val="20"/>
          <w:highlight w:val="none"/>
          <w14:textFill>
            <w14:solidFill>
              <w14:schemeClr w14:val="tx1"/>
            </w14:solidFill>
          </w14:textFill>
        </w:rPr>
        <w:t xml:space="preserve"> (after the observation period, participants will receive </w:t>
      </w:r>
      <w:r>
        <w:rPr>
          <w:rFonts w:hint="eastAsia" w:ascii="Times New Roman" w:hAnsi="Times New Roman" w:cs="Times New Roman"/>
          <w:color w:val="000000" w:themeColor="text1"/>
          <w:sz w:val="20"/>
          <w:szCs w:val="20"/>
          <w:highlight w:val="none"/>
          <w:lang w:val="en-US" w:eastAsia="zh-CN"/>
          <w14:textFill>
            <w14:solidFill>
              <w14:schemeClr w14:val="tx1"/>
            </w14:solidFill>
          </w14:textFill>
        </w:rPr>
        <w:t>8</w:t>
      </w:r>
      <w:r>
        <w:rPr>
          <w:rFonts w:ascii="Times New Roman" w:hAnsi="Times New Roman" w:cs="Times New Roman"/>
          <w:color w:val="000000" w:themeColor="text1"/>
          <w:sz w:val="20"/>
          <w:szCs w:val="20"/>
          <w:highlight w:val="none"/>
          <w14:textFill>
            <w14:solidFill>
              <w14:schemeClr w14:val="tx1"/>
            </w14:solidFill>
          </w14:textFill>
        </w:rPr>
        <w:t xml:space="preserve"> complimentary </w:t>
      </w:r>
      <w:r>
        <w:rPr>
          <w:rFonts w:hint="eastAsia" w:ascii="Times New Roman" w:hAnsi="Times New Roman" w:cs="Times New Roman"/>
          <w:color w:val="000000" w:themeColor="text1"/>
          <w:sz w:val="20"/>
          <w:szCs w:val="20"/>
          <w:highlight w:val="none"/>
          <w14:textFill>
            <w14:solidFill>
              <w14:schemeClr w14:val="tx1"/>
            </w14:solidFill>
          </w14:textFill>
        </w:rPr>
        <w:t>Acupuncture</w:t>
      </w:r>
      <w:r>
        <w:rPr>
          <w:rFonts w:ascii="Times New Roman" w:hAnsi="Times New Roman" w:cs="Times New Roman"/>
          <w:color w:val="000000" w:themeColor="text1"/>
          <w:sz w:val="20"/>
          <w:szCs w:val="20"/>
          <w:highlight w:val="none"/>
          <w14:textFill>
            <w14:solidFill>
              <w14:schemeClr w14:val="tx1"/>
            </w14:solidFill>
          </w14:textFill>
        </w:rPr>
        <w:t xml:space="preserve"> therapy sessions).</w:t>
      </w:r>
    </w:p>
    <w:p w14:paraId="09F41E56">
      <w:pP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The lead institution for this study is the First Affiliated Hospital of Guangzhou University of Chinese Medicine, which has obtained approval from its Ethics Committee. The Ethics Committee has reviewed and confirmed that this study adheres to the principles of the Declaration of Helsinki and complies with medical ethics.</w:t>
      </w:r>
    </w:p>
    <w:p w14:paraId="753C840F">
      <w:pPr>
        <w:rPr>
          <w:rFonts w:ascii="Times New Roman" w:hAnsi="Times New Roman" w:cs="Times New Roman"/>
          <w:color w:val="000000" w:themeColor="text1"/>
          <w:sz w:val="20"/>
          <w:szCs w:val="20"/>
          <w:highlight w:val="none"/>
          <w14:textFill>
            <w14:solidFill>
              <w14:schemeClr w14:val="tx1"/>
            </w14:solidFill>
          </w14:textFill>
        </w:rPr>
      </w:pPr>
    </w:p>
    <w:p w14:paraId="2DA323D8">
      <w:pPr>
        <w:rPr>
          <w:rFonts w:ascii="Times New Roman" w:hAnsi="Times New Roman" w:cs="Times New Roman"/>
          <w:b/>
          <w:bCs/>
          <w:color w:val="000000" w:themeColor="text1"/>
          <w:sz w:val="20"/>
          <w:szCs w:val="20"/>
          <w:highlight w:val="none"/>
          <w14:textFill>
            <w14:solidFill>
              <w14:schemeClr w14:val="tx1"/>
            </w14:solidFill>
          </w14:textFill>
        </w:rPr>
      </w:pPr>
      <w:r>
        <w:rPr>
          <w:rFonts w:ascii="Times New Roman" w:hAnsi="Times New Roman" w:cs="Times New Roman"/>
          <w:b/>
          <w:bCs/>
          <w:color w:val="000000" w:themeColor="text1"/>
          <w:sz w:val="20"/>
          <w:szCs w:val="20"/>
          <w:highlight w:val="none"/>
          <w14:textFill>
            <w14:solidFill>
              <w14:schemeClr w14:val="tx1"/>
            </w14:solidFill>
          </w14:textFill>
        </w:rPr>
        <w:t>2. Is Participation in This Study Voluntary?</w:t>
      </w:r>
    </w:p>
    <w:p w14:paraId="66A2DAA0">
      <w:pP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Participation in this study is voluntary. You have the right to decide whether to participate, and you do not need to provide any reason for declining. Refusing to participate will not result in any discrimination or retaliation. It will not affect your relationship with your doctor or your access to medical care. You will continue to receive the same medical treatment from your doctor.</w:t>
      </w:r>
    </w:p>
    <w:p w14:paraId="10AA1F11">
      <w:pPr>
        <w:rPr>
          <w:rFonts w:ascii="Times New Roman" w:hAnsi="Times New Roman" w:cs="Times New Roman"/>
          <w:color w:val="000000" w:themeColor="text1"/>
          <w:sz w:val="20"/>
          <w:szCs w:val="20"/>
          <w:highlight w:val="none"/>
          <w14:textFill>
            <w14:solidFill>
              <w14:schemeClr w14:val="tx1"/>
            </w14:solidFill>
          </w14:textFill>
        </w:rPr>
      </w:pPr>
    </w:p>
    <w:p w14:paraId="69769B13">
      <w:pPr>
        <w:rPr>
          <w:rFonts w:ascii="Times New Roman" w:hAnsi="Times New Roman" w:cs="Times New Roman"/>
          <w:b/>
          <w:bCs/>
          <w:color w:val="000000" w:themeColor="text1"/>
          <w:sz w:val="20"/>
          <w:szCs w:val="20"/>
          <w:highlight w:val="none"/>
          <w14:textFill>
            <w14:solidFill>
              <w14:schemeClr w14:val="tx1"/>
            </w14:solidFill>
          </w14:textFill>
        </w:rPr>
      </w:pPr>
      <w:r>
        <w:rPr>
          <w:rFonts w:ascii="Times New Roman" w:hAnsi="Times New Roman" w:cs="Times New Roman"/>
          <w:b/>
          <w:bCs/>
          <w:color w:val="000000" w:themeColor="text1"/>
          <w:sz w:val="20"/>
          <w:szCs w:val="20"/>
          <w:highlight w:val="none"/>
          <w14:textFill>
            <w14:solidFill>
              <w14:schemeClr w14:val="tx1"/>
            </w14:solidFill>
          </w14:textFill>
        </w:rPr>
        <w:t>3. Who Should Not Participate in This Study</w:t>
      </w:r>
    </w:p>
    <w:p w14:paraId="0628282F">
      <w:pP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Participation is not recommended if you have any of the following conditions:</w:t>
      </w:r>
    </w:p>
    <w:p w14:paraId="09943125">
      <w:pPr>
        <w:rPr>
          <w:rFonts w:hint="eastAsia" w:ascii="Times New Roman" w:hAnsi="Times New Roman" w:cs="Times New Roman" w:eastAsiaTheme="minorEastAsia"/>
          <w:color w:val="000000" w:themeColor="text1"/>
          <w:sz w:val="20"/>
          <w:szCs w:val="20"/>
          <w:highlight w:val="none"/>
          <w:lang w:eastAsia="zh-CN"/>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(1) Parkinson's syndrome or Parkinson's plus syndrome caused by cerebrovascular disease, poisoning, or other etiologies (e.g., progressive supranuclear palsy, multiple system atrophy, dementia with Lewy bodies, corticobasal degeneration);</w:t>
      </w:r>
    </w:p>
    <w:p w14:paraId="622D8290">
      <w:pPr>
        <w:rPr>
          <w:rFonts w:hint="eastAsia" w:ascii="Times New Roman" w:hAnsi="Times New Roman" w:cs="Times New Roman" w:eastAsiaTheme="minorEastAsia"/>
          <w:color w:val="000000" w:themeColor="text1"/>
          <w:sz w:val="20"/>
          <w:szCs w:val="20"/>
          <w:highlight w:val="none"/>
          <w:lang w:eastAsia="zh-CN"/>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(2) Significant underlying medical conditions such as severe liver/kidney disease, hematological disorders, malignancies, endocrine disorders, or chronic pain;</w:t>
      </w:r>
    </w:p>
    <w:p w14:paraId="3EB87730">
      <w:pPr>
        <w:rPr>
          <w:rFonts w:hint="eastAsia" w:ascii="Times New Roman" w:hAnsi="Times New Roman" w:cs="Times New Roman" w:eastAsiaTheme="minorEastAsia"/>
          <w:color w:val="000000" w:themeColor="text1"/>
          <w:sz w:val="20"/>
          <w:szCs w:val="20"/>
          <w:highlight w:val="none"/>
          <w:lang w:eastAsia="zh-CN"/>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(3) Participation in other drug or acupuncture clinical trials concurrently;</w:t>
      </w:r>
    </w:p>
    <w:p w14:paraId="4BDDEDB5">
      <w:pPr>
        <w:rPr>
          <w:rFonts w:hint="eastAsia" w:ascii="Times New Roman" w:hAnsi="Times New Roman" w:cs="Times New Roman" w:eastAsiaTheme="minorEastAsia"/>
          <w:color w:val="000000" w:themeColor="text1"/>
          <w:sz w:val="20"/>
          <w:szCs w:val="20"/>
          <w:highlight w:val="none"/>
          <w:lang w:eastAsia="zh-CN"/>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(4) Presence of psychiatric disorders;</w:t>
      </w:r>
    </w:p>
    <w:p w14:paraId="4C06DBD8">
      <w:pPr>
        <w:rPr>
          <w:rFonts w:hint="eastAsia" w:ascii="Times New Roman" w:hAnsi="Times New Roman" w:cs="Times New Roman" w:eastAsiaTheme="minorEastAsia"/>
          <w:color w:val="000000" w:themeColor="text1"/>
          <w:sz w:val="20"/>
          <w:szCs w:val="20"/>
          <w:highlight w:val="none"/>
          <w:lang w:eastAsia="zh-CN"/>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(5) Deafness or any other condition that would significantly impede communication;</w:t>
      </w:r>
    </w:p>
    <w:p w14:paraId="4BDB6731">
      <w:pPr>
        <w:rPr>
          <w:rFonts w:hint="eastAsia" w:ascii="Times New Roman" w:hAnsi="Times New Roman" w:cs="Times New Roman" w:eastAsiaTheme="minorEastAsia"/>
          <w:color w:val="000000" w:themeColor="text1"/>
          <w:sz w:val="20"/>
          <w:szCs w:val="20"/>
          <w:highlight w:val="none"/>
          <w:lang w:eastAsia="zh-CN"/>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(6) History of alcohol abuse or drug abuse;</w:t>
      </w:r>
    </w:p>
    <w:p w14:paraId="29D86C55">
      <w:pPr>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(7) Pregnancy or planned pregnancy.</w:t>
      </w:r>
      <w:r>
        <w:rPr>
          <w:rFonts w:ascii="Times New Roman" w:hAnsi="Times New Roman" w:cs="Times New Roman"/>
          <w:color w:val="000000" w:themeColor="text1"/>
          <w:sz w:val="20"/>
          <w:szCs w:val="20"/>
          <w:highlight w:val="none"/>
          <w14:textFill>
            <w14:solidFill>
              <w14:schemeClr w14:val="tx1"/>
            </w14:solidFill>
          </w14:textFill>
        </w:rPr>
        <w:t>.</w:t>
      </w:r>
    </w:p>
    <w:p w14:paraId="6EC0C11B">
      <w:pPr>
        <w:rPr>
          <w:rFonts w:ascii="Times New Roman" w:hAnsi="Times New Roman" w:cs="Times New Roman"/>
          <w:b/>
          <w:bCs/>
          <w:color w:val="000000" w:themeColor="text1"/>
          <w:sz w:val="20"/>
          <w:szCs w:val="20"/>
          <w:highlight w:val="none"/>
          <w14:textFill>
            <w14:solidFill>
              <w14:schemeClr w14:val="tx1"/>
            </w14:solidFill>
          </w14:textFill>
        </w:rPr>
      </w:pPr>
    </w:p>
    <w:p w14:paraId="73BD2CE8">
      <w:pPr>
        <w:rPr>
          <w:rFonts w:ascii="Times New Roman" w:hAnsi="Times New Roman" w:cs="Times New Roman"/>
          <w:b/>
          <w:bCs/>
          <w:color w:val="000000" w:themeColor="text1"/>
          <w:sz w:val="20"/>
          <w:szCs w:val="20"/>
          <w:highlight w:val="none"/>
          <w14:textFill>
            <w14:solidFill>
              <w14:schemeClr w14:val="tx1"/>
            </w14:solidFill>
          </w14:textFill>
        </w:rPr>
      </w:pPr>
      <w:r>
        <w:rPr>
          <w:rFonts w:ascii="Times New Roman" w:hAnsi="Times New Roman" w:cs="Times New Roman"/>
          <w:b/>
          <w:bCs/>
          <w:color w:val="000000" w:themeColor="text1"/>
          <w:sz w:val="20"/>
          <w:szCs w:val="20"/>
          <w:highlight w:val="none"/>
          <w14:textFill>
            <w14:solidFill>
              <w14:schemeClr w14:val="tx1"/>
            </w14:solidFill>
          </w14:textFill>
        </w:rPr>
        <w:t>4.What Will Be Required if You Participate in the Study?</w:t>
      </w:r>
    </w:p>
    <w:p w14:paraId="3B70A31D">
      <w:pP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Before being selected for the study, you will undergo the following examinations to determine your eligibility:</w:t>
      </w:r>
    </w:p>
    <w:p w14:paraId="6B2E597D">
      <w:pP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A physician will inquire about and document your medical history, conduct a comprehensive physical examination, and perform relevant rehabilitation assessments.</w:t>
      </w:r>
    </w:p>
    <w:p w14:paraId="6C2BF4F6">
      <w:pP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You may be eligible for this study if you meet all of the following criteria:</w:t>
      </w:r>
    </w:p>
    <w:p w14:paraId="6D617893">
      <w:pP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(1) Meet the Western medical diagnostic criteria for Parkinson's disease</w:t>
      </w:r>
    </w:p>
    <w:p w14:paraId="70C3E82E">
      <w:pPr>
        <w:rPr>
          <w:rFonts w:hint="eastAsia"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(2) Aged between 25 and 80 years;</w:t>
      </w:r>
    </w:p>
    <w:p w14:paraId="028DBCEF">
      <w:pPr>
        <w:rPr>
          <w:rFonts w:hint="eastAsia"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(3) Hoehn &amp; Yahr stage I-IV;</w:t>
      </w:r>
    </w:p>
    <w:p w14:paraId="2623C107">
      <w:pPr>
        <w:rPr>
          <w:rFonts w:hint="eastAsia"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(4) Alert consciousness, stable vital signs, no significant cognitive impairment, and no significant hearing impairment;</w:t>
      </w:r>
    </w:p>
    <w:p w14:paraId="120E0675">
      <w:pPr>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(5) Signed written informed consent.</w:t>
      </w:r>
    </w:p>
    <w:p w14:paraId="3F1A6C87">
      <w:pPr>
        <w:rPr>
          <w:rFonts w:ascii="Times New Roman" w:hAnsi="Times New Roman" w:cs="Times New Roman"/>
          <w:color w:val="000000" w:themeColor="text1"/>
          <w:sz w:val="20"/>
          <w:szCs w:val="20"/>
          <w:highlight w:val="none"/>
          <w14:textFill>
            <w14:solidFill>
              <w14:schemeClr w14:val="tx1"/>
            </w14:solidFill>
          </w14:textFill>
        </w:rPr>
      </w:pPr>
    </w:p>
    <w:p w14:paraId="73C24F75">
      <w:pPr>
        <w:rPr>
          <w:rFonts w:ascii="Times New Roman" w:hAnsi="Times New Roman" w:cs="Times New Roman"/>
          <w:b/>
          <w:bCs/>
          <w:color w:val="000000" w:themeColor="text1"/>
          <w:sz w:val="20"/>
          <w:szCs w:val="20"/>
          <w:highlight w:val="none"/>
          <w14:textFill>
            <w14:solidFill>
              <w14:schemeClr w14:val="tx1"/>
            </w14:solidFill>
          </w14:textFill>
        </w:rPr>
      </w:pPr>
      <w:r>
        <w:rPr>
          <w:rFonts w:ascii="Times New Roman" w:hAnsi="Times New Roman" w:cs="Times New Roman"/>
          <w:b/>
          <w:bCs/>
          <w:color w:val="000000" w:themeColor="text1"/>
          <w:sz w:val="20"/>
          <w:szCs w:val="20"/>
          <w:highlight w:val="none"/>
          <w14:textFill>
            <w14:solidFill>
              <w14:schemeClr w14:val="tx1"/>
            </w14:solidFill>
          </w14:textFill>
        </w:rPr>
        <w:t>5. If you meet the above eligibility criteria, the study will proceed as follows:</w:t>
      </w:r>
    </w:p>
    <w:p w14:paraId="56755591">
      <w:pPr>
        <w:rPr>
          <w:rFonts w:hint="eastAsia"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At the start of the study, you will be randomly assigned to receive acupuncture, sham acupuncture, or no treatment. Patients participating in this study have a 1 in 3 chance of being assigned to one of these three different groups. Neither you nor your doctor will know or be able to choose the treatment method in advance. The observation period will last for 24 weeks.</w:t>
      </w:r>
    </w:p>
    <w:p w14:paraId="3773F7ED">
      <w:pPr>
        <w:rPr>
          <w:rFonts w:hint="eastAsia"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All enrolled patients will continue their baseline oral medication regimen.</w:t>
      </w:r>
    </w:p>
    <w:p w14:paraId="52FC8E5D">
      <w:pPr>
        <w:rPr>
          <w:rFonts w:hint="eastAsia"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Treatment Group: Baseline medication + Acupuncture therapy. Treatment will be administered using disposable sterile acupoint needles (Chongqing Medical Device Approval: 20202200072) over a 4-week period, with 2 sessions per week totaling 8 sessions.</w:t>
      </w:r>
    </w:p>
    <w:p w14:paraId="1660391C">
      <w:pPr>
        <w:rPr>
          <w:rFonts w:hint="eastAsia"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Sham Acupuncture Group: Baseline medication + Sham acupuncture therapy. This simulates the sensation of acupuncture without actual skin penetration. Treatment cycle: 4 weeks, with 2 sessions per week totaling 8 sessions. After the 24-week observation period concludes, 8 free acupuncture sessions will be provided, following the same treatment protocol as the acupuncture group.</w:t>
      </w:r>
    </w:p>
    <w:p w14:paraId="3CAFF393">
      <w:pPr>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Assessments at Weeks 4, 8, 12, and 24: You should visit the hospital for follow-up. The physician will re-collect your medical history and conduct relevant rehabilitation assessments. Please truthfully report any changes in your condition to the physician. The physician will document your condition changes, perform a physical examination, and conduct relevant laboratory tests. Additionally, we will collect peripheral venous blood samples before treatment and at weeks 4 and 24 to assess your response to acupuncture therapy and your health status. This will not affect your clinical diagnosis and treatment process.</w:t>
      </w:r>
      <w:r>
        <w:rPr>
          <w:rFonts w:ascii="Times New Roman" w:hAnsi="Times New Roman" w:cs="Times New Roman"/>
          <w:color w:val="000000" w:themeColor="text1"/>
          <w:sz w:val="20"/>
          <w:szCs w:val="20"/>
          <w:highlight w:val="none"/>
          <w14:textFill>
            <w14:solidFill>
              <w14:schemeClr w14:val="tx1"/>
            </w14:solidFill>
          </w14:textFill>
        </w:rPr>
        <w:t>.</w:t>
      </w:r>
    </w:p>
    <w:p w14:paraId="45202BD7">
      <w:pPr>
        <w:rPr>
          <w:rFonts w:ascii="Times New Roman" w:hAnsi="Times New Roman" w:cs="Times New Roman"/>
          <w:color w:val="000000" w:themeColor="text1"/>
          <w:sz w:val="20"/>
          <w:szCs w:val="20"/>
          <w:highlight w:val="none"/>
          <w14:textFill>
            <w14:solidFill>
              <w14:schemeClr w14:val="tx1"/>
            </w14:solidFill>
          </w14:textFill>
        </w:rPr>
      </w:pPr>
    </w:p>
    <w:p w14:paraId="7E3E9DFC">
      <w:pPr>
        <w:rPr>
          <w:rFonts w:ascii="Times New Roman" w:hAnsi="Times New Roman" w:cs="Times New Roman"/>
          <w:b/>
          <w:bCs/>
          <w:color w:val="000000" w:themeColor="text1"/>
          <w:sz w:val="20"/>
          <w:szCs w:val="20"/>
          <w:highlight w:val="none"/>
          <w14:textFill>
            <w14:solidFill>
              <w14:schemeClr w14:val="tx1"/>
            </w14:solidFill>
          </w14:textFill>
        </w:rPr>
      </w:pPr>
      <w:r>
        <w:rPr>
          <w:rFonts w:ascii="Times New Roman" w:hAnsi="Times New Roman" w:cs="Times New Roman"/>
          <w:b/>
          <w:bCs/>
          <w:color w:val="000000" w:themeColor="text1"/>
          <w:sz w:val="20"/>
          <w:szCs w:val="20"/>
          <w:highlight w:val="none"/>
          <w14:textFill>
            <w14:solidFill>
              <w14:schemeClr w14:val="tx1"/>
            </w14:solidFill>
          </w14:textFill>
        </w:rPr>
        <w:t>6. Potential Benefits of Participating in the Study</w:t>
      </w:r>
    </w:p>
    <w:p w14:paraId="5A9BCB73">
      <w:pPr>
        <w:rPr>
          <w:rFonts w:hint="eastAsia"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You and society may benefit from this study, though direct benefits are not guaranteed. Such benefits include the potential improvement of your condition, as well as the study's contribution to developing new treatments and diagnostic aids. It may further clarify the clinical efficacy of acupuncture therapy in Parkinson's patients, potentially benefiting others with similar conditions.</w:t>
      </w:r>
    </w:p>
    <w:p w14:paraId="00A77E9F">
      <w:pPr>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You and society may benefit from this research. Such benefits include the potential improvement of your condition and the possibility that this study may contribute to treatments beneficial for patients with conditions similar to yours.</w:t>
      </w:r>
    </w:p>
    <w:p w14:paraId="34B15CE6">
      <w:pPr>
        <w:rPr>
          <w:rFonts w:ascii="Times New Roman" w:hAnsi="Times New Roman" w:cs="Times New Roman"/>
          <w:color w:val="000000" w:themeColor="text1"/>
          <w:sz w:val="20"/>
          <w:szCs w:val="20"/>
          <w:highlight w:val="none"/>
          <w14:textFill>
            <w14:solidFill>
              <w14:schemeClr w14:val="tx1"/>
            </w14:solidFill>
          </w14:textFill>
        </w:rPr>
      </w:pPr>
    </w:p>
    <w:p w14:paraId="1345B3CF">
      <w:pPr>
        <w:rPr>
          <w:rFonts w:ascii="Times New Roman" w:hAnsi="Times New Roman" w:cs="Times New Roman"/>
          <w:b/>
          <w:bCs/>
          <w:color w:val="000000" w:themeColor="text1"/>
          <w:sz w:val="20"/>
          <w:szCs w:val="20"/>
          <w:highlight w:val="none"/>
          <w14:textFill>
            <w14:solidFill>
              <w14:schemeClr w14:val="tx1"/>
            </w14:solidFill>
          </w14:textFill>
        </w:rPr>
      </w:pPr>
      <w:r>
        <w:rPr>
          <w:rFonts w:ascii="Times New Roman" w:hAnsi="Times New Roman" w:cs="Times New Roman"/>
          <w:b/>
          <w:bCs/>
          <w:color w:val="000000" w:themeColor="text1"/>
          <w:sz w:val="20"/>
          <w:szCs w:val="20"/>
          <w:highlight w:val="none"/>
          <w14:textFill>
            <w14:solidFill>
              <w14:schemeClr w14:val="tx1"/>
            </w14:solidFill>
          </w14:textFill>
        </w:rPr>
        <w:t>7. Potential Adverse Reactions, Risks, Discomfort, and Inconvenience Associated with Study Participation</w:t>
      </w:r>
    </w:p>
    <w:p w14:paraId="740FB96A">
      <w:pP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All treatments carry the potential for side effects. The acupuncture method used in this study may cause needle syncope, needle retention, or localized hematoma in some patients. Overall, adverse reactions are relatively uncommon. Should you experience any discomfort during the study, or if your condition changes unexpectedly—such as worsening tremors—or encounter any unforeseen circumstances, whether related to the treatment or not, promptly notify your doctor. He/she will assess the situation and provide medical care, making every effort to prevent and treat any harm that may arise from this study.</w:t>
      </w:r>
    </w:p>
    <w:p w14:paraId="1A491C52">
      <w:pP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Furthermore, any treatment may prove ineffective, and your condition may continue to progress due to treatment failure or the presence of other concurrent illnesses. This represents a treatment risk faced by all patients seeking medical care, existing even without participation in this clinical study. During the study, if the doctor determines that the treatment measures employed in this study are ineffective, the study will be terminated, and alternative potentially effective treatment measures will be initiated.</w:t>
      </w:r>
    </w:p>
    <w:p w14:paraId="01D03AF4">
      <w:pP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During the study period, you will be required to attend follow-up appointments at the hospital on schedule and undergo certain physical and laboratory tests. These may cause inconvenience or disruption to your daily life.</w:t>
      </w:r>
    </w:p>
    <w:p w14:paraId="2C7248DB">
      <w:pPr>
        <w:rPr>
          <w:rFonts w:ascii="Times New Roman" w:hAnsi="Times New Roman" w:cs="Times New Roman"/>
          <w:color w:val="000000" w:themeColor="text1"/>
          <w:sz w:val="20"/>
          <w:szCs w:val="20"/>
          <w:highlight w:val="none"/>
          <w14:textFill>
            <w14:solidFill>
              <w14:schemeClr w14:val="tx1"/>
            </w14:solidFill>
          </w14:textFill>
        </w:rPr>
      </w:pPr>
    </w:p>
    <w:p w14:paraId="3761C577">
      <w:pPr>
        <w:rPr>
          <w:rFonts w:ascii="Times New Roman" w:hAnsi="Times New Roman" w:cs="Times New Roman"/>
          <w:b/>
          <w:bCs/>
          <w:color w:val="000000" w:themeColor="text1"/>
          <w:sz w:val="20"/>
          <w:szCs w:val="20"/>
          <w:highlight w:val="none"/>
          <w14:textFill>
            <w14:solidFill>
              <w14:schemeClr w14:val="tx1"/>
            </w14:solidFill>
          </w14:textFill>
        </w:rPr>
      </w:pPr>
      <w:r>
        <w:rPr>
          <w:rFonts w:ascii="Times New Roman" w:hAnsi="Times New Roman" w:cs="Times New Roman"/>
          <w:b/>
          <w:bCs/>
          <w:color w:val="000000" w:themeColor="text1"/>
          <w:sz w:val="20"/>
          <w:szCs w:val="20"/>
          <w:highlight w:val="none"/>
          <w14:textFill>
            <w14:solidFill>
              <w14:schemeClr w14:val="tx1"/>
            </w14:solidFill>
          </w14:textFill>
        </w:rPr>
        <w:t>8. Costs and Compensation</w:t>
      </w:r>
    </w:p>
    <w:p w14:paraId="3CE130C9">
      <w:pP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The research team will cover all study-related expenses incurred during your participation, including: complete blood count, urinalysis, liver function tests, kidney function tests, exercise testing fees, imaging examination fees, and acupuncture treatment fees. Rehabilitation training and routine medication costs will be charged according to standard medical practices.</w:t>
      </w:r>
    </w:p>
    <w:p w14:paraId="26195E98">
      <w:pP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If you have other medical conditions unrelated to this study, such as hypertension, diabetes, or coronary heart disease, the costs for their treatment and examinations (including medications and tests) will not be covered. Similarly, costs incurred if you switch to alternative treatments due to study discontinuation will not be covered. Should any study-related harm occur, the research team will cover the costs of treatment for such harm and provide appropriate financial compensation in accordance with national laws and regulations.</w:t>
      </w:r>
    </w:p>
    <w:p w14:paraId="364EC350">
      <w:pPr>
        <w:rPr>
          <w:rFonts w:ascii="Times New Roman" w:hAnsi="Times New Roman" w:cs="Times New Roman"/>
          <w:color w:val="000000" w:themeColor="text1"/>
          <w:sz w:val="20"/>
          <w:szCs w:val="20"/>
          <w:highlight w:val="none"/>
          <w14:textFill>
            <w14:solidFill>
              <w14:schemeClr w14:val="tx1"/>
            </w14:solidFill>
          </w14:textFill>
        </w:rPr>
      </w:pPr>
    </w:p>
    <w:p w14:paraId="06A7A297">
      <w:pPr>
        <w:rPr>
          <w:rFonts w:ascii="Times New Roman" w:hAnsi="Times New Roman" w:cs="Times New Roman"/>
          <w:b/>
          <w:bCs/>
          <w:color w:val="000000" w:themeColor="text1"/>
          <w:sz w:val="20"/>
          <w:szCs w:val="20"/>
          <w:highlight w:val="none"/>
          <w14:textFill>
            <w14:solidFill>
              <w14:schemeClr w14:val="tx1"/>
            </w14:solidFill>
          </w14:textFill>
        </w:rPr>
      </w:pPr>
      <w:r>
        <w:rPr>
          <w:rFonts w:ascii="Times New Roman" w:hAnsi="Times New Roman" w:cs="Times New Roman"/>
          <w:b/>
          <w:bCs/>
          <w:color w:val="000000" w:themeColor="text1"/>
          <w:sz w:val="20"/>
          <w:szCs w:val="20"/>
          <w:highlight w:val="none"/>
          <w14:textFill>
            <w14:solidFill>
              <w14:schemeClr w14:val="tx1"/>
            </w14:solidFill>
          </w14:textFill>
        </w:rPr>
        <w:t>9. How is your privacy protected?</w:t>
      </w:r>
    </w:p>
    <w:p w14:paraId="68153C1E">
      <w:pP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Your medical records (research case report forms/CRFs, laboratory test reports, etc.) will be fully preserved at the hospital in accordance with regulations. Physicians will document rehabilitation assessment results on your clinical case observation forms. All personal information related to your participation in this study will remain confidential. Any public reports on the study results will not disclose your personal identity. Third-party testing partners will sign confidentiality agreements with us. Your medical records may be accessed by higher-level health/drug/research regulatory authorities, the hospital ethics committee, investigators, and sponsor representatives to verify clinical research procedures and/or data. By signing this informed consent form, you agree to the use of your personal and medical information for the purposes described above. We will strictly protect the privacy of your personal medical data within the scope permitted by existing laws.</w:t>
      </w:r>
    </w:p>
    <w:p w14:paraId="11B02CC2">
      <w:pPr>
        <w:rPr>
          <w:rFonts w:ascii="Times New Roman" w:hAnsi="Times New Roman" w:cs="Times New Roman"/>
          <w:color w:val="000000" w:themeColor="text1"/>
          <w:sz w:val="20"/>
          <w:szCs w:val="20"/>
          <w:highlight w:val="none"/>
          <w14:textFill>
            <w14:solidFill>
              <w14:schemeClr w14:val="tx1"/>
            </w14:solidFill>
          </w14:textFill>
        </w:rPr>
      </w:pPr>
    </w:p>
    <w:p w14:paraId="2EB1CA7F">
      <w:pPr>
        <w:rPr>
          <w:rFonts w:ascii="Times New Roman" w:hAnsi="Times New Roman" w:cs="Times New Roman"/>
          <w:b/>
          <w:bCs/>
          <w:color w:val="000000" w:themeColor="text1"/>
          <w:sz w:val="20"/>
          <w:szCs w:val="20"/>
          <w:highlight w:val="none"/>
          <w14:textFill>
            <w14:solidFill>
              <w14:schemeClr w14:val="tx1"/>
            </w14:solidFill>
          </w14:textFill>
        </w:rPr>
      </w:pPr>
      <w:r>
        <w:rPr>
          <w:rFonts w:ascii="Times New Roman" w:hAnsi="Times New Roman" w:cs="Times New Roman"/>
          <w:b/>
          <w:bCs/>
          <w:color w:val="000000" w:themeColor="text1"/>
          <w:sz w:val="20"/>
          <w:szCs w:val="20"/>
          <w:highlight w:val="none"/>
          <w14:textFill>
            <w14:solidFill>
              <w14:schemeClr w14:val="tx1"/>
            </w14:solidFill>
          </w14:textFill>
        </w:rPr>
        <w:t>10. Important Information</w:t>
      </w:r>
    </w:p>
    <w:p w14:paraId="75B23091">
      <w:pPr>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(1)</w:t>
      </w:r>
      <w:r>
        <w:rPr>
          <w:rFonts w:ascii="Times New Roman" w:hAnsi="Times New Roman" w:cs="Times New Roman"/>
          <w:color w:val="000000" w:themeColor="text1"/>
          <w:sz w:val="20"/>
          <w:szCs w:val="20"/>
          <w:highlight w:val="none"/>
          <w14:textFill>
            <w14:solidFill>
              <w14:schemeClr w14:val="tx1"/>
            </w14:solidFill>
          </w14:textFill>
        </w:rPr>
        <w:t>Additional Matters Requiring Your Cooperation</w:t>
      </w:r>
    </w:p>
    <w:p w14:paraId="4FFE20FD">
      <w:pP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To ensure the reliability of the clinical study, we ask that you adhere to the following during the research process:</w:t>
      </w:r>
    </w:p>
    <w:p w14:paraId="63445C8E">
      <w:pPr>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①</w:t>
      </w:r>
      <w:r>
        <w:rPr>
          <w:rFonts w:ascii="Times New Roman" w:hAnsi="Times New Roman" w:cs="Times New Roman"/>
          <w:color w:val="000000" w:themeColor="text1"/>
          <w:sz w:val="20"/>
          <w:szCs w:val="20"/>
          <w:highlight w:val="none"/>
          <w14:textFill>
            <w14:solidFill>
              <w14:schemeClr w14:val="tx1"/>
            </w14:solidFill>
          </w14:textFill>
        </w:rPr>
        <w:t>Take medications as directed by your physician and promptly and objectively record each dose in the Medication Record Card. If you need to take any medications or receive other treatments outside of this study during the research period, please consult your study physician first.</w:t>
      </w:r>
    </w:p>
    <w:p w14:paraId="509F9AD6">
      <w:pPr>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②</w:t>
      </w:r>
      <w:r>
        <w:rPr>
          <w:rFonts w:ascii="Times New Roman" w:hAnsi="Times New Roman" w:cs="Times New Roman"/>
          <w:color w:val="000000" w:themeColor="text1"/>
          <w:sz w:val="20"/>
          <w:szCs w:val="20"/>
          <w:highlight w:val="none"/>
          <w14:textFill>
            <w14:solidFill>
              <w14:schemeClr w14:val="tx1"/>
            </w14:solidFill>
          </w14:textFill>
        </w:rPr>
        <w:t xml:space="preserve">Report any discomfort to your attending physician immediately during the study. </w:t>
      </w:r>
      <w:r>
        <w:rPr>
          <w:rFonts w:hint="eastAsia" w:ascii="Times New Roman" w:hAnsi="Times New Roman" w:cs="Times New Roman"/>
          <w:color w:val="000000" w:themeColor="text1"/>
          <w:sz w:val="20"/>
          <w:szCs w:val="20"/>
          <w:highlight w:val="none"/>
          <w14:textFill>
            <w14:solidFill>
              <w14:schemeClr w14:val="tx1"/>
            </w14:solidFill>
          </w14:textFill>
        </w:rPr>
        <w:t>③</w:t>
      </w:r>
      <w:r>
        <w:rPr>
          <w:rFonts w:ascii="Times New Roman" w:hAnsi="Times New Roman" w:cs="Times New Roman"/>
          <w:color w:val="000000" w:themeColor="text1"/>
          <w:sz w:val="20"/>
          <w:szCs w:val="20"/>
          <w:highlight w:val="none"/>
          <w14:textFill>
            <w14:solidFill>
              <w14:schemeClr w14:val="tx1"/>
            </w14:solidFill>
          </w14:textFill>
        </w:rPr>
        <w:t xml:space="preserve">You must attend scheduled hospital appointments for treatment, examinations, and assessments as agreed with your physician. Your follow-up visits are critical, as they enable the physician to determine the efficacy of your treatment. </w:t>
      </w:r>
      <w:r>
        <w:rPr>
          <w:rFonts w:hint="eastAsia" w:ascii="Times New Roman" w:hAnsi="Times New Roman" w:cs="Times New Roman"/>
          <w:color w:val="000000" w:themeColor="text1"/>
          <w:sz w:val="20"/>
          <w:szCs w:val="20"/>
          <w:highlight w:val="none"/>
          <w14:textFill>
            <w14:solidFill>
              <w14:schemeClr w14:val="tx1"/>
            </w14:solidFill>
          </w14:textFill>
        </w:rPr>
        <w:t>④</w:t>
      </w:r>
      <w:r>
        <w:rPr>
          <w:rFonts w:ascii="Times New Roman" w:hAnsi="Times New Roman" w:cs="Times New Roman"/>
          <w:color w:val="000000" w:themeColor="text1"/>
          <w:sz w:val="20"/>
          <w:szCs w:val="20"/>
          <w:highlight w:val="none"/>
          <w14:textFill>
            <w14:solidFill>
              <w14:schemeClr w14:val="tx1"/>
            </w14:solidFill>
          </w14:textFill>
        </w:rPr>
        <w:t>Dietary and lifestyle guidelines: Follow a low-fat, low-salt diet; refrain from smoking; maintain emotional stability.</w:t>
      </w:r>
    </w:p>
    <w:p w14:paraId="1603E920">
      <w:pPr>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(2)</w:t>
      </w:r>
      <w:r>
        <w:rPr>
          <w:rFonts w:ascii="Times New Roman" w:hAnsi="Times New Roman" w:cs="Times New Roman"/>
          <w:color w:val="000000" w:themeColor="text1"/>
          <w:sz w:val="20"/>
          <w:szCs w:val="20"/>
          <w:highlight w:val="none"/>
          <w14:textFill>
            <w14:solidFill>
              <w14:schemeClr w14:val="tx1"/>
            </w14:solidFill>
          </w14:textFill>
        </w:rPr>
        <w:t xml:space="preserve"> Anticipated circumstances and/or reasons for potential termination of your participation in the trial</w:t>
      </w:r>
    </w:p>
    <w:p w14:paraId="2F131AE3">
      <w:pPr>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①</w:t>
      </w:r>
      <w:r>
        <w:rPr>
          <w:rFonts w:ascii="Times New Roman" w:hAnsi="Times New Roman" w:cs="Times New Roman"/>
          <w:color w:val="000000" w:themeColor="text1"/>
          <w:sz w:val="20"/>
          <w:szCs w:val="20"/>
          <w:highlight w:val="none"/>
          <w14:textFill>
            <w14:solidFill>
              <w14:schemeClr w14:val="tx1"/>
            </w14:solidFill>
          </w14:textFill>
        </w:rPr>
        <w:t xml:space="preserve">Failure to strictly adhere to the treatment protocol during therapy, such as </w:t>
      </w:r>
      <w:r>
        <w:rPr>
          <w:rFonts w:hint="eastAsia" w:ascii="Times New Roman" w:hAnsi="Times New Roman" w:cs="Times New Roman"/>
          <w:color w:val="000000" w:themeColor="text1"/>
          <w:sz w:val="20"/>
          <w:szCs w:val="20"/>
          <w:highlight w:val="none"/>
          <w14:textFill>
            <w14:solidFill>
              <w14:schemeClr w14:val="tx1"/>
            </w14:solidFill>
          </w14:textFill>
        </w:rPr>
        <w:t xml:space="preserve">a </w:t>
      </w:r>
      <w:r>
        <w:rPr>
          <w:rFonts w:ascii="Times New Roman" w:hAnsi="Times New Roman" w:cs="Times New Roman"/>
          <w:color w:val="000000" w:themeColor="text1"/>
          <w:sz w:val="20"/>
          <w:szCs w:val="20"/>
          <w:highlight w:val="none"/>
          <w14:textFill>
            <w14:solidFill>
              <w14:schemeClr w14:val="tx1"/>
            </w14:solidFill>
          </w14:textFill>
        </w:rPr>
        <w:t>subject independently using other similar medications (or treatments), or the investigator independently adding or reducing acupoints.</w:t>
      </w:r>
    </w:p>
    <w:p w14:paraId="0AFB3B07">
      <w:pPr>
        <w:rPr>
          <w:rFonts w:ascii="Times New Roman" w:hAnsi="Times New Roman" w:cs="Times New Roman"/>
          <w:color w:val="000000" w:themeColor="text1"/>
          <w:sz w:val="20"/>
          <w:szCs w:val="20"/>
          <w:highlight w:val="none"/>
          <w14:textFill>
            <w14:solidFill>
              <w14:schemeClr w14:val="tx1"/>
            </w14:solidFill>
          </w14:textFill>
        </w:rPr>
      </w:pPr>
      <w:r>
        <w:rPr>
          <w:rFonts w:hint="eastAsia" w:ascii="Times New Roman" w:hAnsi="Times New Roman" w:cs="Times New Roman"/>
          <w:color w:val="000000" w:themeColor="text1"/>
          <w:sz w:val="20"/>
          <w:szCs w:val="20"/>
          <w:highlight w:val="none"/>
          <w14:textFill>
            <w14:solidFill>
              <w14:schemeClr w14:val="tx1"/>
            </w14:solidFill>
          </w14:textFill>
        </w:rPr>
        <w:t xml:space="preserve">②A </w:t>
      </w:r>
      <w:r>
        <w:rPr>
          <w:rFonts w:ascii="Times New Roman" w:hAnsi="Times New Roman" w:cs="Times New Roman"/>
          <w:color w:val="000000" w:themeColor="text1"/>
          <w:sz w:val="20"/>
          <w:szCs w:val="20"/>
          <w:highlight w:val="none"/>
          <w14:textFill>
            <w14:solidFill>
              <w14:schemeClr w14:val="tx1"/>
            </w14:solidFill>
          </w14:textFill>
        </w:rPr>
        <w:t>subject becomes unreachable during follow-up due to changes in address or phone number, or fails to cooperate with follow-up observations, resulting in the inability to conduct efficacy assessments on schedule.</w:t>
      </w:r>
    </w:p>
    <w:p w14:paraId="631436BC">
      <w:pP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The treatment protocol in this study is not the only treatment option for your current condition. You may discuss with your physician before deciding whether to participate in this study.</w:t>
      </w:r>
    </w:p>
    <w:p w14:paraId="1984B72C">
      <w:pPr>
        <w:rPr>
          <w:rFonts w:ascii="Times New Roman" w:hAnsi="Times New Roman" w:cs="Times New Roman"/>
          <w:color w:val="000000" w:themeColor="text1"/>
          <w:sz w:val="20"/>
          <w:szCs w:val="20"/>
          <w:highlight w:val="none"/>
          <w14:textFill>
            <w14:solidFill>
              <w14:schemeClr w14:val="tx1"/>
            </w14:solidFill>
          </w14:textFill>
        </w:rPr>
      </w:pPr>
    </w:p>
    <w:p w14:paraId="1373C38A">
      <w:pPr>
        <w:rPr>
          <w:rFonts w:ascii="Times New Roman" w:hAnsi="Times New Roman" w:cs="Times New Roman"/>
          <w:b/>
          <w:bCs/>
          <w:color w:val="000000" w:themeColor="text1"/>
          <w:sz w:val="20"/>
          <w:szCs w:val="20"/>
          <w:highlight w:val="none"/>
          <w14:textFill>
            <w14:solidFill>
              <w14:schemeClr w14:val="tx1"/>
            </w14:solidFill>
          </w14:textFill>
        </w:rPr>
      </w:pPr>
      <w:r>
        <w:rPr>
          <w:rFonts w:ascii="Times New Roman" w:hAnsi="Times New Roman" w:cs="Times New Roman"/>
          <w:b/>
          <w:bCs/>
          <w:color w:val="000000" w:themeColor="text1"/>
          <w:sz w:val="20"/>
          <w:szCs w:val="20"/>
          <w:highlight w:val="none"/>
          <w14:textFill>
            <w14:solidFill>
              <w14:schemeClr w14:val="tx1"/>
            </w14:solidFill>
          </w14:textFill>
        </w:rPr>
        <w:t>11. Can I withdraw after participating in the study?</w:t>
      </w:r>
    </w:p>
    <w:p w14:paraId="5B215395">
      <w:pP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Participation is entirely voluntary. You may refuse to participate in this study or withdraw at any time during the study without providing any reason. This will not affect your relationship with your doctor, nor will it result in any loss of medical or other benefits. You will not face any discrimination or retaliation.</w:t>
      </w:r>
    </w:p>
    <w:p w14:paraId="28905BCA">
      <w:pP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Your doctor may discontinue your participation in this study at any time in your best interest.</w:t>
      </w:r>
    </w:p>
    <w:p w14:paraId="451E13FF">
      <w:pP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If you choose not to participate in this study or withdraw at any time, alternative treatment options are available. Participation in this study is not required for the treatment of your condition. Should you withdraw for any reason, you may be asked about your medication use for your own best interests. If deemed necessary by your doctor, you may also be requested to undergo laboratory tests and physical examinations.</w:t>
      </w:r>
    </w:p>
    <w:p w14:paraId="2DF1FFA5">
      <w:pP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If, after careful consideration, you choose to participate in this study, we hope you will remain in the study until its completion.</w:t>
      </w:r>
    </w:p>
    <w:p w14:paraId="37E926E5">
      <w:pPr>
        <w:rPr>
          <w:rFonts w:ascii="Times New Roman" w:hAnsi="Times New Roman" w:cs="Times New Roman"/>
          <w:color w:val="000000" w:themeColor="text1"/>
          <w:sz w:val="20"/>
          <w:szCs w:val="20"/>
          <w:highlight w:val="none"/>
          <w14:textFill>
            <w14:solidFill>
              <w14:schemeClr w14:val="tx1"/>
            </w14:solidFill>
          </w14:textFill>
        </w:rPr>
      </w:pPr>
    </w:p>
    <w:p w14:paraId="068603C0">
      <w:pPr>
        <w:rPr>
          <w:rFonts w:ascii="Times New Roman" w:hAnsi="Times New Roman" w:cs="Times New Roman"/>
          <w:b/>
          <w:bCs/>
          <w:color w:val="000000" w:themeColor="text1"/>
          <w:sz w:val="20"/>
          <w:szCs w:val="20"/>
          <w:highlight w:val="none"/>
          <w14:textFill>
            <w14:solidFill>
              <w14:schemeClr w14:val="tx1"/>
            </w14:solidFill>
          </w14:textFill>
        </w:rPr>
      </w:pPr>
      <w:r>
        <w:rPr>
          <w:rFonts w:ascii="Times New Roman" w:hAnsi="Times New Roman" w:cs="Times New Roman"/>
          <w:b/>
          <w:bCs/>
          <w:color w:val="000000" w:themeColor="text1"/>
          <w:sz w:val="20"/>
          <w:szCs w:val="20"/>
          <w:highlight w:val="none"/>
          <w14:textFill>
            <w14:solidFill>
              <w14:schemeClr w14:val="tx1"/>
            </w14:solidFill>
          </w14:textFill>
        </w:rPr>
        <w:t>12. Obtaining More Information</w:t>
      </w:r>
    </w:p>
    <w:p w14:paraId="5E4A8715">
      <w:pP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You may ask any questions about this study at any time. Your doctor will provide you with contact information to answer your questions.</w:t>
      </w:r>
    </w:p>
    <w:p w14:paraId="6C2D2284">
      <w:pP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If any important new information arises during the study that may affect your willingness to continue participating, your doctor will notify you promptly.</w:t>
      </w:r>
    </w:p>
    <w:p w14:paraId="1A9225C1">
      <w:pPr>
        <w:rPr>
          <w:rFonts w:ascii="Times New Roman" w:hAnsi="Times New Roman" w:cs="Times New Roman"/>
          <w:color w:val="000000" w:themeColor="text1"/>
          <w:sz w:val="20"/>
          <w:szCs w:val="20"/>
          <w:highlight w:val="none"/>
          <w14:textFill>
            <w14:solidFill>
              <w14:schemeClr w14:val="tx1"/>
            </w14:solidFill>
          </w14:textFill>
        </w:rPr>
      </w:pPr>
    </w:p>
    <w:p w14:paraId="73BF2411">
      <w:pPr>
        <w:rPr>
          <w:rFonts w:ascii="Times New Roman" w:hAnsi="Times New Roman" w:cs="Times New Roman"/>
          <w:b/>
          <w:bCs/>
          <w:color w:val="000000" w:themeColor="text1"/>
          <w:sz w:val="20"/>
          <w:szCs w:val="20"/>
          <w:highlight w:val="none"/>
          <w14:textFill>
            <w14:solidFill>
              <w14:schemeClr w14:val="tx1"/>
            </w14:solidFill>
          </w14:textFill>
        </w:rPr>
      </w:pPr>
      <w:r>
        <w:rPr>
          <w:rFonts w:ascii="Times New Roman" w:hAnsi="Times New Roman" w:cs="Times New Roman"/>
          <w:b/>
          <w:bCs/>
          <w:color w:val="000000" w:themeColor="text1"/>
          <w:sz w:val="20"/>
          <w:szCs w:val="20"/>
          <w:highlight w:val="none"/>
          <w14:textFill>
            <w14:solidFill>
              <w14:schemeClr w14:val="tx1"/>
            </w14:solidFill>
          </w14:textFill>
        </w:rPr>
        <w:t>13. What Should You Do Now?</w:t>
      </w:r>
    </w:p>
    <w:p w14:paraId="06D7A0E8">
      <w:pPr>
        <w:widowControl/>
        <w:jc w:val="left"/>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Before deciding to participate in this study, please ask your doctor as many questions as possible until you fully understand this research.</w:t>
      </w:r>
    </w:p>
    <w:p w14:paraId="77DABB02">
      <w:pPr>
        <w:widowControl/>
        <w:jc w:val="left"/>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Participation in this study is entirely your decision. You may also discuss it with your family before making a choice.</w:t>
      </w:r>
    </w:p>
    <w:p w14:paraId="1D452AB3">
      <w:pPr>
        <w:widowControl/>
        <w:jc w:val="left"/>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Thank you for reviewing this information. If you decide to participate in this study, please inform your doctor, who will arrange all matters related to the study for you.</w:t>
      </w:r>
    </w:p>
    <w:p w14:paraId="0183C8F5">
      <w:pPr>
        <w:widowControl/>
        <w:jc w:val="left"/>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Please retain this document.</w:t>
      </w:r>
    </w:p>
    <w:p w14:paraId="37C10DC3">
      <w:pPr>
        <w:widowControl/>
        <w:jc w:val="left"/>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Should you have any questions regarding your rights in this study, you may contact the Ethics Committee of this center at:</w:t>
      </w:r>
    </w:p>
    <w:p w14:paraId="0439B282">
      <w:pPr>
        <w:widowControl/>
        <w:jc w:val="left"/>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cs="Times New Roman"/>
          <w:color w:val="000000" w:themeColor="text1"/>
          <w:sz w:val="20"/>
          <w:szCs w:val="20"/>
          <w:highlight w:val="none"/>
          <w14:textFill>
            <w14:solidFill>
              <w14:schemeClr w14:val="tx1"/>
            </w14:solidFill>
          </w14:textFill>
        </w:rPr>
        <w:t>Tel: 020-36588667</w:t>
      </w:r>
    </w:p>
    <w:p w14:paraId="3481DACD">
      <w:pPr>
        <w:widowControl/>
        <w:jc w:val="left"/>
        <w:rPr>
          <w:rFonts w:ascii="Times New Roman" w:hAnsi="Times New Roman" w:cs="Times New Roman"/>
        </w:rPr>
      </w:pPr>
      <w:r>
        <w:rPr>
          <w:rFonts w:ascii="Times New Roman" w:hAnsi="Times New Roman" w:cs="Times New Roman"/>
          <w:color w:val="000000" w:themeColor="text1"/>
          <w:sz w:val="20"/>
          <w:szCs w:val="20"/>
          <w:highlight w:val="none"/>
          <w14:textFill>
            <w14:solidFill>
              <w14:schemeClr w14:val="tx1"/>
            </w14:solidFill>
          </w14:textFill>
        </w:rPr>
        <w:t>Email: gztcmlunli@163.com</w:t>
      </w:r>
      <w:r>
        <w:rPr>
          <w:rFonts w:ascii="Times New Roman" w:hAnsi="Times New Roman" w:cs="Times New Roman"/>
          <w:color w:val="000000" w:themeColor="text1"/>
          <w:highlight w:val="none"/>
          <w14:textFill>
            <w14:solidFill>
              <w14:schemeClr w14:val="tx1"/>
            </w14:solidFill>
          </w14:textFill>
        </w:rPr>
        <w:br w:type="page"/>
      </w:r>
    </w:p>
    <w:p w14:paraId="74B3BF70">
      <w:pPr>
        <w:jc w:val="center"/>
        <w:rPr>
          <w:rFonts w:ascii="Times New Roman" w:hAnsi="Times New Roman" w:cs="Times New Roman"/>
          <w:b/>
          <w:bCs/>
          <w:sz w:val="24"/>
          <w:szCs w:val="24"/>
        </w:rPr>
      </w:pPr>
      <w:r>
        <w:rPr>
          <w:rFonts w:ascii="Times New Roman" w:hAnsi="Times New Roman" w:cs="Times New Roman"/>
          <w:b/>
          <w:bCs/>
          <w:sz w:val="24"/>
          <w:szCs w:val="24"/>
        </w:rPr>
        <w:t>Subject Declaration</w:t>
      </w:r>
    </w:p>
    <w:p w14:paraId="2EC42B24">
      <w:pPr>
        <w:jc w:val="center"/>
        <w:rPr>
          <w:rFonts w:ascii="Times New Roman" w:hAnsi="Times New Roman" w:cs="Times New Roman"/>
          <w:b/>
          <w:bCs/>
          <w:sz w:val="24"/>
          <w:szCs w:val="24"/>
        </w:rPr>
      </w:pPr>
    </w:p>
    <w:p w14:paraId="36B7DCDE">
      <w:pPr>
        <w:rPr>
          <w:rFonts w:ascii="Times New Roman" w:hAnsi="Times New Roman" w:cs="Times New Roman"/>
          <w:sz w:val="20"/>
          <w:szCs w:val="20"/>
        </w:rPr>
      </w:pPr>
      <w:r>
        <w:rPr>
          <w:rFonts w:ascii="Times New Roman" w:hAnsi="Times New Roman" w:cs="Times New Roman"/>
          <w:sz w:val="20"/>
          <w:szCs w:val="20"/>
        </w:rPr>
        <w:t>I have carefully read this informed consent form. I had the opportunity to ask questions, and all questions have been answered. I understand that participation in this study is voluntary. I may choose not to participate in this study or withdraw at any time by notifying the investigator without facing discrimination or retaliation. My medical care and rights will not be affected as a result.</w:t>
      </w:r>
    </w:p>
    <w:p w14:paraId="46A113DA">
      <w:pPr>
        <w:rPr>
          <w:rFonts w:ascii="Times New Roman" w:hAnsi="Times New Roman" w:cs="Times New Roman"/>
          <w:sz w:val="20"/>
          <w:szCs w:val="20"/>
        </w:rPr>
      </w:pPr>
      <w:r>
        <w:rPr>
          <w:rFonts w:ascii="Times New Roman" w:hAnsi="Times New Roman" w:cs="Times New Roman"/>
          <w:sz w:val="20"/>
          <w:szCs w:val="20"/>
        </w:rPr>
        <w:t>The investigator may terminate my participation in this clinical study if I require additional diagnosis/treatment, fail to comply with the trial protocol, or for other reasonable causes.</w:t>
      </w:r>
    </w:p>
    <w:p w14:paraId="2C837EEB">
      <w:pPr>
        <w:rPr>
          <w:rFonts w:ascii="Times New Roman" w:hAnsi="Times New Roman" w:cs="Times New Roman"/>
          <w:sz w:val="20"/>
          <w:szCs w:val="20"/>
        </w:rPr>
      </w:pPr>
      <w:r>
        <w:rPr>
          <w:rFonts w:ascii="Times New Roman" w:hAnsi="Times New Roman" w:cs="Times New Roman"/>
          <w:sz w:val="20"/>
          <w:szCs w:val="20"/>
        </w:rPr>
        <w:t>I voluntarily consent to participate in this clinical study and will receive a signed original copy of the “Informed Consent Form” (including the personal reading materials and subject declaration page).</w:t>
      </w:r>
    </w:p>
    <w:p w14:paraId="4BA8C65A">
      <w:pPr>
        <w:rPr>
          <w:rFonts w:ascii="Times New Roman" w:hAnsi="Times New Roman" w:cs="Times New Roman"/>
          <w:sz w:val="20"/>
          <w:szCs w:val="20"/>
        </w:rPr>
      </w:pPr>
    </w:p>
    <w:p w14:paraId="24CE4164">
      <w:pPr>
        <w:rPr>
          <w:rFonts w:ascii="Times New Roman" w:hAnsi="Times New Roman" w:cs="Times New Roman"/>
          <w:sz w:val="20"/>
          <w:szCs w:val="20"/>
        </w:rPr>
      </w:pPr>
      <w:r>
        <w:rPr>
          <w:rFonts w:ascii="Times New Roman" w:hAnsi="Times New Roman" w:cs="Times New Roman"/>
          <w:b/>
          <w:bCs/>
          <w:sz w:val="20"/>
          <w:szCs w:val="20"/>
        </w:rPr>
        <w:t>Subject Signature:</w:t>
      </w:r>
      <w:r>
        <w:rPr>
          <w:rFonts w:ascii="Times New Roman" w:hAnsi="Times New Roman" w:cs="Times New Roman"/>
          <w:sz w:val="20"/>
          <w:szCs w:val="20"/>
        </w:rPr>
        <w:t> ________________________ </w:t>
      </w:r>
      <w:r>
        <w:rPr>
          <w:rFonts w:hint="eastAsia" w:ascii="Times New Roman" w:hAnsi="Times New Roman" w:cs="Times New Roman"/>
          <w:sz w:val="20"/>
          <w:szCs w:val="20"/>
        </w:rPr>
        <w:t xml:space="preserve">     </w:t>
      </w:r>
      <w:r>
        <w:rPr>
          <w:rFonts w:ascii="Times New Roman" w:hAnsi="Times New Roman" w:cs="Times New Roman"/>
          <w:b/>
          <w:bCs/>
          <w:sz w:val="20"/>
          <w:szCs w:val="20"/>
        </w:rPr>
        <w:t>Date:</w:t>
      </w:r>
      <w:r>
        <w:rPr>
          <w:rFonts w:ascii="Times New Roman" w:hAnsi="Times New Roman" w:cs="Times New Roman"/>
          <w:sz w:val="20"/>
          <w:szCs w:val="20"/>
        </w:rPr>
        <w:t xml:space="preserve">  ________________________</w:t>
      </w:r>
    </w:p>
    <w:p w14:paraId="17AF52E0">
      <w:pPr>
        <w:rPr>
          <w:rFonts w:ascii="Times New Roman" w:hAnsi="Times New Roman" w:cs="Times New Roman"/>
          <w:sz w:val="20"/>
          <w:szCs w:val="20"/>
        </w:rPr>
      </w:pPr>
      <w:r>
        <w:rPr>
          <w:rFonts w:ascii="Times New Roman" w:hAnsi="Times New Roman" w:cs="Times New Roman"/>
          <w:b/>
          <w:bCs/>
          <w:sz w:val="20"/>
          <w:szCs w:val="20"/>
        </w:rPr>
        <w:t>Phone</w:t>
      </w:r>
      <w:r>
        <w:rPr>
          <w:rFonts w:hint="eastAsia" w:ascii="Times New Roman" w:hAnsi="Times New Roman" w:cs="Times New Roman"/>
          <w:b/>
          <w:bCs/>
          <w:sz w:val="20"/>
          <w:szCs w:val="20"/>
        </w:rPr>
        <w:t xml:space="preserve"> Number</w:t>
      </w:r>
      <w:r>
        <w:rPr>
          <w:rFonts w:ascii="Times New Roman" w:hAnsi="Times New Roman" w:cs="Times New Roman"/>
          <w:b/>
          <w:bCs/>
          <w:sz w:val="20"/>
          <w:szCs w:val="20"/>
        </w:rPr>
        <w:t>:</w:t>
      </w:r>
      <w:r>
        <w:rPr>
          <w:rFonts w:ascii="Times New Roman" w:hAnsi="Times New Roman" w:cs="Times New Roman"/>
          <w:sz w:val="20"/>
          <w:szCs w:val="20"/>
        </w:rPr>
        <w:t> ________________________</w:t>
      </w:r>
    </w:p>
    <w:p w14:paraId="3C0B2208">
      <w:pPr>
        <w:rPr>
          <w:rFonts w:ascii="Times New Roman" w:hAnsi="Times New Roman" w:cs="Times New Roman"/>
          <w:sz w:val="20"/>
          <w:szCs w:val="20"/>
        </w:rPr>
      </w:pPr>
      <w:r>
        <w:rPr>
          <w:rFonts w:ascii="Times New Roman" w:hAnsi="Times New Roman" w:cs="Times New Roman"/>
          <w:b/>
          <w:bCs/>
          <w:sz w:val="20"/>
          <w:szCs w:val="20"/>
        </w:rPr>
        <w:t>Legal Representative Signature [if applicable]:</w:t>
      </w:r>
      <w:r>
        <w:rPr>
          <w:rFonts w:ascii="Times New Roman" w:hAnsi="Times New Roman" w:cs="Times New Roman"/>
          <w:sz w:val="20"/>
          <w:szCs w:val="20"/>
        </w:rPr>
        <w:t> ________________________ </w:t>
      </w:r>
    </w:p>
    <w:p w14:paraId="122571C3">
      <w:pPr>
        <w:rPr>
          <w:rFonts w:ascii="Times New Roman" w:hAnsi="Times New Roman" w:cs="Times New Roman"/>
          <w:sz w:val="20"/>
          <w:szCs w:val="20"/>
        </w:rPr>
      </w:pPr>
      <w:r>
        <w:rPr>
          <w:rFonts w:ascii="Times New Roman" w:hAnsi="Times New Roman" w:cs="Times New Roman"/>
          <w:b/>
          <w:bCs/>
          <w:sz w:val="20"/>
          <w:szCs w:val="20"/>
        </w:rPr>
        <w:t>Phone</w:t>
      </w:r>
      <w:r>
        <w:rPr>
          <w:rFonts w:hint="eastAsia" w:ascii="Times New Roman" w:hAnsi="Times New Roman" w:cs="Times New Roman"/>
          <w:b/>
          <w:bCs/>
          <w:sz w:val="20"/>
          <w:szCs w:val="20"/>
        </w:rPr>
        <w:t xml:space="preserve"> Number</w:t>
      </w:r>
      <w:r>
        <w:rPr>
          <w:rFonts w:ascii="Times New Roman" w:hAnsi="Times New Roman" w:cs="Times New Roman"/>
          <w:b/>
          <w:bCs/>
          <w:sz w:val="20"/>
          <w:szCs w:val="20"/>
        </w:rPr>
        <w:t>:</w:t>
      </w:r>
      <w:r>
        <w:rPr>
          <w:rFonts w:ascii="Times New Roman" w:hAnsi="Times New Roman" w:cs="Times New Roman"/>
          <w:sz w:val="20"/>
          <w:szCs w:val="20"/>
        </w:rPr>
        <w:t> ________________________</w:t>
      </w:r>
    </w:p>
    <w:p w14:paraId="418A0C0C">
      <w:pPr>
        <w:rPr>
          <w:rFonts w:ascii="Times New Roman" w:hAnsi="Times New Roman" w:cs="Times New Roman"/>
          <w:b/>
          <w:bCs/>
          <w:sz w:val="20"/>
          <w:szCs w:val="20"/>
        </w:rPr>
      </w:pPr>
      <w:r>
        <w:rPr>
          <w:rFonts w:ascii="Times New Roman" w:hAnsi="Times New Roman" w:cs="Times New Roman"/>
          <w:b/>
          <w:bCs/>
          <w:sz w:val="20"/>
          <w:szCs w:val="20"/>
        </w:rPr>
        <w:t>Relationship to Subject:</w:t>
      </w:r>
      <w:r>
        <w:rPr>
          <w:rFonts w:ascii="Times New Roman" w:hAnsi="Times New Roman" w:cs="Times New Roman"/>
          <w:sz w:val="20"/>
          <w:szCs w:val="20"/>
        </w:rPr>
        <w:t> ____________________</w:t>
      </w:r>
      <w:r>
        <w:rPr>
          <w:rFonts w:hint="eastAsia" w:ascii="Times New Roman" w:hAnsi="Times New Roman" w:cs="Times New Roman"/>
          <w:sz w:val="20"/>
          <w:szCs w:val="20"/>
        </w:rPr>
        <w:t xml:space="preserve">     </w:t>
      </w:r>
      <w:r>
        <w:rPr>
          <w:rFonts w:ascii="Times New Roman" w:hAnsi="Times New Roman" w:cs="Times New Roman"/>
          <w:b/>
          <w:bCs/>
          <w:sz w:val="20"/>
          <w:szCs w:val="20"/>
        </w:rPr>
        <w:t>Date:</w:t>
      </w:r>
      <w:r>
        <w:rPr>
          <w:rFonts w:ascii="Times New Roman" w:hAnsi="Times New Roman" w:cs="Times New Roman"/>
          <w:sz w:val="20"/>
          <w:szCs w:val="20"/>
        </w:rPr>
        <w:t xml:space="preserve">  ________________________</w:t>
      </w:r>
    </w:p>
    <w:p w14:paraId="67FD09C4">
      <w:pPr>
        <w:rPr>
          <w:rFonts w:ascii="Times New Roman" w:hAnsi="Times New Roman" w:cs="Times New Roman"/>
          <w:b/>
          <w:bCs/>
        </w:rPr>
      </w:pPr>
    </w:p>
    <w:p w14:paraId="716C8322">
      <w:pPr>
        <w:rPr>
          <w:rFonts w:ascii="Times New Roman" w:hAnsi="Times New Roman" w:cs="Times New Roman"/>
          <w:b/>
          <w:bCs/>
        </w:rPr>
      </w:pPr>
    </w:p>
    <w:p w14:paraId="6AEFB4DF">
      <w:pPr>
        <w:rPr>
          <w:rFonts w:ascii="Times New Roman" w:hAnsi="Times New Roman" w:cs="Times New Roman"/>
          <w:b/>
          <w:bCs/>
        </w:rPr>
      </w:pPr>
    </w:p>
    <w:p w14:paraId="08FAC33B">
      <w:pPr>
        <w:rPr>
          <w:rFonts w:ascii="Times New Roman" w:hAnsi="Times New Roman" w:cs="Times New Roman"/>
          <w:b/>
          <w:bCs/>
        </w:rPr>
      </w:pPr>
    </w:p>
    <w:p w14:paraId="1720576C">
      <w:pPr>
        <w:rPr>
          <w:rFonts w:ascii="Times New Roman" w:hAnsi="Times New Roman" w:cs="Times New Roman"/>
          <w:b/>
          <w:bCs/>
        </w:rPr>
      </w:pPr>
    </w:p>
    <w:p w14:paraId="4EC68B6C">
      <w:pPr>
        <w:rPr>
          <w:rFonts w:ascii="Times New Roman" w:hAnsi="Times New Roman" w:cs="Times New Roman"/>
          <w:b/>
          <w:bCs/>
        </w:rPr>
      </w:pPr>
    </w:p>
    <w:p w14:paraId="31DF8920">
      <w:pPr>
        <w:rPr>
          <w:rFonts w:ascii="Times New Roman" w:hAnsi="Times New Roman" w:cs="Times New Roman"/>
          <w:b/>
          <w:bCs/>
        </w:rPr>
      </w:pPr>
    </w:p>
    <w:p w14:paraId="679C50C3">
      <w:pPr>
        <w:jc w:val="center"/>
        <w:rPr>
          <w:rFonts w:ascii="Times New Roman" w:hAnsi="Times New Roman" w:cs="Times New Roman"/>
          <w:b/>
          <w:bCs/>
          <w:sz w:val="24"/>
          <w:szCs w:val="24"/>
        </w:rPr>
      </w:pPr>
      <w:r>
        <w:rPr>
          <w:rFonts w:ascii="Times New Roman" w:hAnsi="Times New Roman" w:cs="Times New Roman"/>
          <w:b/>
          <w:bCs/>
          <w:sz w:val="24"/>
          <w:szCs w:val="24"/>
        </w:rPr>
        <w:t>Investigator's Statement</w:t>
      </w:r>
    </w:p>
    <w:p w14:paraId="72D33542">
      <w:pPr>
        <w:jc w:val="center"/>
        <w:rPr>
          <w:rFonts w:ascii="Times New Roman" w:hAnsi="Times New Roman" w:cs="Times New Roman"/>
          <w:b/>
          <w:bCs/>
          <w:sz w:val="24"/>
          <w:szCs w:val="24"/>
        </w:rPr>
      </w:pPr>
    </w:p>
    <w:p w14:paraId="2BAF1ED0">
      <w:pPr>
        <w:rPr>
          <w:rFonts w:ascii="Times New Roman" w:hAnsi="Times New Roman" w:cs="Times New Roman"/>
        </w:rPr>
      </w:pPr>
      <w:r>
        <w:rPr>
          <w:rFonts w:ascii="Times New Roman" w:hAnsi="Times New Roman" w:cs="Times New Roman"/>
        </w:rPr>
        <w:t>I have accurately conveyed the contents of the informed consent form to the subject and addressed their questions. The subject voluntarily participates in this clinical research.</w:t>
      </w:r>
    </w:p>
    <w:p w14:paraId="783DD286">
      <w:pPr>
        <w:rPr>
          <w:rFonts w:ascii="Times New Roman" w:hAnsi="Times New Roman" w:cs="Times New Roman"/>
        </w:rPr>
      </w:pPr>
    </w:p>
    <w:p w14:paraId="76C24B06">
      <w:pPr>
        <w:rPr>
          <w:rFonts w:ascii="Times New Roman" w:hAnsi="Times New Roman" w:cs="Times New Roman"/>
        </w:rPr>
      </w:pPr>
      <w:r>
        <w:rPr>
          <w:rFonts w:ascii="Times New Roman" w:hAnsi="Times New Roman" w:cs="Times New Roman"/>
          <w:b/>
          <w:bCs/>
        </w:rPr>
        <w:t>Investigator Signature:</w:t>
      </w:r>
      <w:r>
        <w:rPr>
          <w:rFonts w:ascii="Times New Roman" w:hAnsi="Times New Roman" w:cs="Times New Roman"/>
        </w:rPr>
        <w:t> ___________________</w:t>
      </w:r>
      <w:r>
        <w:rPr>
          <w:rFonts w:hint="eastAsia" w:ascii="Times New Roman" w:hAnsi="Times New Roman" w:cs="Times New Roman"/>
        </w:rPr>
        <w:t xml:space="preserve">   </w:t>
      </w:r>
      <w:r>
        <w:rPr>
          <w:rFonts w:hint="eastAsia" w:ascii="Times New Roman" w:hAnsi="Times New Roman" w:cs="Times New Roman"/>
          <w:sz w:val="20"/>
          <w:szCs w:val="20"/>
        </w:rPr>
        <w:t xml:space="preserve">  </w:t>
      </w:r>
      <w:r>
        <w:rPr>
          <w:rFonts w:ascii="Times New Roman" w:hAnsi="Times New Roman" w:cs="Times New Roman"/>
          <w:b/>
          <w:bCs/>
          <w:sz w:val="20"/>
          <w:szCs w:val="20"/>
        </w:rPr>
        <w:t>Date:</w:t>
      </w:r>
      <w:r>
        <w:rPr>
          <w:rFonts w:ascii="Times New Roman" w:hAnsi="Times New Roman" w:cs="Times New Roman"/>
          <w:sz w:val="20"/>
          <w:szCs w:val="20"/>
        </w:rPr>
        <w:t xml:space="preserve">  ________________________</w:t>
      </w:r>
    </w:p>
    <w:p w14:paraId="16C51833">
      <w:pPr>
        <w:jc w:val="left"/>
        <w:rPr>
          <w:rFonts w:hint="eastAsia"/>
          <w:sz w:val="24"/>
          <w:szCs w:val="24"/>
        </w:rPr>
      </w:pPr>
      <w:r>
        <w:rPr>
          <w:rFonts w:ascii="Times New Roman" w:hAnsi="Times New Roman" w:cs="Times New Roman"/>
          <w:b/>
          <w:bCs/>
          <w:sz w:val="20"/>
          <w:szCs w:val="20"/>
        </w:rPr>
        <w:t>Phone</w:t>
      </w:r>
      <w:r>
        <w:rPr>
          <w:rFonts w:hint="eastAsia" w:ascii="Times New Roman" w:hAnsi="Times New Roman" w:cs="Times New Roman"/>
          <w:b/>
          <w:bCs/>
          <w:sz w:val="20"/>
          <w:szCs w:val="20"/>
        </w:rPr>
        <w:t xml:space="preserve"> Number</w:t>
      </w:r>
      <w:r>
        <w:rPr>
          <w:rFonts w:ascii="Times New Roman" w:hAnsi="Times New Roman" w:cs="Times New Roman"/>
          <w:b/>
          <w:bCs/>
        </w:rPr>
        <w:t>:</w:t>
      </w:r>
      <w:r>
        <w:rPr>
          <w:rFonts w:ascii="Times New Roman" w:hAnsi="Times New Roman" w:cs="Times New Roman"/>
        </w:rPr>
        <w:t> ________________________</w:t>
      </w:r>
      <w:r>
        <w:rPr>
          <w:rFonts w:ascii="Times New Roman" w:hAnsi="Times New Roman" w:cs="Times New Roman"/>
        </w:rPr>
        <w:fldChar w:fldCharType="begin"/>
      </w:r>
      <w:r>
        <w:rPr>
          <w:rFonts w:hint="eastAsia" w:ascii="Times New Roman" w:hAnsi="Times New Roman" w:cs="Times New Roman"/>
        </w:rPr>
        <w:instrText xml:space="preserve"> ADDIN NE.Bib</w:instrText>
      </w:r>
      <w:r>
        <w:rPr>
          <w:rFonts w:ascii="Times New Roman" w:hAnsi="Times New Roman" w:cs="Times New Roman"/>
        </w:rPr>
        <w:fldChar w:fldCharType="separate"/>
      </w:r>
    </w:p>
    <w:p w14:paraId="223E091D">
      <w:pPr>
        <w:ind w:left="420" w:hanging="420"/>
        <w:rPr>
          <w:rFonts w:hint="eastAsia"/>
          <w:sz w:val="24"/>
          <w:szCs w:val="24"/>
        </w:rPr>
      </w:pPr>
    </w:p>
    <w:p w14:paraId="40F053EF">
      <w:pPr>
        <w:rPr>
          <w:rFonts w:ascii="Times New Roman" w:hAnsi="Times New Roman" w:cs="Times New Roman"/>
        </w:rPr>
      </w:pPr>
      <w:r>
        <w:rPr>
          <w:rFonts w:ascii="Times New Roman" w:hAnsi="Times New Roman" w:cs="Times New Roman"/>
        </w:rPr>
        <w:fldChar w:fldCharType="end"/>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1B0E4A">
    <w:pPr>
      <w:pStyle w:val="13"/>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FB1131">
                          <w:pPr>
                            <w:rPr>
                              <w:rFonts w:ascii="Arial" w:hAnsi="Arial" w:cs="Arial"/>
                              <w:sz w:val="20"/>
                              <w:szCs w:val="20"/>
                            </w:rPr>
                          </w:pPr>
                          <w:r>
                            <w:rPr>
                              <w:rFonts w:ascii="Arial" w:hAnsi="Arial" w:cs="Arial"/>
                              <w:sz w:val="20"/>
                              <w:szCs w:val="20"/>
                            </w:rPr>
                            <w:fldChar w:fldCharType="begin"/>
                          </w:r>
                          <w:r>
                            <w:rPr>
                              <w:rFonts w:ascii="Arial" w:hAnsi="Arial" w:cs="Arial"/>
                              <w:sz w:val="20"/>
                              <w:szCs w:val="20"/>
                            </w:rPr>
                            <w:instrText xml:space="preserve"> PAGE  \* MERGEFORMAT </w:instrText>
                          </w:r>
                          <w:r>
                            <w:rPr>
                              <w:rFonts w:ascii="Arial" w:hAnsi="Arial" w:cs="Arial"/>
                              <w:sz w:val="20"/>
                              <w:szCs w:val="20"/>
                            </w:rPr>
                            <w:fldChar w:fldCharType="separate"/>
                          </w:r>
                          <w:r>
                            <w:rPr>
                              <w:rFonts w:ascii="Arial" w:hAnsi="Arial" w:cs="Arial"/>
                              <w:sz w:val="20"/>
                              <w:szCs w:val="20"/>
                            </w:rPr>
                            <w:t>1</w:t>
                          </w:r>
                          <w:r>
                            <w:rPr>
                              <w:rFonts w:ascii="Arial" w:hAnsi="Arial" w:cs="Arial"/>
                              <w:sz w:val="20"/>
                              <w:szCs w:val="20"/>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3DFB1131">
                    <w:pPr>
                      <w:rPr>
                        <w:rFonts w:ascii="Arial" w:hAnsi="Arial" w:cs="Arial"/>
                        <w:sz w:val="20"/>
                        <w:szCs w:val="20"/>
                      </w:rPr>
                    </w:pPr>
                    <w:r>
                      <w:rPr>
                        <w:rFonts w:ascii="Arial" w:hAnsi="Arial" w:cs="Arial"/>
                        <w:sz w:val="20"/>
                        <w:szCs w:val="20"/>
                      </w:rPr>
                      <w:fldChar w:fldCharType="begin"/>
                    </w:r>
                    <w:r>
                      <w:rPr>
                        <w:rFonts w:ascii="Arial" w:hAnsi="Arial" w:cs="Arial"/>
                        <w:sz w:val="20"/>
                        <w:szCs w:val="20"/>
                      </w:rPr>
                      <w:instrText xml:space="preserve"> PAGE  \* MERGEFORMAT </w:instrText>
                    </w:r>
                    <w:r>
                      <w:rPr>
                        <w:rFonts w:ascii="Arial" w:hAnsi="Arial" w:cs="Arial"/>
                        <w:sz w:val="20"/>
                        <w:szCs w:val="20"/>
                      </w:rPr>
                      <w:fldChar w:fldCharType="separate"/>
                    </w:r>
                    <w:r>
                      <w:rPr>
                        <w:rFonts w:ascii="Arial" w:hAnsi="Arial" w:cs="Arial"/>
                        <w:sz w:val="20"/>
                        <w:szCs w:val="20"/>
                      </w:rPr>
                      <w:t>1</w:t>
                    </w:r>
                    <w:r>
                      <w:rPr>
                        <w:rFonts w:ascii="Arial" w:hAnsi="Arial" w:cs="Arial"/>
                        <w:sz w:val="20"/>
                        <w:szCs w:val="20"/>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revisionView w:markup="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NE.Ref{0D80A9B0-F2C1-4EC0-AC61-BCCCE4FD9E13}" w:val=" ADDIN NE.Ref.{0D80A9B0-F2C1-4EC0-AC61-BCCCE4FD9E13}&lt;Citation&gt;&lt;Group&gt;&lt;References&gt;&lt;Item&gt;&lt;ID&gt;53&lt;/ID&gt;&lt;UID&gt;{06E84D04-0838-49F8-BB5E-38B51F6AD918}&lt;/UID&gt;&lt;Title&gt;Motor and Nonmotor Complications of Levodopa: Phenomenology, Risk Factors, and  Imaging Features&lt;/Title&gt;&lt;Template&gt;Journal Article&lt;/Template&gt;&lt;Star&gt;0&lt;/Star&gt;&lt;Tag&gt;5&lt;/Tag&gt;&lt;Author&gt;Ray, Chaudhuri K; Poewe, W; Brooks, D&lt;/Author&gt;&lt;Year&gt;2018&lt;/Year&gt;&lt;Details&gt;&lt;_accession_num&gt;30134055&lt;/_accession_num&gt;&lt;_author_adr&gt;Institute of Psychiatry, Psychology &amp;amp; Neuroscience at King&amp;apos;s College London and  Parkinsons Foundation Centre of Excellence at King&amp;apos;s College Hospital NHS  Foundation Trust.; Department of Neurology, Medical University Innsbruck, Innsbruck, Austria.; Department of Medicine, Imperial College London, London, United Kingdom.&lt;/_author_adr&gt;&lt;_created&gt;65241424&lt;/_created&gt;&lt;_date&gt;2018-07-01&lt;/_date&gt;&lt;_date_display&gt;2018 Jul&lt;/_date_display&gt;&lt;_doi&gt;10.1002/mds.27386&lt;/_doi&gt;&lt;_impact_factor&gt;  10.338&lt;/_impact_factor&gt;&lt;_isbn&gt;1531-8257 (Electronic); 0885-3185 (Linking)&lt;/_isbn&gt;&lt;_issue&gt;6&lt;/_issue&gt;&lt;_journal&gt;Mov Disord&lt;/_journal&gt;&lt;_keywords&gt;Parkinson&amp;apos;s disease; dyskinesias; fluctuations; levodopa; nonmotor; personalized medicine&lt;/_keywords&gt;&lt;_language&gt;eng&lt;/_language&gt;&lt;_modified&gt;65249095&lt;/_modified&gt;&lt;_ori_publication&gt;© 2018 International Parkinson and Movement Disorder Society.&lt;/_ori_publication&gt;&lt;_pages&gt;909-919&lt;/_pages&gt;&lt;_subject_headings&gt;Antiparkinson Agents/*adverse effects; *Behavioral Symptoms/chemically induced/diagnostic imaging/physiopathology; *Cognition Disorders/chemically induced/diagnostic imaging/physiopathology; Humans; Levodopa/*adverse effects; Parkinson Disease/drug therapy; Risk Factors&lt;/_subject_headings&gt;&lt;_tertiary_title&gt;Movement disorders : official journal of the Movement Disorder Society&lt;/_tertiary_title&gt;&lt;_type_work&gt;Journal Article; Research Support, Non-U.S. Gov&amp;apos;t; Review&lt;/_type_work&gt;&lt;_url&gt;http://www.ncbi.nlm.nih.gov/entrez/query.fcgi?cmd=Retrieve&amp;amp;db=pubmed&amp;amp;dopt=Abstract&amp;amp;list_uids=30134055&amp;amp;query_hl=1&lt;/_url&gt;&lt;_volume&gt;33&lt;/_volume&gt;&lt;/Details&gt;&lt;Extra&gt;&lt;DBUID&gt;{C17D6F6B-8083-4309-846F-491B5EF1CC4E}&lt;/DBUID&gt;&lt;/Extra&gt;&lt;/Item&gt;&lt;/References&gt;&lt;/Group&gt;&lt;/Citation&gt;_x000a_"/>
    <w:docVar w:name="NE.Ref{105DC93F-15A3-4356-88FB-1A5EAE988129}" w:val=" ADDIN NE.Ref.{105DC93F-15A3-4356-88FB-1A5EAE988129}&lt;Citation&gt;&lt;Group&gt;&lt;References&gt;&lt;Item&gt;&lt;ID&gt;42&lt;/ID&gt;&lt;UID&gt;{24420BA5-7804-4429-9D09-82260F6220A1}&lt;/UID&gt;&lt;Title&gt;Complementary and Alternative Medicine for Idiopathic Parkinson&amp;apos;s Disease: An  Evidence-Based Clinical Practice Guideline&lt;/Title&gt;&lt;Template&gt;Journal Article&lt;/Template&gt;&lt;Star&gt;0&lt;/Star&gt;&lt;Tag&gt;5&lt;/Tag&gt;&lt;Author&gt;Cho, K H; Kim, T H; Kwon, S; Jung, W S; Moon, S K; Ko, C N; Cho, S Y; Jeon, C Y; Lee, S H; Choi, T Y; Jun, J H; Choi, J; Lee, M S; Chung, E K&lt;/Author&gt;&lt;Year&gt;2018&lt;/Year&gt;&lt;Details&gt;&lt;_accession_num&gt;30374299&lt;/_accession_num&gt;&lt;_author_adr&gt;Department of Cardiology and Neurology, College of Korean Medicine, Kyung Hee  University, Seoul, South Korea.; Korean Medicine Clinical Trial Center, Korean Medicine Hospital, Kyung Hee  University, Seoul, South Korea.; Department of Cardiology and Neurology, College of Korean Medicine, Kyung Hee  University, Seoul, South Korea.; Department of Cardiology and Neurology, College of Korean Medicine, Kyung Hee  University, Seoul, South Korea.; Department of Cardiology and Neurology, College of Korean Medicine, Kyung Hee  University, Seoul, South Korea.; Department of Cardiology and Neurology, College of Korean Medicine, Kyung Hee  University, Seoul, South Korea.; Stroke and Neurological Disorders Center, Kyung Hee University Hospital at  Gangdong, Seoul, South Korea.; Department of Cardiology and Neurology, College of Korean Medicine, Kyung Hee  University, Seoul, South Korea.; Stroke and Neurological Disorders Center, Kyung Hee University Hospital at  Gangdong, Seoul, South Korea.; Department of Korean Internal Medicine, College of Korean Medicine, Gachon  University, Seongnam, South Korea.; Gangdong Mokhuri Oriental Medical Hospital, Seoul, South Korea.; Clinical Medicine Division, Korea Institute of Oriental Medicine, Daejeon, South  Korea.; Clinical Medicine Division, Korea Institute of Oriental Medicine, Daejeon, South  Korea.; Integrative Health Promotion Team, Korea Health Promotion Institute, Seoul, South  Korea.; Clinical Medicine Division, Korea Institute of Oriental Medicine, Daejeon, South  Korea.; Division of Clinical Pharmacy, Department of Pharmacy, College of Pharmacy, Kyung  Hee University, Seoul, South Korea.&lt;/_author_adr&gt;&lt;_collection_scope&gt;SCIE&lt;/_collection_scope&gt;&lt;_created&gt;65241421&lt;/_created&gt;&lt;_date&gt;2018-01-20&lt;/_date&gt;&lt;_date_display&gt;2018&lt;/_date_display&gt;&lt;_impact_factor&gt;   5.750&lt;/_impact_factor&gt;&lt;_isbn&gt;1663-4365 (Print); 1663-4365 (Electronic); 1663-4365 (Linking)&lt;/_isbn&gt;&lt;_journal&gt;Front Aging Neurosci&lt;/_journal&gt;&lt;_keywords&gt;clinical practice guideline; complementary and alternative medicine; evidence-based medicine; idiopathic Parkinson’s disease; recommendations&lt;/_keywords&gt;&lt;_language&gt;eng&lt;/_language&gt;&lt;_modified&gt;65249095&lt;/_modified&gt;&lt;_pages&gt;323&lt;/_pages&gt;&lt;_tertiary_title&gt;Frontiers in aging neuroscience&lt;/_tertiary_title&gt;&lt;_type_work&gt;Journal Article&lt;/_type_work&gt;&lt;_url&gt;http://www.ncbi.nlm.nih.gov/entrez/query.fcgi?cmd=Retrieve&amp;amp;db=pubmed&amp;amp;dopt=Abstract&amp;amp;list_uids=30374299&amp;amp;query_hl=1&lt;/_url&gt;&lt;_volume&gt;10&lt;/_volume&gt;&lt;/Details&gt;&lt;Extra&gt;&lt;DBUID&gt;{C17D6F6B-8083-4309-846F-491B5EF1CC4E}&lt;/DBUID&gt;&lt;/Extra&gt;&lt;/Item&gt;&lt;/References&gt;&lt;/Group&gt;&lt;/Citation&gt;_x000a_"/>
    <w:docVar w:name="NE.Ref{15F5526C-2353-4AB6-B19D-964AAE785554}" w:val=" ADDIN NE.Ref.{15F5526C-2353-4AB6-B19D-964AAE785554}&lt;Citation&gt;&lt;Group&gt;&lt;References&gt;&lt;Item&gt;&lt;ID&gt;19&lt;/ID&gt;&lt;UID&gt;{BF53E598-004A-4B9C-B6D7-AC89CE2001DB}&lt;/UID&gt;&lt;Title&gt;MDS clinical diagnostic criteria for Parkinson&amp;apos;s disease&lt;/Title&gt;&lt;Template&gt;Journal Article&lt;/Template&gt;&lt;Star&gt;0&lt;/Star&gt;&lt;Tag&gt;0&lt;/Tag&gt;&lt;Author&gt;Postuma, R B; Berg, D; Stern, M; Poewe, W; Olanow, C W; Oertel, W; Obeso, J; Marek, K; Litvan, I; Lang, A E; Halliday, G; Goetz, C G; Gasser, T; Dubois, B; Chan, P; Bloem, B R; Adler, C H; Deuschl, G&lt;/Author&gt;&lt;Year&gt;2015&lt;/Year&gt;&lt;Details&gt;&lt;_accession_num&gt;26474316&lt;/_accession_num&gt;&lt;_author_adr&gt;Department of Neurology, Montreal General Hospital, Montreal, Quebec, Canada.; Department of Neurodegeneration, Hertie-Institute for Clinical Brain Research and  German Center for Neurodegenerative Diseases, Tuebingen, Germany.; Penn Neurological Institute, Philadelphia, Pennsylvania, USA.; Department of Neurology, Innsbruck Medical University, Innsbruck, Austria.; Department of Neurology, The Mount Sinai Hospital, New York, New York, USA.; Department of Neurology, Philipps University of Marburg, Marburg, Germany.; University of Navarra-FIMA, Pamplona, Spain.; Institute for Neurodegenerative Disorders, New Haven, Connecticut, USA.; Department of Neurosciences, UC San Diego, La Jolla, California, USA.; Division of Neurology, Toronto Western Hospital, Toronto, Ontario, Canada.; Neuroscience Research Australia &amp;amp; University of NSW, Randwick, Australia.; Rush University Medical Center, Chicago, Illinois, USA.; Department of Neurodegeneration, Hertie-Institute for Clinical Brain Research and  German Center for Neurodegenerative Diseases, Tuebingen, Germany.; Hopital De La Salpetriere, Paris, France.; Xuanwu Hospital of Capitol of Medical University, Beijing, Peoples Republic of  China.; Department of Neurology, Radboud University Medical Center, Donders Institute for  Brain, Cognition and Behaviour, Nijmegen, Netherlands.; The Parkinson&amp;apos;s Disease and Movement Disorders Center, Department of Neurology,  Mayo Clinic, Scottsdale, Arizona, USA.; Department of Neurology, Christian-Albrechts University, Kiel, Germany.&lt;/_author_adr&gt;&lt;_created&gt;66111755&lt;/_created&gt;&lt;_date&gt;2015-10-01&lt;/_date&gt;&lt;_date_display&gt;2015 Oct&lt;/_date_display&gt;&lt;_doi&gt;10.1002/mds.26424&lt;/_doi&gt;&lt;_impact_factor&gt;  10.338&lt;/_impact_factor&gt;&lt;_isbn&gt;1531-8257 (Electronic); 0885-3185 (Linking)&lt;/_isbn&gt;&lt;_issue&gt;12&lt;/_issue&gt;&lt;_journal&gt;Mov Disord&lt;/_journal&gt;&lt;_keywords&gt;Parkinson&amp;apos;s disease; absolute exclusion criteria; clinical diagnostic criteria; motor parkinsonism; non-motor manifestations; red flags; supportive criteria&lt;/_keywords&gt;&lt;_language&gt;eng&lt;/_language&gt;&lt;_modified&gt;66111755&lt;/_modified&gt;&lt;_ori_publication&gt;© 2015 International Parkinson and Movement Disorder Society.&lt;/_ori_publication&gt;&lt;_pages&gt;1591-601&lt;/_pages&gt;&lt;_subject_headings&gt;Humans; Neuropsychological Tests; Parkinson Disease/diagnosis/physiopathology; Reference Standards; *Severity of Illness Index; Societies, Scientific/standards&lt;/_subject_headings&gt;&lt;_tertiary_title&gt;Movement disorders : official journal of the Movement Disorder Society&lt;/_tertiary_title&gt;&lt;_type_work&gt;Journal Article; Research Support, Non-U.S. Gov&amp;apos;t; Review&lt;/_type_work&gt;&lt;_url&gt;http://www.ncbi.nlm.nih.gov/entrez/query.fcgi?cmd=Retrieve&amp;amp;db=pubmed&amp;amp;dopt=Abstract&amp;amp;list_uids=26474316&amp;amp;query_hl=1&lt;/_url&gt;&lt;_volume&gt;30&lt;/_volume&gt;&lt;/Details&gt;&lt;Extra&gt;&lt;DBUID&gt;{33E5D779-36F9-4EA9-BEC4-5F8D60C51AEE}&lt;/DBUID&gt;&lt;/Extra&gt;&lt;/Item&gt;&lt;/References&gt;&lt;/Group&gt;&lt;/Citation&gt;_x000a_"/>
    <w:docVar w:name="NE.Ref{2D09EBF3-E4AC-4127-AF04-ADF5A1FA62A4}" w:val=" ADDIN NE.Ref.{2D09EBF3-E4AC-4127-AF04-ADF5A1FA62A4}&lt;Citation&gt;&lt;Group&gt;&lt;References&gt;&lt;Item&gt;&lt;ID&gt;58&lt;/ID&gt;&lt;UID&gt;{7BFBC2DA-8616-4718-9260-F655D9D8B46A}&lt;/UID&gt;&lt;Title&gt;Effectiveness and safety of acupuncture combined with Madopar for Parkinson&amp;apos;s  disease: a systematic review with meta-analysis&lt;/Title&gt;&lt;Template&gt;Journal Article&lt;/Template&gt;&lt;Star&gt;0&lt;/Star&gt;&lt;Tag&gt;5&lt;/Tag&gt;&lt;Author&gt;Liu, H; Chen, L; Zhang, Z; Geng, G; Chen, W; Dong, H; Chen, L; Zhan, S; Li, T&lt;/Author&gt;&lt;Year&gt;2017&lt;/Year&gt;&lt;Details&gt;&lt;_accession_num&gt;29180347&lt;/_accession_num&gt;&lt;_author_adr&gt;College of Traditional Chinese Medicine, Jinan University, Guangzhou, China.; College of Traditional Chinese Medicine, Jinan University, Guangzhou, China.; Shandong University of Traditional Chinese Medicine, Jinan, Shandong, China.; Department of Epidemiology and Health Statistics, School of Public Health,  Medical College of Soochow University, Suzhou, Jiangsu, China.; Department of Oncology, Linyi People&amp;apos;s Hospital, Linyi, Shandong, China.; College of Traditional Chinese Medicine, Jinan University, Guangzhou, China.; College of Traditional Chinese Medicine, Jinan University, Guangzhou, China.; College of Traditional Chinese Medicine, Jinan University, Guangzhou, China.; College of Traditional Chinese Medicine, Jinan University, Guangzhou, China.; Shenzhen Traditional Chinese Medicine Hospital, Shenzhen, Guangdong, China.&lt;/_author_adr&gt;&lt;_collection_scope&gt;SCIE&lt;/_collection_scope&gt;&lt;_created&gt;65242099&lt;/_created&gt;&lt;_date&gt;2017-12-01&lt;/_date&gt;&lt;_date_display&gt;2017 Dec&lt;/_date_display&gt;&lt;_doi&gt;10.1136/acupmed-2016-011342&lt;/_doi&gt;&lt;_impact_factor&gt;   2.267&lt;/_impact_factor&gt;&lt;_isbn&gt;1759-9873 (Electronic); 0964-5284 (Linking)&lt;/_isbn&gt;&lt;_issue&gt;6&lt;/_issue&gt;&lt;_journal&gt;Acupunct Med&lt;/_journal&gt;&lt;_keywords&gt;acupuncture; complementary medicine; neurology; parkinson’s disease; systematic reviews&lt;/_keywords&gt;&lt;_language&gt;eng&lt;/_language&gt;&lt;_modified&gt;65249107&lt;/_modified&gt;&lt;_ori_publication&gt;© Article author(s) (or their employer(s) unless otherwise stated in the text of _x000d__x000a_      the article) 2017. All rights reserved. No commercial use is permitted unless _x000d__x000a_      otherwise expressly granted.&lt;/_ori_publication&gt;&lt;_pages&gt;404-412&lt;/_pages&gt;&lt;_subject_headings&gt;Acupuncture Therapy/*mortality; Benserazide/*therapeutic use; Combined Modality Therapy; Dopamine Agents/*therapeutic use; Drug Combinations; Humans; Levodopa/*therapeutic use; Randomized Controlled Trials as Topic; Treatment Outcome&lt;/_subject_headings&gt;&lt;_tertiary_title&gt;Acupuncture in medicine : journal of the British Medical Acupuncture Society&lt;/_tertiary_title&gt;&lt;_type_work&gt;Journal Article; Meta-Analysis; Review; Systematic Review&lt;/_type_work&gt;&lt;_url&gt;http://www.ncbi.nlm.nih.gov/entrez/query.fcgi?cmd=Retrieve&amp;amp;db=pubmed&amp;amp;dopt=Abstract&amp;amp;list_uids=29180347&amp;amp;query_hl=1&lt;/_url&gt;&lt;_volume&gt;35&lt;/_volume&gt;&lt;/Details&gt;&lt;Extra&gt;&lt;DBUID&gt;{C17D6F6B-8083-4309-846F-491B5EF1CC4E}&lt;/DBUID&gt;&lt;/Extra&gt;&lt;/Item&gt;&lt;/References&gt;&lt;/Group&gt;&lt;/Citation&gt;_x000a_"/>
    <w:docVar w:name="NE.Ref{473C4A61-792A-4F81-B129-451F2805A074}" w:val=" ADDIN NE.Ref.{473C4A61-792A-4F81-B129-451F2805A074}&lt;Citation&gt;&lt;Group&gt;&lt;References&gt;&lt;Item&gt;&lt;ID&gt;56&lt;/ID&gt;&lt;UID&gt;{2BAD4536-02A3-49A7-B157-E5EF69CFC778}&lt;/UID&gt;&lt;Title&gt;A study on the effects of the Qihuang Needle therapy on patients with Parkinson&amp;apos;s  disease&lt;/Title&gt;&lt;Template&gt;Journal Article&lt;/Template&gt;&lt;Star&gt;0&lt;/Star&gt;&lt;Tag&gt;5&lt;/Tag&gt;&lt;Author&gt;Li, X; Zhou, J; He, R; Lian, J; Jia, J; Hsu, C; Yuan, S; Chen, Z&lt;/Author&gt;&lt;Year&gt;2022&lt;/Year&gt;&lt;Details&gt;&lt;_accession_num&gt;36776577&lt;/_accession_num&gt;&lt;_author_adr&gt;Medical College of Acupuncture, Moxibustion, and Rehabilitation, Guangzhou  University of Chinese Medicine, Guangzhou, Guangdong, China.; The First Affiliated Hospital of Guangzhou University of Chinese Medicine,  Guangzhou, Guangdong, China.; Baiyun Branch of Nanfang Hospital, Southern Medical University, Guangzhou,  Guangdong, China.; The Affiliated Traditional Chinese Medicine Hospital, Guangzhou Medical  University, Guangzhou, Guangdong, China.; Department of Ultrasound, The First Affiliated Hospital, Guangzhou University of  Chinese Medicine, Guangzhou, Guangdong, China.; International College, Guangzhou University of Chinese Medicine, Guangzhou,  Guangdong, China.; International College, Guangzhou University of Chinese Medicine, Guangzhou,  Guangdong, China.; The First Affiliated Hospital of Guangzhou University of Chinese Medicine,  Guangzhou, Guangdong, China.&lt;/_author_adr&gt;&lt;_collection_scope&gt;SCIE&lt;/_collection_scope&gt;&lt;_created&gt;65242085&lt;/_created&gt;&lt;_date&gt;2022-01-20&lt;/_date&gt;&lt;_date_display&gt;2022&lt;/_date_display&gt;&lt;_doi&gt;10.3389/fneur.2022.1022057&lt;/_doi&gt;&lt;_impact_factor&gt;   4.003&lt;/_impact_factor&gt;&lt;_isbn&gt;1664-2295 (Print); 1664-2295 (Electronic); 1664-2295 (Linking)&lt;/_isbn&gt;&lt;_journal&gt;Front Neurol&lt;/_journal&gt;&lt;_keywords&gt;Parkinsion&amp;apos;s disease; Qihuang Needle therapy; acupuncture; randomized clinical trial; sham acupuncture&lt;/_keywords&gt;&lt;_language&gt;eng&lt;/_language&gt;&lt;_modified&gt;65249106&lt;/_modified&gt;&lt;_ori_publication&gt;Copyright © 2023 Li, Zhou, He, Lian, Jia, Hsu, Yuan and Chen.&lt;/_ori_publication&gt;&lt;_pages&gt;1022057&lt;/_pages&gt;&lt;_tertiary_title&gt;Frontiers in neurology&lt;/_tertiary_title&gt;&lt;_type_work&gt;Journal Article&lt;/_type_work&gt;&lt;_url&gt;http://www.ncbi.nlm.nih.gov/entrez/query.fcgi?cmd=Retrieve&amp;amp;db=pubmed&amp;amp;dopt=Abstract&amp;amp;list_uids=36776577&amp;amp;query_hl=1&lt;/_url&gt;&lt;_volume&gt;13&lt;/_volume&gt;&lt;/Details&gt;&lt;Extra&gt;&lt;DBUID&gt;{C17D6F6B-8083-4309-846F-491B5EF1CC4E}&lt;/DBUID&gt;&lt;/Extra&gt;&lt;/Item&gt;&lt;/References&gt;&lt;/Group&gt;&lt;/Citation&gt;_x000a_"/>
    <w:docVar w:name="NE.Ref{512F3A46-3529-4D57-82C9-C1D6DB44F99E}" w:val=" ADDIN NE.Ref.{512F3A46-3529-4D57-82C9-C1D6DB44F99E}&lt;Citation&gt;&lt;Group&gt;&lt;References&gt;&lt;Item&gt;&lt;ID&gt;55&lt;/ID&gt;&lt;UID&gt;{562C09FA-EBB9-407F-ABAD-6487EC2D7772}&lt;/UID&gt;&lt;Title&gt;Acupuncture Modulates the Cerebello-Thalamo-Cortical Circuit and Cognitive Brain  Regions in Patients of Parkinson&amp;apos;s Disease With Tremor&lt;/Title&gt;&lt;Template&gt;Journal Article&lt;/Template&gt;&lt;Star&gt;0&lt;/Star&gt;&lt;Tag&gt;5&lt;/Tag&gt;&lt;Author&gt;Li, Z; Chen, J; Cheng, J; Huang, S; Hu, Y; Wu, Y; Li, G; Liu, B; Liu, X; Guo, W; Huang, S; Zhou, M; Chen, X; Xiao, Y; Chen, C; Chen, J; Luo, X; Xu, P&lt;/Author&gt;&lt;Year&gt;2018&lt;/Year&gt;&lt;Details&gt;&lt;_accession_num&gt;30034336&lt;/_accession_num&gt;&lt;_author_adr&gt;Department of Neurology, The First Affiliated Hospital, Guangzhou Medical  University, Guangzhou, China.; Department of Neurology, The Second Affiliated Hospital, Guangzhou University of  Chinese Medicine, Guangzhou, China.; Department of Radiology, The Second Affiliated Hospital, Guangzhou University of  Chinese Medicine, Guangzhou, China.; Department of Radiology, The People&amp;apos;s Hospital of Gaozhou, Gaozhou, China.; Department of Laboratory, The Second Affiliated Hospital, Guangzhou Medical  University, Guangzhou, China.; Department of Business Development, Zhujiang Hospital, Southern Medical  University, Guangzhou, China.; Department of Neurology, The First Affiliated Hospital, Guangzhou Medical  University, Guangzhou, China.; Department of Neurology, The First Affiliated Hospital, Guangzhou Medical  University, Guangzhou, China.; Department of Radiology, The Second Affiliated Hospital, Guangzhou University of  Chinese Medicine, Guangzhou, China.; Department of Radiology, The Second Affiliated Hospital, Guangzhou University of  Chinese Medicine, Guangzhou, China.; Department of Neurology, The First Affiliated Hospital, Guangzhou Medical  University, Guangzhou, China.; Department of Neurology, The First Affiliated Hospital, Guangzhou Medical  University, Guangzhou, China.; Department of Neurology, The First Affiliated Hospital, Guangzhou Medical  University, Guangzhou, China.; Department of Neurology, The First Affiliated Hospital, Sun Yat-sen University,  Guangzhou, China.; Department of Neurology, The First Affiliated Hospital, Sun Yat-sen University,  Guangzhou, China.; Department of Neurology, Guangzhou Hospital of Integrated Traditional and West  Medicine, Guangzhou, China.; Department of Neurology, Yuebei People&amp;apos;s Hospital, Shaoguan, China.; Department of Neurology, The Second Affiliated Hospital, Guangzhou University of  Chinese Medicine, Guangzhou, China.; Department of Neurology, The First Affiliated Hospital, Guangzhou Medical  University, Guangzhou, China.&lt;/_author_adr&gt;&lt;_collection_scope&gt;SCIE&lt;/_collection_scope&gt;&lt;_created&gt;65242085&lt;/_created&gt;&lt;_date&gt;2018-01-20&lt;/_date&gt;&lt;_date_display&gt;2018&lt;/_date_display&gt;&lt;_doi&gt;10.3389/fnagi.2018.00206&lt;/_doi&gt;&lt;_impact_factor&gt;   5.750&lt;/_impact_factor&gt;&lt;_isbn&gt;1663-4365 (Print); 1663-4365 (Electronic); 1663-4365 (Linking)&lt;/_isbn&gt;&lt;_journal&gt;Front Aging Neurosci&lt;/_journal&gt;&lt;_keywords&gt;Parkinson&amp;apos;s disease; acupuncture; functional magnetic resonance imaging; neuromechanism; tremor&lt;/_keywords&gt;&lt;_language&gt;eng&lt;/_language&gt;&lt;_modified&gt;65249106&lt;/_modified&gt;&lt;_pages&gt;206&lt;/_pages&gt;&lt;_tertiary_title&gt;Frontiers in aging neuroscience&lt;/_tertiary_title&gt;&lt;_type_work&gt;Journal Article&lt;/_type_work&gt;&lt;_url&gt;http://www.ncbi.nlm.nih.gov/entrez/query.fcgi?cmd=Retrieve&amp;amp;db=pubmed&amp;amp;dopt=Abstract&amp;amp;list_uids=30034336&amp;amp;query_hl=1&lt;/_url&gt;&lt;_volume&gt;10&lt;/_volume&gt;&lt;/Details&gt;&lt;Extra&gt;&lt;DBUID&gt;{C17D6F6B-8083-4309-846F-491B5EF1CC4E}&lt;/DBUID&gt;&lt;/Extra&gt;&lt;/Item&gt;&lt;/References&gt;&lt;/Group&gt;&lt;/Citation&gt;_x000a_"/>
    <w:docVar w:name="NE.Ref{8B65C6C1-D4C6-464D-B671-1B844358A75D}" w:val=" ADDIN NE.Ref.{8B65C6C1-D4C6-464D-B671-1B844358A75D}&lt;Citation&gt;&lt;Group&gt;&lt;References&gt;&lt;Item&gt;&lt;ID&gt;45&lt;/ID&gt;&lt;UID&gt;{B4B9CD58-8EE6-44A9-BF11-724066576CE9}&lt;/UID&gt;&lt;Title&gt;Rehabilitation for Parkinson&amp;apos;s disease: Current outlook and future challenges&lt;/Title&gt;&lt;Template&gt;Journal Article&lt;/Template&gt;&lt;Star&gt;0&lt;/Star&gt;&lt;Tag&gt;0&lt;/Tag&gt;&lt;Author&gt;Abbruzzese, G; Marchese, R; Avanzino, L; Pelosin, E&lt;/Author&gt;&lt;Year&gt;2016&lt;/Year&gt;&lt;Details&gt;&lt;_accession_num&gt;26360239&lt;/_accession_num&gt;&lt;_author_adr&gt;Centre for Parkinson&amp;apos;s Disease, Department of Neuroscience, Rehabilitation,  Ophthalmology, Genetics and Maternal Child Health, University of Genoa, Genoa,  Italy; Unit of Rehabilitation and Functional Recovery, IRCCS S. Martino  Hospital-IST, Genoa, Italy. Electronic address: giabbr@unige.it.; Centre for Parkinson&amp;apos;s Disease, Department of Neuroscience, Rehabilitation,  Ophthalmology, Genetics and Maternal Child Health, University of Genoa, Genoa,  Italy; Unit of Rehabilitation and Functional Recovery, IRCCS S. Martino  Hospital-IST, Genoa, Italy.; Department of Experimental Medicine, Section of Human Physiology and Centro  Polifunzionale di Scienze Motorie, University of Genoa, Genoa, Italy.; Centre for Parkinson&amp;apos;s Disease, Department of Neuroscience, Rehabilitation,  Ophthalmology, Genetics and Maternal Child Health, University of Genoa, Genoa,  Italy; Unit of Rehabilitation and Functional Recovery, IRCCS S. Martino  Hospital-IST, Genoa, Italy.&lt;/_author_adr&gt;&lt;_created&gt;65683614&lt;/_created&gt;&lt;_date&gt;2016-01-01&lt;/_date&gt;&lt;_date_display&gt;2016 Jan&lt;/_date_display&gt;&lt;_doi&gt;10.1016/j.parkreldis.2015.09.005&lt;/_doi&gt;&lt;_impact_factor&gt;   4.891&lt;/_impact_factor&gt;&lt;_isbn&gt;1873-5126 (Electronic); 1353-8020 (Linking)&lt;/_isbn&gt;&lt;_journal&gt;Parkinsonism Relat Disord&lt;/_journal&gt;&lt;_keywords&gt;Parkinson&amp;apos;s disease; Physical exercise; Plasticity; Rehabilitation&lt;/_keywords&gt;&lt;_language&gt;eng&lt;/_language&gt;&lt;_modified&gt;65683614&lt;/_modified&gt;&lt;_ori_publication&gt;Copyright © 2015 Elsevier Ltd. All rights reserved.&lt;/_ori_publication&gt;&lt;_pages&gt;S60-4&lt;/_pages&gt;&lt;_subject_headings&gt;Activities of Daily Living; Animals; Exercise/physiology; Exercise Therapy/*trends; Forecasting; Gait/physiology; Humans; Parkinson Disease/*diagnosis/*rehabilitation; Physical Therapy Modalities/trends&lt;/_subject_headings&gt;&lt;_tertiary_title&gt;Parkinsonism &amp;amp; related disorders&lt;/_tertiary_title&gt;&lt;_type_work&gt;Journal Article; Review&lt;/_type_work&gt;&lt;_url&gt;http://www.ncbi.nlm.nih.gov/entrez/query.fcgi?cmd=Retrieve&amp;amp;db=pubmed&amp;amp;dopt=Abstract&amp;amp;list_uids=26360239&amp;amp;query_hl=1&lt;/_url&gt;&lt;_volume&gt;22 Suppl 1&lt;/_volume&gt;&lt;/Details&gt;&lt;Extra&gt;&lt;DBUID&gt;{2CE30903-D6F4-44D6-B07F-1478F78401EF}&lt;/DBUID&gt;&lt;/Extra&gt;&lt;/Item&gt;&lt;/References&gt;&lt;/Group&gt;&lt;/Citation&gt;_x000a_"/>
    <w:docVar w:name="NE.Ref{AFDDB33F-41D3-4F3B-870F-F74A6D6E4DB7}" w:val=" ADDIN NE.Ref.{AFDDB33F-41D3-4F3B-870F-F74A6D6E4DB7}&lt;Citation&gt;&lt;Group&gt;&lt;References&gt;&lt;Item&gt;&lt;ID&gt;41&lt;/ID&gt;&lt;UID&gt;{21B4F7F2-373A-4333-BF92-06E307E3C64B}&lt;/UID&gt;&lt;Title&gt;Electroacupuncture for motor dysfunction and constipation in patients with  Parkinson&amp;apos;s disease: a randomised controlled multi-centre trial&lt;/Title&gt;&lt;Template&gt;Journal Article&lt;/Template&gt;&lt;Star&gt;0&lt;/Star&gt;&lt;Tag&gt;5&lt;/Tag&gt;&lt;Author&gt;Li, K; Xu, S; Wang, R; Zou, X; Liu, H; Fan, C; Li, J; Li, G; Wu, Y; Ma, X; Chen, Y; Hu, C; Liu, X; Yuan, C; Ye, Q; Dai, M; Wu, L; Wang, Z; Wu, H&lt;/Author&gt;&lt;Year&gt;2023&lt;/Year&gt;&lt;Details&gt;&lt;_accession_num&gt;36691434&lt;/_accession_num&gt;&lt;_author_adr&gt;Yueyang Hospital of Integrated Chinese and Western Medicine, Shanghai University  of Traditional Chinese Medicine, Shanghai 200437, China.; Shanghai Municipal Hospital of Traditional Chinese Medicine, Shanghai University  of Traditional Chinese Medicine, Shanghai 200071, China.; Shanghai Skin Disease Hospital, Tongji University, Shanghai 200443, China.; Yueyang Hospital of Integrated Chinese and Western Medicine, Shanghai University  of Traditional Chinese Medicine, Shanghai 200437, China.; Yueyang Hospital of Integrated Chinese and Western Medicine, Shanghai University  of Traditional Chinese Medicine, Shanghai 200437, China.; Institute of Translational Medicine, Shanghai Jiao Tong University, Shanghai  200240, China.; Yueyang Hospital of Integrated Chinese and Western Medicine, Shanghai University  of Traditional Chinese Medicine, Shanghai 200437, China.; Yueyang Hospital of Integrated Chinese and Western Medicine, Shanghai University  of Traditional Chinese Medicine, Shanghai 200437, China.; Ruijin Hospital, Shanghai Jiao Tong University School of Medicine, Shanghai  200025, China.; Yueyang Hospital of Integrated Chinese and Western Medicine, Shanghai University  of Traditional Chinese Medicine, Shanghai 200437, China.; Yueyang Hospital of Integrated Chinese and Western Medicine, Shanghai University  of Traditional Chinese Medicine, Shanghai 200437, China.; Yueyang Hospital of Integrated Chinese and Western Medicine, Shanghai University  of Traditional Chinese Medicine, Shanghai 200437, China.; Shuguang Hospital, Shanghai University of Traditional Chinese Medicine, Shanghai  201203, China.; Longhua Hospital, Shanghai University of Traditional Chinese Medicine, Shanghai  200032, China.; Longhua Hospital, Shanghai University of Traditional Chinese Medicine, Shanghai  200032, China.; Longhua Hospital, Shanghai University of Traditional Chinese Medicine, Shanghai  200032, China.; Yueyang Hospital of Integrated Chinese and Western Medicine, Shanghai University  of Traditional Chinese Medicine, Shanghai 200437, China.; Yueyang Hospital of Integrated Chinese and Western Medicine, Shanghai University  of Traditional Chinese Medicine, Shanghai 200437, China.; Yueyang Hospital of Integrated Chinese and Western Medicine, Shanghai University  of Traditional Chinese Medicine, Shanghai 200437, China.&lt;/_author_adr&gt;&lt;_created&gt;65237673&lt;/_created&gt;&lt;_date&gt;2023-02-01&lt;/_date&gt;&lt;_date_display&gt;2023 Feb&lt;/_date_display&gt;&lt;_doi&gt;10.1016/j.eclinm.2022.101814&lt;/_doi&gt;&lt;_isbn&gt;2589-5370 (Electronic); 2589-5370 (Linking)&lt;/_isbn&gt;&lt;_journal&gt;EClinicalMedicine&lt;/_journal&gt;&lt;_keywords&gt;CCS, Chronic constipation severity scale; Constipation; EA, Electroacupuncture; Electroacupuncture; ITT, Intention-to-treat; LED, Levodopa equivalent dose; MMSE, Mini-Mental State Examination; Motor dysfunction; PAC-QOL, Patient assessment of constipation quality of life; PD, Parkinson&amp;apos;s disease; PDQ-39, 39-item Parkinson Disease Question; Parkinson&amp;apos;s disease; SBMs, Spontaneous bowel movements; UPDRS, Unified Parkinson’s Disease Rating Scale; VAS, Visual Analogue Scale&lt;/_keywords&gt;&lt;_language&gt;eng&lt;/_language&gt;&lt;_modified&gt;65249106&lt;/_modified&gt;&lt;_ori_publication&gt;© 2022 The Authors.&lt;/_ori_publication&gt;&lt;_pages&gt;101814&lt;/_pages&gt;&lt;_tertiary_title&gt;EClinicalMedicine&lt;/_tertiary_title&gt;&lt;_type_work&gt;Journal Article&lt;/_type_work&gt;&lt;_url&gt;http://www.ncbi.nlm.nih.gov/entrez/query.fcgi?cmd=Retrieve&amp;amp;db=pubmed&amp;amp;dopt=Abstract&amp;amp;list_uids=36691434&amp;amp;query_hl=1&lt;/_url&gt;&lt;_volume&gt;56&lt;/_volume&gt;&lt;/Details&gt;&lt;Extra&gt;&lt;DBUID&gt;{C17D6F6B-8083-4309-846F-491B5EF1CC4E}&lt;/DBUID&gt;&lt;/Extra&gt;&lt;/Item&gt;&lt;/References&gt;&lt;/Group&gt;&lt;/Citation&gt;_x000a_"/>
    <w:docVar w:name="NE.Ref{B2306C1A-48EC-4757-8819-1C53CFB464D2}" w:val=" ADDIN NE.Ref.{B2306C1A-48EC-4757-8819-1C53CFB464D2}&lt;Citation&gt;&lt;Group&gt;&lt;References&gt;&lt;Item&gt;&lt;ID&gt;43&lt;/ID&gt;&lt;UID&gt;{203909C0-EF46-4B61-9464-5D18F2E6B8C1}&lt;/UID&gt;&lt;Title&gt;Parkinson&amp;apos;s disease&lt;/Title&gt;&lt;Template&gt;Journal Article&lt;/Template&gt;&lt;Star&gt;0&lt;/Star&gt;&lt;Tag&gt;5&lt;/Tag&gt;&lt;Author&gt;Bloem, B R; Okun, M S; Klein, C&lt;/Author&gt;&lt;Year&gt;2021&lt;/Year&gt;&lt;Details&gt;&lt;_accession_num&gt;33848468&lt;/_accession_num&gt;&lt;_author_adr&gt;Radboud University Medical Centre, Donders Institute for Brain, Cognition and  Behaviour, Department of Neurology, Centre of Expertise for Parkinson and  Movement Disorders, Nijmegen, Netherlands. Electronic address:  bas.bloem@radboudumc.nl.; Department of Neurology, Norman Fixel Institute for Neurological Diseases,  University of Florida, Gainesville, FL, USA.; Institute of Neurogenetics and Department of Neurology, University of Lübeck and  University Hospital Schleswig-Holstein, Lübeck, Germany.&lt;/_author_adr&gt;&lt;_collection_scope&gt;SCI;SCIE&lt;/_collection_scope&gt;&lt;_created&gt;65241421&lt;/_created&gt;&lt;_date&gt;2021-06-12&lt;/_date&gt;&lt;_date_display&gt;2021 Jun 12&lt;/_date_display&gt;&lt;_doi&gt;10.1016/S0140-6736(21)00218-X&lt;/_doi&gt;&lt;_impact_factor&gt;  79.323&lt;/_impact_factor&gt;&lt;_isbn&gt;1474-547X (Electronic); 0140-6736 (Linking)&lt;/_isbn&gt;&lt;_issue&gt;10291&lt;/_issue&gt;&lt;_journal&gt;Lancet&lt;/_journal&gt;&lt;_language&gt;eng&lt;/_language&gt;&lt;_modified&gt;65249091&lt;/_modified&gt;&lt;_ori_publication&gt;Copyright © 2021 Elsevier Ltd. All rights reserved.&lt;/_ori_publication&gt;&lt;_pages&gt;2284-2303&lt;/_pages&gt;&lt;_subject_headings&gt;Antiparkinson Agents/*therapeutic use; Disease Management; Humans; Levodopa/*therapeutic use; *Parkinson Disease/diagnosis/drug therapy/genetics; *Prodromal Symptoms; Time Factors; Tremor/etiology&lt;/_subject_headings&gt;&lt;_tertiary_title&gt;Lancet (London, England)&lt;/_tertiary_title&gt;&lt;_type_work&gt;Journal Article; Review&lt;/_type_work&gt;&lt;_url&gt;http://www.ncbi.nlm.nih.gov/entrez/query.fcgi?cmd=Retrieve&amp;amp;db=pubmed&amp;amp;dopt=Abstract&amp;amp;list_uids=33848468&amp;amp;query_hl=1&lt;/_url&gt;&lt;_volume&gt;397&lt;/_volume&gt;&lt;/Details&gt;&lt;Extra&gt;&lt;DBUID&gt;{C17D6F6B-8083-4309-846F-491B5EF1CC4E}&lt;/DBUID&gt;&lt;/Extra&gt;&lt;/Item&gt;&lt;/References&gt;&lt;/Group&gt;&lt;/Citation&gt;_x000a_"/>
    <w:docVar w:name="NE.Ref{B8B55466-581C-4DA2-920F-E438CE2F78B3}" w:val=" ADDIN NE.Ref.{B8B55466-581C-4DA2-920F-E438CE2F78B3}&lt;Citation&gt;&lt;Group&gt;&lt;References&gt;&lt;Item&gt;&lt;ID&gt;214&lt;/ID&gt;&lt;UID&gt;{2AD050AC-981B-45D3-B615-35C6401A22E1}&lt;/UID&gt;&lt;Title&gt;WHO Standard Acupuncture Point Locations&lt;/Title&gt;&lt;Template&gt;Edited Book&lt;/Template&gt;&lt;Star&gt;0&lt;/Star&gt;&lt;Tag&gt;0&lt;/Tag&gt;&lt;Author&gt;Lim, S&lt;/Author&gt;&lt;Year&gt;2010&lt;/Year&gt;&lt;Details&gt;&lt;_accessed&gt;65831826&lt;/_accessed&gt;&lt;_accession_num&gt;19204011&lt;/_accession_num&gt;&lt;_author_adr&gt;Division of Acupuncture &amp;amp; Meridian, WHO Collaborating Center for Traditional  Medicine, East-West Medical Research Institute, Department of Applied Eastern  Medicine, Graduate School and Department of Meridian and Acupuncture, Graduate  School of Basic Eastern Medical Science, Kyung Hee University, Seoul, South  Korea.&lt;/_author_adr&gt;&lt;_created&gt;65831825&lt;/_created&gt;&lt;_date&gt;58072320&lt;/_date&gt;&lt;_date_display&gt;2010 Jun&lt;/_date_display&gt;&lt;_db_updated&gt;PubMed&lt;/_db_updated&gt;&lt;_doi&gt;10.1093/ecam/nep006&lt;/_doi&gt;&lt;_impact_factor&gt;   2.630&lt;/_impact_factor&gt;&lt;_isbn&gt;1741-4288 (Electronic); 1741-427X (Print); 1741-427X (Linking)&lt;/_isbn&gt;&lt;_issue&gt;2&lt;/_issue&gt;&lt;_journal&gt;Evid Based Complement Alternat Med&lt;/_journal&gt;&lt;_language&gt;eng&lt;/_language&gt;&lt;_modified&gt;65831826&lt;/_modified&gt;&lt;_pages&gt;167-8&lt;/_pages&gt;&lt;_tertiary_title&gt;Evidence-based complementary and alternative medicine : eCAM&lt;/_tertiary_title&gt;&lt;_type_work&gt;Journal Article&lt;/_type_work&gt;&lt;_url&gt;http://www.ncbi.nlm.nih.gov/entrez/query.fcgi?cmd=Retrieve&amp;amp;db=pubmed&amp;amp;dopt=Abstract&amp;amp;list_uids=19204011&amp;amp;query_hl=1&lt;/_url&gt;&lt;_volume&gt;7&lt;/_volume&gt;&lt;/Details&gt;&lt;Extra&gt;&lt;DBUID&gt;{2CE30903-D6F4-44D6-B07F-1478F78401EF}&lt;/DBUID&gt;&lt;/Extra&gt;&lt;/Item&gt;&lt;/References&gt;&lt;/Group&gt;&lt;/Citation&gt;_x000a_"/>
    <w:docVar w:name="NE.Ref{D3DDF55F-058F-4F54-BE11-AC183E007C09}" w:val=" ADDIN NE.Ref.{D3DDF55F-058F-4F54-BE11-AC183E007C09}&lt;Citation&gt;&lt;Group&gt;&lt;References&gt;&lt;Item&gt;&lt;ID&gt;41&lt;/ID&gt;&lt;UID&gt;{21B4F7F2-373A-4333-BF92-06E307E3C64B}&lt;/UID&gt;&lt;Title&gt;Electroacupuncture for motor dysfunction and constipation in patients with  Parkinson&amp;apos;s disease: a randomised controlled multi-centre trial&lt;/Title&gt;&lt;Template&gt;Journal Article&lt;/Template&gt;&lt;Star&gt;0&lt;/Star&gt;&lt;Tag&gt;5&lt;/Tag&gt;&lt;Author&gt;Li, K; Xu, S; Wang, R; Zou, X; Liu, H; Fan, C; Li, J; Li, G; Wu, Y; Ma, X; Chen, Y; Hu, C; Liu, X; Yuan, C; Ye, Q; Dai, M; Wu, L; Wang, Z; Wu, H&lt;/Author&gt;&lt;Year&gt;2023&lt;/Year&gt;&lt;Details&gt;&lt;_accession_num&gt;36691434&lt;/_accession_num&gt;&lt;_author_adr&gt;Yueyang Hospital of Integrated Chinese and Western Medicine, Shanghai University  of Traditional Chinese Medicine, Shanghai 200437, China.; Shanghai Municipal Hospital of Traditional Chinese Medicine, Shanghai University  of Traditional Chinese Medicine, Shanghai 200071, China.; Shanghai Skin Disease Hospital, Tongji University, Shanghai 200443, China.; Yueyang Hospital of Integrated Chinese and Western Medicine, Shanghai University  of Traditional Chinese Medicine, Shanghai 200437, China.; Yueyang Hospital of Integrated Chinese and Western Medicine, Shanghai University  of Traditional Chinese Medicine, Shanghai 200437, China.; Institute of Translational Medicine, Shanghai Jiao Tong University, Shanghai  200240, China.; Yueyang Hospital of Integrated Chinese and Western Medicine, Shanghai University  of Traditional Chinese Medicine, Shanghai 200437, China.; Yueyang Hospital of Integrated Chinese and Western Medicine, Shanghai University  of Traditional Chinese Medicine, Shanghai 200437, China.; Ruijin Hospital, Shanghai Jiao Tong University School of Medicine, Shanghai  200025, China.; Yueyang Hospital of Integrated Chinese and Western Medicine, Shanghai University  of Traditional Chinese Medicine, Shanghai 200437, China.; Yueyang Hospital of Integrated Chinese and Western Medicine, Shanghai University  of Traditional Chinese Medicine, Shanghai 200437, China.; Yueyang Hospital of Integrated Chinese and Western Medicine, Shanghai University  of Traditional Chinese Medicine, Shanghai 200437, China.; Shuguang Hospital, Shanghai University of Traditional Chinese Medicine, Shanghai  201203, China.; Longhua Hospital, Shanghai University of Traditional Chinese Medicine, Shanghai  200032, China.; Longhua Hospital, Shanghai University of Traditional Chinese Medicine, Shanghai  200032, China.; Longhua Hospital, Shanghai University of Traditional Chinese Medicine, Shanghai  200032, China.; Yueyang Hospital of Integrated Chinese and Western Medicine, Shanghai University  of Traditional Chinese Medicine, Shanghai 200437, China.; Yueyang Hospital of Integrated Chinese and Western Medicine, Shanghai University  of Traditional Chinese Medicine, Shanghai 200437, China.; Yueyang Hospital of Integrated Chinese and Western Medicine, Shanghai University  of Traditional Chinese Medicine, Shanghai 200437, China.&lt;/_author_adr&gt;&lt;_created&gt;65237673&lt;/_created&gt;&lt;_date&gt;2023-02-01&lt;/_date&gt;&lt;_date_display&gt;2023 Feb&lt;/_date_display&gt;&lt;_doi&gt;10.1016/j.eclinm.2022.101814&lt;/_doi&gt;&lt;_isbn&gt;2589-5370 (Electronic); 2589-5370 (Linking)&lt;/_isbn&gt;&lt;_journal&gt;EClinicalMedicine&lt;/_journal&gt;&lt;_keywords&gt;CCS, Chronic constipation severity scale; Constipation; EA, Electroacupuncture; Electroacupuncture; ITT, Intention-to-treat; LED, Levodopa equivalent dose; MMSE, Mini-Mental State Examination; Motor dysfunction; PAC-QOL, Patient assessment of constipation quality of life; PD, Parkinson&amp;apos;s disease; PDQ-39, 39-item Parkinson Disease Question; Parkinson&amp;apos;s disease; SBMs, Spontaneous bowel movements; UPDRS, Unified Parkinson’s Disease Rating Scale; VAS, Visual Analogue Scale&lt;/_keywords&gt;&lt;_language&gt;eng&lt;/_language&gt;&lt;_modified&gt;65249106&lt;/_modified&gt;&lt;_ori_publication&gt;© 2022 The Authors.&lt;/_ori_publication&gt;&lt;_pages&gt;101814&lt;/_pages&gt;&lt;_tertiary_title&gt;EClinicalMedicine&lt;/_tertiary_title&gt;&lt;_type_work&gt;Journal Article&lt;/_type_work&gt;&lt;_url&gt;http://www.ncbi.nlm.nih.gov/entrez/query.fcgi?cmd=Retrieve&amp;amp;db=pubmed&amp;amp;dopt=Abstract&amp;amp;list_uids=36691434&amp;amp;query_hl=1&lt;/_url&gt;&lt;_volume&gt;56&lt;/_volume&gt;&lt;/Details&gt;&lt;Extra&gt;&lt;DBUID&gt;{C17D6F6B-8083-4309-846F-491B5EF1CC4E}&lt;/DBUID&gt;&lt;/Extra&gt;&lt;/Item&gt;&lt;/References&gt;&lt;/Group&gt;&lt;/Citation&gt;_x000a_"/>
    <w:docVar w:name="NE.Ref{F569F889-A4C8-4574-93FF-3FAF18B6C8FF}" w:val=" ADDIN NE.Ref.{F569F889-A4C8-4574-93FF-3FAF18B6C8FF}&lt;Citation&gt;&lt;Group&gt;&lt;References&gt;&lt;Item&gt;&lt;ID&gt;212&lt;/ID&gt;&lt;UID&gt;{140DD301-2444-47A2-8131-386A40FED558}&lt;/UID&gt;&lt;Title&gt;Global, regional, national epidemiology and trends of Parkinson&amp;apos;s disease from  1990 to 2021: findings from the Global Burden of Disease Study 2021&lt;/Title&gt;&lt;Template&gt;Journal Article&lt;/Template&gt;&lt;Star&gt;0&lt;/Star&gt;&lt;Tag&gt;0&lt;/Tag&gt;&lt;Author&gt;Luo, Y; Qiao, L; Li, M; Wen, X; Zhang, W; Li, X&lt;/Author&gt;&lt;Year&gt;2024&lt;/Year&gt;&lt;Details&gt;&lt;_accession_num&gt;39868382&lt;/_accession_num&gt;&lt;_author_adr&gt;Department of Anesthesiology, Affiliated Nanjing Brain Hospital of Nanjing  Medical University, Nanjing, China.; School of Public Health, Xi&amp;apos;an Jiaotong University Health Science Center, Xi&amp;apos;an,  China.; School of Public Health, Xi&amp;apos;an Jiaotong University Health Science Center, Xi&amp;apos;an,  China.; School of Public Health, Xi&amp;apos;an Jiaotong University Health Science Center, Xi&amp;apos;an,  China.; Department of Functional Neurosurgery, Affiliated Nanjing Brain Hospital of  Nanjing Medical University, Nanjing, China.; School of Nursing, Nanjing Medical University, Nanjing, China.&lt;/_author_adr&gt;&lt;_collection_scope&gt;SCIE&lt;/_collection_scope&gt;&lt;_created&gt;65831780&lt;/_created&gt;&lt;_date&gt;2024-01-20&lt;/_date&gt;&lt;_date_display&gt;2024&lt;/_date_display&gt;&lt;_doi&gt;10.3389/fnagi.2024.1498756&lt;/_doi&gt;&lt;_impact_factor&gt;   5.750&lt;/_impact_factor&gt;&lt;_isbn&gt;1663-4365 (Print); 1663-4365 (Electronic); 1663-4365 (Linking)&lt;/_isbn&gt;&lt;_journal&gt;Front Aging Neurosci&lt;/_journal&gt;&lt;_keywords&gt;DALYs; Global Burden of Disease Study; Parkinson’s disease; disability-adjusted life years; population aging&lt;/_keywords&gt;&lt;_language&gt;eng&lt;/_language&gt;&lt;_modified&gt;65831780&lt;/_modified&gt;&lt;_ori_publication&gt;Copyright © 2025 Luo, Qiao, Li, Wen, Zhang and Li.&lt;/_ori_publication&gt;&lt;_pages&gt;1498756&lt;/_pages&gt;&lt;_tertiary_title&gt;Frontiers in aging neuroscience&lt;/_tertiary_title&gt;&lt;_type_work&gt;Journal Article&lt;/_type_work&gt;&lt;_url&gt;http://www.ncbi.nlm.nih.gov/entrez/query.fcgi?cmd=Retrieve&amp;amp;db=pubmed&amp;amp;dopt=Abstract&amp;amp;list_uids=39868382&amp;amp;query_hl=1&lt;/_url&gt;&lt;_volume&gt;16&lt;/_volume&gt;&lt;/Details&gt;&lt;Extra&gt;&lt;DBUID&gt;{2CE30903-D6F4-44D6-B07F-1478F78401EF}&lt;/DBUID&gt;&lt;/Extra&gt;&lt;/Item&gt;&lt;/References&gt;&lt;/Group&gt;&lt;/Citation&gt;_x000a_"/>
    <w:docVar w:name="ne_docsoft" w:val="MSWord"/>
    <w:docVar w:name="ne_docversion" w:val="NoteExpress 2.0"/>
    <w:docVar w:name="ne_stylename" w:val="JAMA Neurology"/>
  </w:docVars>
  <w:rsids>
    <w:rsidRoot w:val="00172A27"/>
    <w:rsid w:val="0002096F"/>
    <w:rsid w:val="00024A2F"/>
    <w:rsid w:val="00024ECA"/>
    <w:rsid w:val="00026647"/>
    <w:rsid w:val="000306B5"/>
    <w:rsid w:val="00051CB3"/>
    <w:rsid w:val="000534C6"/>
    <w:rsid w:val="00074D8F"/>
    <w:rsid w:val="00086D26"/>
    <w:rsid w:val="00090E8E"/>
    <w:rsid w:val="0009281F"/>
    <w:rsid w:val="000A51E6"/>
    <w:rsid w:val="000B058A"/>
    <w:rsid w:val="000B4639"/>
    <w:rsid w:val="000D2A9B"/>
    <w:rsid w:val="000F2DD6"/>
    <w:rsid w:val="00103A3B"/>
    <w:rsid w:val="00105285"/>
    <w:rsid w:val="00137D57"/>
    <w:rsid w:val="00145102"/>
    <w:rsid w:val="00172A27"/>
    <w:rsid w:val="001856EA"/>
    <w:rsid w:val="00186192"/>
    <w:rsid w:val="001C2E66"/>
    <w:rsid w:val="001E4215"/>
    <w:rsid w:val="0020095B"/>
    <w:rsid w:val="00235AAB"/>
    <w:rsid w:val="002522F3"/>
    <w:rsid w:val="00285C62"/>
    <w:rsid w:val="002C6723"/>
    <w:rsid w:val="002D2A7B"/>
    <w:rsid w:val="002D693F"/>
    <w:rsid w:val="002F0DA5"/>
    <w:rsid w:val="00310346"/>
    <w:rsid w:val="00313E73"/>
    <w:rsid w:val="00315876"/>
    <w:rsid w:val="00323B9E"/>
    <w:rsid w:val="00345039"/>
    <w:rsid w:val="0038402D"/>
    <w:rsid w:val="00384306"/>
    <w:rsid w:val="00384A40"/>
    <w:rsid w:val="00384C5D"/>
    <w:rsid w:val="00391D5D"/>
    <w:rsid w:val="003A50F2"/>
    <w:rsid w:val="003D2D65"/>
    <w:rsid w:val="003F39E1"/>
    <w:rsid w:val="00406387"/>
    <w:rsid w:val="00407305"/>
    <w:rsid w:val="0041070A"/>
    <w:rsid w:val="00432224"/>
    <w:rsid w:val="00460ECE"/>
    <w:rsid w:val="00466C79"/>
    <w:rsid w:val="0047673A"/>
    <w:rsid w:val="004C052F"/>
    <w:rsid w:val="004D5B40"/>
    <w:rsid w:val="004E35F9"/>
    <w:rsid w:val="00505E6A"/>
    <w:rsid w:val="00532A51"/>
    <w:rsid w:val="005634D1"/>
    <w:rsid w:val="00587F98"/>
    <w:rsid w:val="005C514E"/>
    <w:rsid w:val="005E39DB"/>
    <w:rsid w:val="00603A15"/>
    <w:rsid w:val="00660184"/>
    <w:rsid w:val="00660F0A"/>
    <w:rsid w:val="006F3295"/>
    <w:rsid w:val="00711A11"/>
    <w:rsid w:val="00733505"/>
    <w:rsid w:val="007445CD"/>
    <w:rsid w:val="00744D42"/>
    <w:rsid w:val="00747421"/>
    <w:rsid w:val="00747854"/>
    <w:rsid w:val="00754A3C"/>
    <w:rsid w:val="0078082E"/>
    <w:rsid w:val="0078158A"/>
    <w:rsid w:val="00785C96"/>
    <w:rsid w:val="007A5659"/>
    <w:rsid w:val="007C4A2F"/>
    <w:rsid w:val="007F1060"/>
    <w:rsid w:val="007F2419"/>
    <w:rsid w:val="00803199"/>
    <w:rsid w:val="00840BB4"/>
    <w:rsid w:val="00845E4C"/>
    <w:rsid w:val="00851D51"/>
    <w:rsid w:val="00881C90"/>
    <w:rsid w:val="00891DB0"/>
    <w:rsid w:val="00895BFE"/>
    <w:rsid w:val="00897E4C"/>
    <w:rsid w:val="008D0AFC"/>
    <w:rsid w:val="008E6D02"/>
    <w:rsid w:val="008F5A89"/>
    <w:rsid w:val="009002C2"/>
    <w:rsid w:val="00902436"/>
    <w:rsid w:val="0093127C"/>
    <w:rsid w:val="0093158A"/>
    <w:rsid w:val="00940C67"/>
    <w:rsid w:val="00947128"/>
    <w:rsid w:val="0096434A"/>
    <w:rsid w:val="0097645B"/>
    <w:rsid w:val="0098197E"/>
    <w:rsid w:val="00983E50"/>
    <w:rsid w:val="009975F4"/>
    <w:rsid w:val="009E6C39"/>
    <w:rsid w:val="00A15E32"/>
    <w:rsid w:val="00A20406"/>
    <w:rsid w:val="00A231F2"/>
    <w:rsid w:val="00A53E4D"/>
    <w:rsid w:val="00A75F26"/>
    <w:rsid w:val="00A80D1F"/>
    <w:rsid w:val="00A93F36"/>
    <w:rsid w:val="00AA37B0"/>
    <w:rsid w:val="00AD4ED2"/>
    <w:rsid w:val="00AF7073"/>
    <w:rsid w:val="00B04782"/>
    <w:rsid w:val="00B11197"/>
    <w:rsid w:val="00B4101B"/>
    <w:rsid w:val="00B57F96"/>
    <w:rsid w:val="00B75557"/>
    <w:rsid w:val="00B77B2B"/>
    <w:rsid w:val="00B870FC"/>
    <w:rsid w:val="00BA3018"/>
    <w:rsid w:val="00BA3895"/>
    <w:rsid w:val="00BD2024"/>
    <w:rsid w:val="00BD2BE8"/>
    <w:rsid w:val="00BE74DF"/>
    <w:rsid w:val="00C103C5"/>
    <w:rsid w:val="00C20730"/>
    <w:rsid w:val="00C61288"/>
    <w:rsid w:val="00C804D1"/>
    <w:rsid w:val="00C86FAF"/>
    <w:rsid w:val="00CB582F"/>
    <w:rsid w:val="00CF0F11"/>
    <w:rsid w:val="00D06017"/>
    <w:rsid w:val="00D1097E"/>
    <w:rsid w:val="00D117F3"/>
    <w:rsid w:val="00D12D81"/>
    <w:rsid w:val="00D45FCF"/>
    <w:rsid w:val="00D562C7"/>
    <w:rsid w:val="00D7475C"/>
    <w:rsid w:val="00D74954"/>
    <w:rsid w:val="00D810E6"/>
    <w:rsid w:val="00D95880"/>
    <w:rsid w:val="00DA44A3"/>
    <w:rsid w:val="00DB5D2F"/>
    <w:rsid w:val="00DC3771"/>
    <w:rsid w:val="00DC7769"/>
    <w:rsid w:val="00DE63DB"/>
    <w:rsid w:val="00DF73F6"/>
    <w:rsid w:val="00E05E0D"/>
    <w:rsid w:val="00E35575"/>
    <w:rsid w:val="00E61B21"/>
    <w:rsid w:val="00E97E51"/>
    <w:rsid w:val="00EB45B9"/>
    <w:rsid w:val="00ED3A85"/>
    <w:rsid w:val="00EE1E82"/>
    <w:rsid w:val="00EF7FE7"/>
    <w:rsid w:val="00F03849"/>
    <w:rsid w:val="00F06CA8"/>
    <w:rsid w:val="00F35170"/>
    <w:rsid w:val="00F355A2"/>
    <w:rsid w:val="00F73467"/>
    <w:rsid w:val="00F751BF"/>
    <w:rsid w:val="00F97B72"/>
    <w:rsid w:val="14504DBB"/>
    <w:rsid w:val="171906E9"/>
    <w:rsid w:val="2B0B3B2B"/>
    <w:rsid w:val="2D587CFE"/>
    <w:rsid w:val="338F44F8"/>
    <w:rsid w:val="345701B8"/>
    <w:rsid w:val="352314FD"/>
    <w:rsid w:val="35652011"/>
    <w:rsid w:val="39A00E47"/>
    <w:rsid w:val="43F53ADC"/>
    <w:rsid w:val="44837ABC"/>
    <w:rsid w:val="60327E35"/>
    <w:rsid w:val="603559A2"/>
    <w:rsid w:val="73635AF2"/>
    <w:rsid w:val="7EF232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5"/>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6"/>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7"/>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8"/>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9"/>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30"/>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31"/>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2"/>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3"/>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unhideWhenUsed/>
    <w:qFormat/>
    <w:uiPriority w:val="35"/>
    <w:rPr>
      <w:rFonts w:eastAsia="黑体" w:asciiTheme="majorHAnsi" w:hAnsiTheme="majorHAnsi" w:cstheme="majorBidi"/>
      <w:sz w:val="20"/>
      <w:szCs w:val="20"/>
    </w:rPr>
  </w:style>
  <w:style w:type="paragraph" w:styleId="12">
    <w:name w:val="toc 3"/>
    <w:basedOn w:val="1"/>
    <w:next w:val="1"/>
    <w:autoRedefine/>
    <w:unhideWhenUsed/>
    <w:qFormat/>
    <w:uiPriority w:val="39"/>
    <w:pPr>
      <w:ind w:left="840" w:leftChars="400"/>
    </w:pPr>
  </w:style>
  <w:style w:type="paragraph" w:styleId="13">
    <w:name w:val="footer"/>
    <w:basedOn w:val="1"/>
    <w:link w:val="45"/>
    <w:unhideWhenUsed/>
    <w:qFormat/>
    <w:uiPriority w:val="0"/>
    <w:pPr>
      <w:tabs>
        <w:tab w:val="center" w:pos="4153"/>
        <w:tab w:val="right" w:pos="8306"/>
      </w:tabs>
      <w:snapToGrid w:val="0"/>
      <w:jc w:val="left"/>
    </w:pPr>
    <w:rPr>
      <w:sz w:val="18"/>
      <w:szCs w:val="18"/>
    </w:rPr>
  </w:style>
  <w:style w:type="paragraph" w:styleId="14">
    <w:name w:val="header"/>
    <w:basedOn w:val="1"/>
    <w:link w:val="44"/>
    <w:unhideWhenUsed/>
    <w:qFormat/>
    <w:uiPriority w:val="99"/>
    <w:pPr>
      <w:tabs>
        <w:tab w:val="center" w:pos="4153"/>
        <w:tab w:val="right" w:pos="8306"/>
      </w:tabs>
      <w:snapToGrid w:val="0"/>
      <w:jc w:val="center"/>
    </w:pPr>
    <w:rPr>
      <w:sz w:val="18"/>
      <w:szCs w:val="18"/>
    </w:rPr>
  </w:style>
  <w:style w:type="paragraph" w:styleId="15">
    <w:name w:val="toc 1"/>
    <w:basedOn w:val="1"/>
    <w:next w:val="1"/>
    <w:autoRedefine/>
    <w:unhideWhenUsed/>
    <w:qFormat/>
    <w:uiPriority w:val="39"/>
    <w:pPr>
      <w:tabs>
        <w:tab w:val="right" w:leader="dot" w:pos="9736"/>
      </w:tabs>
    </w:pPr>
    <w:rPr>
      <w:rFonts w:ascii="Times New Roman" w:hAnsi="Times New Roman" w:cs="Times New Roman"/>
      <w:b/>
      <w:bCs/>
      <w:sz w:val="22"/>
      <w:shd w:val="clear" w:color="auto" w:fill="FFFFFF"/>
    </w:rPr>
  </w:style>
  <w:style w:type="paragraph" w:styleId="16">
    <w:name w:val="Subtitle"/>
    <w:basedOn w:val="1"/>
    <w:next w:val="1"/>
    <w:link w:val="35"/>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7">
    <w:name w:val="toc 2"/>
    <w:basedOn w:val="1"/>
    <w:next w:val="1"/>
    <w:autoRedefine/>
    <w:unhideWhenUsed/>
    <w:qFormat/>
    <w:uiPriority w:val="39"/>
    <w:pPr>
      <w:ind w:left="420" w:leftChars="200"/>
    </w:pPr>
  </w:style>
  <w:style w:type="paragraph" w:styleId="18">
    <w:name w:val="Normal (Web)"/>
    <w:basedOn w:val="1"/>
    <w:semiHidden/>
    <w:unhideWhenUsed/>
    <w:qFormat/>
    <w:uiPriority w:val="99"/>
    <w:rPr>
      <w:sz w:val="24"/>
    </w:rPr>
  </w:style>
  <w:style w:type="paragraph" w:styleId="19">
    <w:name w:val="Title"/>
    <w:basedOn w:val="1"/>
    <w:next w:val="1"/>
    <w:link w:val="34"/>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21">
    <w:name w:val="Table Grid"/>
    <w:basedOn w:val="2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22"/>
    <w:rPr>
      <w:b/>
    </w:rPr>
  </w:style>
  <w:style w:type="character" w:styleId="24">
    <w:name w:val="Hyperlink"/>
    <w:basedOn w:val="22"/>
    <w:unhideWhenUsed/>
    <w:qFormat/>
    <w:uiPriority w:val="99"/>
    <w:rPr>
      <w:color w:val="467886" w:themeColor="hyperlink"/>
      <w:u w:val="single"/>
      <w14:textFill>
        <w14:solidFill>
          <w14:schemeClr w14:val="hlink"/>
        </w14:solidFill>
      </w14:textFill>
    </w:rPr>
  </w:style>
  <w:style w:type="character" w:customStyle="1" w:styleId="25">
    <w:name w:val="标题 1 字符"/>
    <w:basedOn w:val="22"/>
    <w:link w:val="2"/>
    <w:qFormat/>
    <w:uiPriority w:val="9"/>
    <w:rPr>
      <w:rFonts w:asciiTheme="majorHAnsi" w:hAnsiTheme="majorHAnsi" w:eastAsiaTheme="majorEastAsia" w:cstheme="majorBidi"/>
      <w:color w:val="104862" w:themeColor="accent1" w:themeShade="BF"/>
      <w:sz w:val="48"/>
      <w:szCs w:val="48"/>
    </w:rPr>
  </w:style>
  <w:style w:type="character" w:customStyle="1" w:styleId="26">
    <w:name w:val="标题 2 字符"/>
    <w:basedOn w:val="22"/>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7">
    <w:name w:val="标题 3 字符"/>
    <w:basedOn w:val="22"/>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8">
    <w:name w:val="标题 4 字符"/>
    <w:basedOn w:val="22"/>
    <w:link w:val="5"/>
    <w:semiHidden/>
    <w:qFormat/>
    <w:uiPriority w:val="9"/>
    <w:rPr>
      <w:rFonts w:cstheme="majorBidi"/>
      <w:color w:val="104862" w:themeColor="accent1" w:themeShade="BF"/>
      <w:sz w:val="28"/>
      <w:szCs w:val="28"/>
    </w:rPr>
  </w:style>
  <w:style w:type="character" w:customStyle="1" w:styleId="29">
    <w:name w:val="标题 5 字符"/>
    <w:basedOn w:val="22"/>
    <w:link w:val="6"/>
    <w:semiHidden/>
    <w:qFormat/>
    <w:uiPriority w:val="9"/>
    <w:rPr>
      <w:rFonts w:cstheme="majorBidi"/>
      <w:color w:val="104862" w:themeColor="accent1" w:themeShade="BF"/>
      <w:sz w:val="24"/>
      <w:szCs w:val="24"/>
    </w:rPr>
  </w:style>
  <w:style w:type="character" w:customStyle="1" w:styleId="30">
    <w:name w:val="标题 6 字符"/>
    <w:basedOn w:val="22"/>
    <w:link w:val="7"/>
    <w:semiHidden/>
    <w:qFormat/>
    <w:uiPriority w:val="9"/>
    <w:rPr>
      <w:rFonts w:cstheme="majorBidi"/>
      <w:b/>
      <w:bCs/>
      <w:color w:val="104862" w:themeColor="accent1" w:themeShade="BF"/>
    </w:rPr>
  </w:style>
  <w:style w:type="character" w:customStyle="1" w:styleId="31">
    <w:name w:val="标题 7 字符"/>
    <w:basedOn w:val="22"/>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2">
    <w:name w:val="标题 8 字符"/>
    <w:basedOn w:val="22"/>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3">
    <w:name w:val="标题 9 字符"/>
    <w:basedOn w:val="22"/>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4">
    <w:name w:val="标题 字符"/>
    <w:basedOn w:val="22"/>
    <w:link w:val="19"/>
    <w:qFormat/>
    <w:uiPriority w:val="10"/>
    <w:rPr>
      <w:rFonts w:asciiTheme="majorHAnsi" w:hAnsiTheme="majorHAnsi" w:eastAsiaTheme="majorEastAsia" w:cstheme="majorBidi"/>
      <w:spacing w:val="-10"/>
      <w:kern w:val="28"/>
      <w:sz w:val="56"/>
      <w:szCs w:val="56"/>
    </w:rPr>
  </w:style>
  <w:style w:type="character" w:customStyle="1" w:styleId="35">
    <w:name w:val="副标题 字符"/>
    <w:basedOn w:val="22"/>
    <w:link w:val="16"/>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6">
    <w:name w:val="Quote"/>
    <w:basedOn w:val="1"/>
    <w:next w:val="1"/>
    <w:link w:val="37"/>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7">
    <w:name w:val="引用 字符"/>
    <w:basedOn w:val="22"/>
    <w:link w:val="36"/>
    <w:qFormat/>
    <w:uiPriority w:val="29"/>
    <w:rPr>
      <w:i/>
      <w:iCs/>
      <w:color w:val="404040" w:themeColor="text1" w:themeTint="BF"/>
      <w14:textFill>
        <w14:solidFill>
          <w14:schemeClr w14:val="tx1">
            <w14:lumMod w14:val="75000"/>
            <w14:lumOff w14:val="25000"/>
          </w14:schemeClr>
        </w14:solidFill>
      </w14:textFill>
    </w:rPr>
  </w:style>
  <w:style w:type="paragraph" w:styleId="38">
    <w:name w:val="List Paragraph"/>
    <w:basedOn w:val="1"/>
    <w:qFormat/>
    <w:uiPriority w:val="34"/>
    <w:pPr>
      <w:ind w:left="720"/>
      <w:contextualSpacing/>
    </w:pPr>
  </w:style>
  <w:style w:type="character" w:customStyle="1" w:styleId="39">
    <w:name w:val="明显强调1"/>
    <w:basedOn w:val="22"/>
    <w:qFormat/>
    <w:uiPriority w:val="21"/>
    <w:rPr>
      <w:i/>
      <w:iCs/>
      <w:color w:val="104862" w:themeColor="accent1" w:themeShade="BF"/>
    </w:rPr>
  </w:style>
  <w:style w:type="paragraph" w:styleId="40">
    <w:name w:val="Intense Quote"/>
    <w:basedOn w:val="1"/>
    <w:next w:val="1"/>
    <w:link w:val="41"/>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41">
    <w:name w:val="明显引用 字符"/>
    <w:basedOn w:val="22"/>
    <w:link w:val="40"/>
    <w:qFormat/>
    <w:uiPriority w:val="30"/>
    <w:rPr>
      <w:i/>
      <w:iCs/>
      <w:color w:val="104862" w:themeColor="accent1" w:themeShade="BF"/>
    </w:rPr>
  </w:style>
  <w:style w:type="character" w:customStyle="1" w:styleId="42">
    <w:name w:val="明显参考1"/>
    <w:basedOn w:val="22"/>
    <w:qFormat/>
    <w:uiPriority w:val="32"/>
    <w:rPr>
      <w:b/>
      <w:bCs/>
      <w:smallCaps/>
      <w:color w:val="104862" w:themeColor="accent1" w:themeShade="BF"/>
      <w:spacing w:val="5"/>
    </w:rPr>
  </w:style>
  <w:style w:type="character" w:customStyle="1" w:styleId="43">
    <w:name w:val="未处理的提及1"/>
    <w:basedOn w:val="22"/>
    <w:semiHidden/>
    <w:unhideWhenUsed/>
    <w:qFormat/>
    <w:uiPriority w:val="99"/>
    <w:rPr>
      <w:color w:val="605E5C"/>
      <w:shd w:val="clear" w:color="auto" w:fill="E1DFDD"/>
    </w:rPr>
  </w:style>
  <w:style w:type="character" w:customStyle="1" w:styleId="44">
    <w:name w:val="页眉 字符"/>
    <w:basedOn w:val="22"/>
    <w:link w:val="14"/>
    <w:qFormat/>
    <w:uiPriority w:val="99"/>
    <w:rPr>
      <w:sz w:val="18"/>
      <w:szCs w:val="18"/>
    </w:rPr>
  </w:style>
  <w:style w:type="character" w:customStyle="1" w:styleId="45">
    <w:name w:val="页脚 字符"/>
    <w:basedOn w:val="22"/>
    <w:link w:val="13"/>
    <w:qFormat/>
    <w:uiPriority w:val="99"/>
    <w:rPr>
      <w:sz w:val="18"/>
      <w:szCs w:val="18"/>
    </w:rPr>
  </w:style>
  <w:style w:type="paragraph" w:customStyle="1" w:styleId="46">
    <w:name w:val="TOC 标题1"/>
    <w:basedOn w:val="2"/>
    <w:next w:val="1"/>
    <w:unhideWhenUsed/>
    <w:qFormat/>
    <w:uiPriority w:val="39"/>
    <w:pPr>
      <w:widowControl/>
      <w:spacing w:before="240" w:after="0" w:line="259" w:lineRule="auto"/>
      <w:jc w:val="left"/>
      <w:outlineLvl w:val="9"/>
    </w:pPr>
    <w:rPr>
      <w:kern w:val="0"/>
      <w:sz w:val="32"/>
      <w:szCs w:val="32"/>
    </w:rPr>
  </w:style>
  <w:style w:type="paragraph" w:customStyle="1" w:styleId="47">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EA036DF-1B02-46FC-A528-3474E99198C9}">
  <ds:schemaRefs/>
</ds:datastoreItem>
</file>

<file path=docProps/app.xml><?xml version="1.0" encoding="utf-8"?>
<Properties xmlns="http://schemas.openxmlformats.org/officeDocument/2006/extended-properties" xmlns:vt="http://schemas.openxmlformats.org/officeDocument/2006/docPropsVTypes">
  <Template>Normal.dotm</Template>
  <Pages>24</Pages>
  <Words>4557</Words>
  <Characters>27760</Characters>
  <Lines>1016</Lines>
  <Paragraphs>544</Paragraphs>
  <TotalTime>0</TotalTime>
  <ScaleCrop>false</ScaleCrop>
  <LinksUpToDate>false</LinksUpToDate>
  <CharactersWithSpaces>32175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2026-01-31T02:10:00Z</dcterms:created>
  <dc:creator>明星 女</dc:creator>
  <cp:lastModifiedBy>跃渊无咎</cp:lastModifiedBy>
  <dcterms:modified xsi:type="dcterms:W3CDTF">2026-07-30T08:22:40Z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eyJoZGlkIjoiNDA0NTBhNGU0OGVmOGZhNDE4NTA2YjAwN2U4MjZlNGIiLCJ1c2VySWQiOiI0MDExODU0MzcifQ==</vt:lpwstr>
  </property>
  <property fmtid="{D5CDD505-2E9C-101B-9397-08002B2CF9AE}" pid="3" name="KSOProductBuildVer">
    <vt:lpwstr>2052-12.1.0.26895</vt:lpwstr>
  </property>
  <property fmtid="{D5CDD505-2E9C-101B-9397-08002B2CF9AE}" pid="4" name="ICV">
    <vt:lpwstr>97373746D36C4A238180028AC45A9383_13</vt:lpwstr>
  </property>
</Properties>
</file>