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86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3448"/>
        <w:gridCol w:w="513"/>
        <w:gridCol w:w="10071"/>
        <w:gridCol w:w="1491"/>
        <w:gridCol w:w="3079"/>
      </w:tblGrid>
      <w:tr w14:paraId="3D5D9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4874CB" w:sz="4" w:space="0"/>
              <w:left w:val="single" w:color="4874CB" w:sz="4" w:space="0"/>
              <w:bottom w:val="single" w:color="91AADF" w:sz="4" w:space="0"/>
              <w:right w:val="single" w:color="4874CB" w:sz="4" w:space="0"/>
            </w:tcBorders>
            <w:shd w:val="clear" w:color="4874CB" w:fill="4874CB"/>
            <w:noWrap/>
            <w:vAlign w:val="center"/>
          </w:tcPr>
          <w:p w14:paraId="5400029F">
            <w:pPr>
              <w:keepNext w:val="0"/>
              <w:keepLines w:val="0"/>
              <w:widowControl/>
              <w:suppressLineNumbers w:val="0"/>
              <w:snapToGrid w:val="0"/>
              <w:jc w:val="left"/>
              <w:textAlignment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spacing w:val="-1"/>
                <w:w w:val="95"/>
                <w:kern w:val="0"/>
                <w:sz w:val="24"/>
                <w:szCs w:val="24"/>
                <w:u w:val="none" w:color="0070C0"/>
                <w:lang w:val="en-US" w:eastAsia="zh-CN" w:bidi="ar"/>
              </w:rPr>
              <w:t>Section/topic</w:t>
            </w:r>
          </w:p>
        </w:tc>
        <w:tc>
          <w:tcPr>
            <w:tcW w:w="513" w:type="dxa"/>
            <w:tcBorders>
              <w:top w:val="single" w:color="4874CB" w:sz="4" w:space="0"/>
              <w:left w:val="single" w:color="4874CB" w:sz="4" w:space="0"/>
              <w:bottom w:val="single" w:color="91AADF" w:sz="4" w:space="0"/>
              <w:right w:val="single" w:color="4874CB" w:sz="4" w:space="0"/>
            </w:tcBorders>
            <w:shd w:val="clear" w:color="4874CB" w:fill="4874CB"/>
            <w:noWrap/>
            <w:vAlign w:val="center"/>
          </w:tcPr>
          <w:p w14:paraId="30F7B753">
            <w:pPr>
              <w:keepNext w:val="0"/>
              <w:keepLines w:val="0"/>
              <w:widowControl/>
              <w:suppressLineNumbers w:val="0"/>
              <w:snapToGrid w:val="0"/>
              <w:jc w:val="left"/>
              <w:textAlignment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spacing w:val="-1"/>
                <w:w w:val="95"/>
                <w:kern w:val="0"/>
                <w:sz w:val="24"/>
                <w:szCs w:val="24"/>
                <w:u w:val="none" w:color="0070C0"/>
                <w:lang w:val="en-US" w:eastAsia="zh-CN" w:bidi="ar"/>
              </w:rPr>
              <w:t>No</w:t>
            </w:r>
          </w:p>
        </w:tc>
        <w:tc>
          <w:tcPr>
            <w:tcW w:w="10071" w:type="dxa"/>
            <w:tcBorders>
              <w:top w:val="single" w:color="4874CB" w:sz="4" w:space="0"/>
              <w:left w:val="single" w:color="4874CB" w:sz="4" w:space="0"/>
              <w:bottom w:val="single" w:color="91AADF" w:sz="4" w:space="0"/>
              <w:right w:val="single" w:color="4874CB" w:sz="4" w:space="0"/>
            </w:tcBorders>
            <w:shd w:val="clear" w:color="4874CB" w:fill="4874CB"/>
            <w:vAlign w:val="center"/>
          </w:tcPr>
          <w:p w14:paraId="648B08C5">
            <w:pPr>
              <w:keepNext w:val="0"/>
              <w:keepLines w:val="0"/>
              <w:widowControl/>
              <w:suppressLineNumbers w:val="0"/>
              <w:snapToGrid w:val="0"/>
              <w:jc w:val="left"/>
              <w:textAlignment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spacing w:val="-1"/>
                <w:w w:val="95"/>
                <w:kern w:val="0"/>
                <w:sz w:val="24"/>
                <w:szCs w:val="24"/>
                <w:u w:val="none" w:color="0070C0"/>
                <w:lang w:val="en-US" w:eastAsia="zh-CN" w:bidi="ar"/>
              </w:rPr>
              <w:t>CONSORT 2025 checklist item description</w:t>
            </w:r>
          </w:p>
        </w:tc>
        <w:tc>
          <w:tcPr>
            <w:tcW w:w="1491" w:type="dxa"/>
            <w:tcBorders>
              <w:top w:val="single" w:color="4874CB" w:sz="4" w:space="0"/>
              <w:left w:val="single" w:color="4874CB" w:sz="4" w:space="0"/>
              <w:bottom w:val="single" w:color="91AADF" w:sz="4" w:space="0"/>
              <w:right w:val="single" w:color="4874CB" w:sz="4" w:space="0"/>
            </w:tcBorders>
            <w:shd w:val="clear" w:color="4874CB" w:fill="4874CB"/>
            <w:noWrap/>
            <w:vAlign w:val="center"/>
          </w:tcPr>
          <w:p w14:paraId="79FA5BB3">
            <w:pPr>
              <w:keepNext w:val="0"/>
              <w:keepLines w:val="0"/>
              <w:widowControl/>
              <w:suppressLineNumbers w:val="0"/>
              <w:snapToGrid w:val="0"/>
              <w:jc w:val="center"/>
              <w:textAlignment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spacing w:val="-1"/>
                <w:w w:val="95"/>
                <w:kern w:val="0"/>
                <w:sz w:val="24"/>
                <w:szCs w:val="24"/>
                <w:u w:val="none" w:color="0070C0"/>
                <w:lang w:val="en-US" w:eastAsia="zh-CN" w:bidi="ar"/>
              </w:rPr>
              <w:t>Page</w:t>
            </w:r>
          </w:p>
        </w:tc>
        <w:tc>
          <w:tcPr>
            <w:tcW w:w="3079" w:type="dxa"/>
            <w:tcBorders>
              <w:top w:val="single" w:color="4874CB" w:sz="4" w:space="0"/>
              <w:left w:val="single" w:color="4874CB" w:sz="4" w:space="0"/>
              <w:bottom w:val="single" w:color="91AADF" w:sz="4" w:space="0"/>
              <w:right w:val="single" w:color="4874CB" w:sz="4" w:space="0"/>
            </w:tcBorders>
            <w:shd w:val="clear" w:color="4874CB" w:fill="4874CB"/>
            <w:noWrap/>
            <w:vAlign w:val="center"/>
          </w:tcPr>
          <w:p w14:paraId="487E0678">
            <w:pPr>
              <w:keepNext w:val="0"/>
              <w:keepLines w:val="0"/>
              <w:widowControl/>
              <w:suppressLineNumbers w:val="0"/>
              <w:snapToGrid w:val="0"/>
              <w:jc w:val="center"/>
              <w:textAlignment w:val="center"/>
              <w:rPr>
                <w:rFonts w:hint="eastAsia" w:ascii="宋体" w:hAnsi="宋体" w:eastAsia="宋体" w:cs="宋体"/>
                <w:b/>
                <w:bCs/>
                <w:i w:val="0"/>
                <w:iCs w:val="0"/>
                <w:color w:val="FFFFFF"/>
                <w:spacing w:val="-1"/>
                <w:w w:val="95"/>
                <w:kern w:val="0"/>
                <w:sz w:val="24"/>
                <w:szCs w:val="24"/>
                <w:u w:val="none" w:color="0070C0"/>
                <w:lang w:val="en-US" w:eastAsia="zh-CN" w:bidi="ar"/>
              </w:rPr>
            </w:pPr>
            <w:r>
              <w:rPr>
                <w:rFonts w:hint="eastAsia" w:ascii="宋体" w:hAnsi="宋体" w:eastAsia="宋体" w:cs="宋体"/>
                <w:b/>
                <w:bCs/>
                <w:i w:val="0"/>
                <w:iCs w:val="0"/>
                <w:color w:val="FFFFFF"/>
                <w:spacing w:val="-1"/>
                <w:w w:val="95"/>
                <w:kern w:val="0"/>
                <w:sz w:val="24"/>
                <w:szCs w:val="24"/>
                <w:u w:val="none" w:color="0070C0"/>
                <w:lang w:val="en-US" w:eastAsia="zh-CN" w:bidi="ar"/>
              </w:rPr>
              <w:t>Manuscript sentence</w:t>
            </w:r>
          </w:p>
        </w:tc>
      </w:tr>
      <w:tr w14:paraId="0511A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3774E5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Title and abstract</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A0C2CF5">
            <w:pPr>
              <w:snapToGrid w:val="0"/>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52D09C44">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EE6A17D">
            <w:pPr>
              <w:snapToGrid w:val="0"/>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8FFBE57">
            <w:pPr>
              <w:snapToGrid w:val="0"/>
              <w:rPr>
                <w:rFonts w:hint="eastAsia" w:ascii="宋体" w:hAnsi="宋体" w:eastAsia="宋体" w:cs="宋体"/>
                <w:i w:val="0"/>
                <w:iCs w:val="0"/>
                <w:color w:val="000000"/>
                <w:sz w:val="24"/>
                <w:szCs w:val="24"/>
                <w:u w:val="none"/>
              </w:rPr>
            </w:pPr>
          </w:p>
        </w:tc>
      </w:tr>
      <w:tr w14:paraId="243A0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vAlign w:val="center"/>
          </w:tcPr>
          <w:p w14:paraId="296349A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Title and structured abstract</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F9AE37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1a</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238164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Identification as a randomized trial</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AD47B4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53FA843">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Acupuncture Modulates Motor-Network Functional Connectivity in Parkinson Disease: A Randomized Sham-Controlled fMRI Trial</w:t>
            </w:r>
          </w:p>
        </w:tc>
      </w:tr>
      <w:bookmarkEnd w:id="0"/>
      <w:tr w14:paraId="38822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1429AAE5">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2FA51C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1b</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20B7F2B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Structured summary of the trial design, methods, results, and conclusions</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FA9815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032E283">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We randomized 78 patients with PD to verum acupuncture (VA) or sham acupuncture (SA) for 8 sessions over 4 weeks, with 8-week follow-up.</w:t>
            </w:r>
          </w:p>
        </w:tc>
      </w:tr>
      <w:tr w14:paraId="3755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257D006">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Open science</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D6F462C">
            <w:pPr>
              <w:snapToGrid w:val="0"/>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E03AE5A">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BCDCEB9">
            <w:pPr>
              <w:snapToGrid w:val="0"/>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1215A0D">
            <w:pPr>
              <w:snapToGrid w:val="0"/>
              <w:rPr>
                <w:rFonts w:hint="default" w:ascii="Times New Roman" w:hAnsi="Times New Roman" w:eastAsia="宋体" w:cs="Times New Roman"/>
                <w:i w:val="0"/>
                <w:iCs w:val="0"/>
                <w:color w:val="000000"/>
                <w:sz w:val="20"/>
                <w:szCs w:val="20"/>
                <w:u w:val="none"/>
              </w:rPr>
            </w:pPr>
          </w:p>
        </w:tc>
      </w:tr>
      <w:tr w14:paraId="3C3D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58CC06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Trial registration</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61C492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0F6242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Name of trial registry, identifying number (with URL) and date of registration</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34AB2A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7B3F3E03">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 The study was registered on International Traditional Medicine Clinical Trial Registry (ITMCTR2025000402) on February 24, 2025 and study enrollment commenced on March 9, 2025.</w:t>
            </w:r>
          </w:p>
        </w:tc>
      </w:tr>
      <w:tr w14:paraId="22B5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15960F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Protocol and statistical analysis plan</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518C79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3</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2F5EFC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Where the trial protocol and statistical analysis plan can be accessed</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B9180D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Supplement 1</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5300E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0"/>
                <w:szCs w:val="20"/>
                <w:u w:val="none"/>
              </w:rPr>
            </w:pPr>
          </w:p>
        </w:tc>
      </w:tr>
      <w:tr w14:paraId="7E95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609"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19EDB9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Data sharing</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9DC253A">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4</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3D8428A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Where and how the individual de-identified participant data (including data dictionary), statistical code and any other materials can be accessed</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E1E680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7DC2CE2">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 De-identified data are available from the corresponding author upon reasonable request and with institutional ethics committee approval.</w:t>
            </w:r>
          </w:p>
        </w:tc>
      </w:tr>
      <w:tr w14:paraId="2CED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vAlign w:val="center"/>
          </w:tcPr>
          <w:p w14:paraId="78C0783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Funding and conflicts of </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interest</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2E2651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5a</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1F7C20E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Sources of funding and other support (eg, supply of drugs), and role of funders in the design, conduct, analysis and  reporting of the trial</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353ED1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9</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FFBE5EE">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This work was supported by Guangzhou Municipal Health Commission (No. 2023-2318)</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5F72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1F498D3F">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19830AA">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5b</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3B1B71B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Financial and other conflicts of interest of the manuscript authors</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9617F6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9</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73ED6AF5">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authors report no disclosures relevant to the manuscript.</w:t>
            </w:r>
          </w:p>
        </w:tc>
      </w:tr>
      <w:tr w14:paraId="2E90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26406E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Introduction</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AB6EA40">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4FB947AB">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32371F6">
            <w:pPr>
              <w:snapToGrid w:val="0"/>
              <w:jc w:val="center"/>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F99E921">
            <w:pPr>
              <w:snapToGrid w:val="0"/>
              <w:jc w:val="center"/>
              <w:rPr>
                <w:rFonts w:hint="default" w:ascii="Times New Roman" w:hAnsi="Times New Roman" w:eastAsia="宋体" w:cs="Times New Roman"/>
                <w:i w:val="0"/>
                <w:iCs w:val="0"/>
                <w:color w:val="000000"/>
                <w:sz w:val="20"/>
                <w:szCs w:val="20"/>
                <w:u w:val="none"/>
              </w:rPr>
            </w:pPr>
          </w:p>
        </w:tc>
      </w:tr>
      <w:tr w14:paraId="52A4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1F83AA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Background and rationale</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4379EC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6</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2948D0A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Scientific background and rationale</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70EE69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CD19B25">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Parkinson disease (PD) affects nearly 12 million people worldwide and presents with a complex array of motor and non-motor symptoms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4CFF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203116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Objectives </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D36548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7</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169C5C4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Specific objectives related to benefits and harms</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C5DA09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D2D6AA8">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In this randomized, sham-controlled trial, we aimed to confirm the clinical efficacy of acupuncture for PD......</w:t>
            </w:r>
          </w:p>
        </w:tc>
      </w:tr>
      <w:tr w14:paraId="0D7E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FF5B42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Methods</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DB69CCE">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3A05E2D0">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EF3A3B1">
            <w:pPr>
              <w:snapToGrid w:val="0"/>
              <w:jc w:val="center"/>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B341724">
            <w:pPr>
              <w:snapToGrid w:val="0"/>
              <w:jc w:val="center"/>
              <w:rPr>
                <w:rFonts w:hint="default" w:ascii="Times New Roman" w:hAnsi="Times New Roman" w:eastAsia="宋体" w:cs="Times New Roman"/>
                <w:i w:val="0"/>
                <w:iCs w:val="0"/>
                <w:color w:val="000000"/>
                <w:sz w:val="20"/>
                <w:szCs w:val="20"/>
                <w:u w:val="none"/>
              </w:rPr>
            </w:pPr>
          </w:p>
        </w:tc>
      </w:tr>
      <w:tr w14:paraId="12EA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9A2673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Patient and public involvement</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FF167F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8</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EED54A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Details of patient or public involvement in the design, conduct and reporting of the trial</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C03119A">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BC5C53A">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Patients with PD were recruited from the hospital's outpatient clinics.</w:t>
            </w:r>
          </w:p>
        </w:tc>
      </w:tr>
      <w:tr w14:paraId="3AAB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508A8B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Trial design</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D3F1C9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9</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318394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Description of trial design including type of trial (eg, parallel group or crossover), allocation ratio, and framework (for example, superiority, equivalence, non-inferiority or exploratory)</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A1358C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472A639">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This prospective, randomized, sham-controlled, parallel-group trial</w:t>
            </w:r>
            <w:r>
              <w:rPr>
                <w:rFonts w:hint="default" w:ascii="Times New Roman" w:hAnsi="Times New Roman" w:eastAsia="Segoe UI" w:cs="Times New Roman"/>
                <w:i w:val="0"/>
                <w:iCs w:val="0"/>
                <w:caps w:val="0"/>
                <w:color w:val="0F1115"/>
                <w:spacing w:val="0"/>
                <w:kern w:val="0"/>
                <w:sz w:val="20"/>
                <w:szCs w:val="20"/>
                <w:lang w:val="en-US" w:eastAsia="zh-CN" w:bidi="ar"/>
              </w:rPr>
              <w:t>......</w:t>
            </w:r>
            <w:r>
              <w:rPr>
                <w:rFonts w:hint="default" w:ascii="Times New Roman" w:hAnsi="Times New Roman" w:eastAsia="Segoe UI" w:cs="Times New Roman"/>
                <w:i w:val="0"/>
                <w:iCs w:val="0"/>
                <w:caps w:val="0"/>
                <w:color w:val="0F1115"/>
                <w:spacing w:val="0"/>
                <w:kern w:val="0"/>
                <w:sz w:val="20"/>
                <w:szCs w:val="20"/>
                <w:lang w:val="en-US" w:eastAsia="zh-CN" w:bidi="ar"/>
              </w:rPr>
              <w:t xml:space="preserve"> </w:t>
            </w:r>
          </w:p>
        </w:tc>
      </w:tr>
      <w:tr w14:paraId="0BCE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A7E96A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Changes to trial protocol</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1FEC8E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10</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63DDF6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Important changes to the trial after it commenced including any outcomes or analyses that were not prespecified, with reason</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D0B369E">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Supplement 1</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A8BB8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Segoe UI" w:cs="Times New Roman"/>
                <w:i w:val="0"/>
                <w:iCs w:val="0"/>
                <w:caps w:val="0"/>
                <w:color w:val="0F1115"/>
                <w:spacing w:val="0"/>
                <w:kern w:val="0"/>
                <w:sz w:val="20"/>
                <w:szCs w:val="20"/>
                <w:lang w:val="en-US" w:eastAsia="zh-CN" w:bidi="ar"/>
              </w:rPr>
              <w:t>The following amendments were made to the initial trial protocol.</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7FE9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D059886">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Trial setting</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A68E116">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3A00EF3D">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Settings (such as community or hospital) and locations (eg, countries or sites) where the trial was conducted</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0E9930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5BC33D9">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trial took place at the First Affiliated Hospital of Guangzhou University of Chinese Medicine (March 9, 2025 - June 31, 2026).</w:t>
            </w:r>
          </w:p>
        </w:tc>
      </w:tr>
      <w:tr w14:paraId="2524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vAlign w:val="center"/>
          </w:tcPr>
          <w:p w14:paraId="26E54F6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Eligibility criteria </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3F1CB5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12a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698CC9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Eligibility criteria for participants  </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7B761E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C655D8D">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Inclusion criteria were: (1) idiopathic PD</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0509B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7163C549">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11369B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12b</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50BA5B3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If applicable, eligibility criteria for sites and for individuals delivering the interventions (eg, surgeons or physiotherapists</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3AEC26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DFBFABD">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Two licensed acupuncturists with over 3 years of experience</w:t>
            </w:r>
            <w:r>
              <w:rPr>
                <w:rFonts w:hint="default" w:ascii="Times New Roman" w:hAnsi="Times New Roman" w:eastAsia="Segoe UI" w:cs="Times New Roman"/>
                <w:i w:val="0"/>
                <w:iCs w:val="0"/>
                <w:caps w:val="0"/>
                <w:color w:val="0F1115"/>
                <w:spacing w:val="0"/>
                <w:kern w:val="0"/>
                <w:sz w:val="20"/>
                <w:szCs w:val="20"/>
                <w:lang w:val="en-US" w:eastAsia="zh-CN" w:bidi="ar"/>
              </w:rPr>
              <w:t>......</w:t>
            </w:r>
            <w:r>
              <w:rPr>
                <w:rFonts w:hint="default" w:ascii="Times New Roman" w:hAnsi="Times New Roman" w:eastAsia="Segoe UI" w:cs="Times New Roman"/>
                <w:i w:val="0"/>
                <w:iCs w:val="0"/>
                <w:caps w:val="0"/>
                <w:color w:val="0F1115"/>
                <w:spacing w:val="0"/>
                <w:kern w:val="0"/>
                <w:sz w:val="20"/>
                <w:szCs w:val="20"/>
                <w:lang w:val="en-US" w:eastAsia="zh-CN" w:bidi="ar"/>
              </w:rPr>
              <w:t xml:space="preserve"> </w:t>
            </w:r>
          </w:p>
        </w:tc>
      </w:tr>
      <w:tr w14:paraId="0F88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34763F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Intervention and comparator</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5AE8E9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13</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358817FD">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Intervention and comparator with sufficient details to allow replication. If relevant, where additional materials describing the intervention and comparator (eg, intervention manual) can be accessed</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A452B84">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E461996">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SPAD (Patent No.202321515328.8; eFigure 1 in Supplement 2) ensured blinding.......</w:t>
            </w:r>
          </w:p>
        </w:tc>
      </w:tr>
      <w:tr w14:paraId="563F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B93681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Outcomes</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19E9D1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14</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5747934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Prespecified primary and secondary outcomes, including the specific measurement variable (eg, systolic blood pressure), analysis metric (for example, change from baseline, final value, time to event), method of aggregation (eg, median, proportion), and time point for each outcome</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2ADB29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714AC4E9">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primary outcome was change in motor function</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6162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8EF101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Harms</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E1D4C3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15</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1F21E90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How harms were defined and assessed (eg, systematically or non-systematically)</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710ACB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93DF55D">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Adverse events (AEs) potentially related to acupuncture</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225C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D9E1F4" w:fill="D9E1F4"/>
            <w:vAlign w:val="center"/>
          </w:tcPr>
          <w:p w14:paraId="6FA5898D">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Sample size</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056C2B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16a </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AB45D3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How sample size was determined, including all assumptions supporting the sample size calculation</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2D5049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Supplement 1</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343BF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Segoe UI" w:cs="Times New Roman"/>
                <w:i w:val="0"/>
                <w:iCs w:val="0"/>
                <w:caps w:val="0"/>
                <w:color w:val="0F1115"/>
                <w:spacing w:val="0"/>
                <w:kern w:val="0"/>
                <w:sz w:val="20"/>
                <w:szCs w:val="20"/>
                <w:lang w:val="en-US" w:eastAsia="zh-CN" w:bidi="ar"/>
              </w:rPr>
              <w:t>Based on the team's preliminary experimental results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29135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5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D9E1F4" w:fill="D9E1F4"/>
            <w:vAlign w:val="center"/>
          </w:tcPr>
          <w:p w14:paraId="4E7DADCE">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9D1003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16b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52FA774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Explanation of any interim analyses and stopping guidelines</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53F9D8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Supplement 1</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A1234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Segoe UI" w:cs="Times New Roman"/>
                <w:i w:val="0"/>
                <w:iCs w:val="0"/>
                <w:caps w:val="0"/>
                <w:color w:val="0F1115"/>
                <w:spacing w:val="0"/>
                <w:kern w:val="0"/>
                <w:sz w:val="20"/>
                <w:szCs w:val="20"/>
                <w:lang w:val="en-US" w:eastAsia="zh-CN" w:bidi="ar"/>
              </w:rPr>
              <w:t>In the event of serious adverse reactions or other clinical safety issues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3C52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7C51891D">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Randomization:</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84EEEB0">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55E9E53F">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3FD78A9">
            <w:pPr>
              <w:snapToGrid w:val="0"/>
              <w:jc w:val="center"/>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6FEAA70">
            <w:pPr>
              <w:snapToGrid w:val="0"/>
              <w:jc w:val="center"/>
              <w:rPr>
                <w:rFonts w:hint="default" w:ascii="Times New Roman" w:hAnsi="Times New Roman" w:eastAsia="宋体" w:cs="Times New Roman"/>
                <w:i w:val="0"/>
                <w:iCs w:val="0"/>
                <w:color w:val="000000"/>
                <w:sz w:val="20"/>
                <w:szCs w:val="20"/>
                <w:u w:val="none"/>
              </w:rPr>
            </w:pPr>
          </w:p>
        </w:tc>
      </w:tr>
      <w:tr w14:paraId="1FC55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vAlign w:val="center"/>
          </w:tcPr>
          <w:p w14:paraId="7D28394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Sequence generation</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F78580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17a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0F15073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Who generated the random allocation sequence and the method used</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F60BC1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147703A">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An independent statistician generated the randomization sequence</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7F73E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47FED644">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893B18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17b </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05C0D2E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Type of randomization and details of any restriction (eg, stratification, blocking and block size)</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F7CF61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98755D1">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An independent statistician generated the randomization sequence.......</w:t>
            </w:r>
          </w:p>
        </w:tc>
      </w:tr>
      <w:tr w14:paraId="6C1F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vAlign w:val="center"/>
          </w:tcPr>
          <w:p w14:paraId="3E8E173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Allocation concealment mechanism</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09D3B4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18</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0D5784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Mechanism used to implement the random allocation sequence (eg, central computer/telephone; sequentially numbered, opaque, sealed containers), describing any steps to conceal the sequence until interventions were assigned</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432840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FC23714">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Sequentially numbered</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77405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FD15F9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Implementation </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9C34B6D">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19</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4F8DB77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Whether the personnel who enrolled and those who assigned participants to the interventions had access to the random allocation sequence</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F41230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89B4AF8">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treating acupuncturist opened these envelopes only after participant enrollment and completion of baseline assessments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7FD5A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noWrap/>
            <w:vAlign w:val="center"/>
          </w:tcPr>
          <w:p w14:paraId="6D0FCDD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Blinding </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BA4794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20a</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5E9639E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Who was blinded after assignment to interventions (eg, participants, care providers, outcome assessors, data analysts) </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95A7E2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828C212">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All outcome assessors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09686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noWrap/>
            <w:vAlign w:val="center"/>
          </w:tcPr>
          <w:p w14:paraId="0825C4F8">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74C2C3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20b </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64199C2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If blinded, how blinding was achieved and description of the similarity of interventions</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E80219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F455A8E">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To preserve blinding</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3E69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auto" w:fill="auto"/>
            <w:vAlign w:val="center"/>
          </w:tcPr>
          <w:p w14:paraId="17AA8CC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Statistical methods</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F4A418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21a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4A8F90C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Statistical methods used to compare groups for primary and secondary outcomes, including harms</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1B27B3C">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4~5</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7619F030">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Linear mixed-effects models were fitted to each imputed dataset</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35E6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6A994D8A">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77E7F6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21b </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58D76B7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Definition of who is included in each analysis (eg, all randomized participants), and in which group</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A360A3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val="en-US" w:eastAsia="zh-CN"/>
              </w:rPr>
              <w:t>4~5</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B33379E">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primary analysis adhered to the intention-to-treat (ITT) principle</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34C6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36770DA7">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6E34A2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21c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948FDB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How missing data were handled in the analysis</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D42C14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val="en-US" w:eastAsia="zh-CN"/>
              </w:rPr>
              <w:t>4~5</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B83E12A">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missing data were imputed under the missing-at-random assumption</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0EFE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auto" w:fill="auto"/>
            <w:vAlign w:val="center"/>
          </w:tcPr>
          <w:p w14:paraId="6320DA91">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0A313A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21 d </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A79F0B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Methods for any additional analyses (eg. subgroup and sensitivity analyses), distinguishing prespecified from post hoc</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0C07BE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val="en-US" w:eastAsia="zh-CN"/>
              </w:rPr>
              <w:t>4~5</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2BD458A">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Sensitivity analyses additionally included levodopa equivalent daily dose as a covariate</w:t>
            </w:r>
          </w:p>
        </w:tc>
      </w:tr>
      <w:tr w14:paraId="49C8A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A06331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Results</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4B011D4">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0C40A3C">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1A8F962">
            <w:pPr>
              <w:snapToGrid w:val="0"/>
              <w:jc w:val="center"/>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56CE860">
            <w:pPr>
              <w:snapToGrid w:val="0"/>
              <w:jc w:val="center"/>
              <w:rPr>
                <w:rFonts w:hint="default" w:ascii="Times New Roman" w:hAnsi="Times New Roman" w:eastAsia="宋体" w:cs="Times New Roman"/>
                <w:i w:val="0"/>
                <w:iCs w:val="0"/>
                <w:color w:val="000000"/>
                <w:sz w:val="20"/>
                <w:szCs w:val="20"/>
                <w:u w:val="none"/>
              </w:rPr>
            </w:pPr>
          </w:p>
        </w:tc>
      </w:tr>
      <w:tr w14:paraId="6472A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D9E1F4" w:fill="D9E1F4"/>
            <w:vAlign w:val="center"/>
          </w:tcPr>
          <w:p w14:paraId="7A544D4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Participant flow, including flow diagram</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EB479A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22a</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32C2C2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For each group, the numbers of participants who were randomly assigned, received intended intervention, and were analyzed for the primary outcome</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0248B9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2546D7A">
            <w:pPr>
              <w:keepNext w:val="0"/>
              <w:keepLines w:val="0"/>
              <w:widowControl/>
              <w:suppressLineNumbers w:val="0"/>
              <w:snapToGrid w:val="0"/>
              <w:jc w:val="center"/>
              <w:textAlignment w:val="center"/>
              <w:rPr>
                <w:rFonts w:hint="default" w:ascii="Times New Roman" w:hAnsi="Times New Roman" w:cs="Times New Roman"/>
                <w:i w:val="0"/>
                <w:iCs w:val="0"/>
                <w:color w:val="000000"/>
                <w:sz w:val="20"/>
                <w:szCs w:val="20"/>
                <w:u w:val="none"/>
                <w:lang w:val="en-US" w:eastAsia="zh-CN"/>
              </w:rPr>
            </w:pPr>
            <w:r>
              <w:rPr>
                <w:rFonts w:hint="default" w:ascii="Times New Roman" w:hAnsi="Times New Roman" w:eastAsia="Segoe UI" w:cs="Times New Roman"/>
                <w:i w:val="0"/>
                <w:iCs w:val="0"/>
                <w:caps w:val="0"/>
                <w:color w:val="0F1115"/>
                <w:spacing w:val="0"/>
                <w:kern w:val="0"/>
                <w:sz w:val="20"/>
                <w:szCs w:val="20"/>
                <w:lang w:val="en-US" w:eastAsia="zh-CN" w:bidi="ar"/>
              </w:rPr>
              <w:t>The study initially enrolled 116 participants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5168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D9E1F4" w:fill="D9E1F4"/>
            <w:vAlign w:val="center"/>
          </w:tcPr>
          <w:p w14:paraId="4F2089BB">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auto" w:fill="auto"/>
            <w:vAlign w:val="center"/>
          </w:tcPr>
          <w:p w14:paraId="395437B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22b </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4E4A34C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For each group, losses and exclusions after randomization, together with reasons</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B1E413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0F86CEE">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in the SA group, 33 (84.6%) completed</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5E35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D9E1F4" w:fill="D9E1F4"/>
            <w:vAlign w:val="center"/>
          </w:tcPr>
          <w:p w14:paraId="750724F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Recruitment</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AC09C6A">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23a</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1EC9B3D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Dates defining the periods of recruitment and follow-up for outcomes of benefits and harms</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EB7412E">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2~3</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D624CC9">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The trial took place at the First Affiliated Hospital of Guangzhou University of Chinese Medicine (March 9, 2025 -- June 31, 2026)</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602E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D9E1F4" w:fill="D9E1F4"/>
            <w:vAlign w:val="center"/>
          </w:tcPr>
          <w:p w14:paraId="45870B5A">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992950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23b</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A58356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If relevant, why the trial ended or was stopped</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ECD632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7FD7A5C">
            <w:pPr>
              <w:snapToGrid w:val="0"/>
              <w:ind w:left="0" w:leftChars="0" w:right="0" w:rightChars="0"/>
              <w:jc w:val="center"/>
              <w:rPr>
                <w:rFonts w:hint="default" w:ascii="Times New Roman" w:hAnsi="Times New Roman" w:eastAsia="宋体" w:cs="Times New Roman"/>
                <w:i w:val="0"/>
                <w:iCs w:val="0"/>
                <w:color w:val="000000"/>
                <w:spacing w:val="-1"/>
                <w:w w:val="95"/>
                <w:sz w:val="20"/>
                <w:szCs w:val="20"/>
                <w:u w:val="none" w:color="0070C0"/>
                <w:lang w:val="en-US" w:eastAsia="zh-CN" w:bidi="ar-SA"/>
              </w:rPr>
            </w:pPr>
          </w:p>
        </w:tc>
      </w:tr>
      <w:tr w14:paraId="5547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vMerge w:val="restart"/>
            <w:tcBorders>
              <w:top w:val="single" w:color="91AADF" w:sz="4" w:space="0"/>
              <w:left w:val="single" w:color="4874CB" w:sz="4" w:space="0"/>
              <w:bottom w:val="single" w:color="91AADF" w:sz="4" w:space="0"/>
              <w:right w:val="single" w:color="4874CB" w:sz="4" w:space="0"/>
            </w:tcBorders>
            <w:shd w:val="clear" w:color="D9E1F4" w:fill="D9E1F4"/>
            <w:vAlign w:val="center"/>
          </w:tcPr>
          <w:p w14:paraId="3F9D80C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 Intervention and </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comparator delivery</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5216CB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24a</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6B51516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Intervention and comparator as they were actually administered (eg, where appropriate, who delivered the intervention/ comparator, how participants adhered, whether they were delivered as intended (fidelity))</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7232D3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B17FAFF">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All patients in the VA group completed clinical follow-up at weeks 4 and 8</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5FE4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vMerge w:val="continue"/>
            <w:tcBorders>
              <w:top w:val="single" w:color="91AADF" w:sz="4" w:space="0"/>
              <w:left w:val="single" w:color="4874CB" w:sz="4" w:space="0"/>
              <w:bottom w:val="single" w:color="91AADF" w:sz="4" w:space="0"/>
              <w:right w:val="single" w:color="4874CB" w:sz="4" w:space="0"/>
            </w:tcBorders>
            <w:shd w:val="clear" w:color="D9E1F4" w:fill="D9E1F4"/>
            <w:vAlign w:val="center"/>
          </w:tcPr>
          <w:p w14:paraId="4168137F">
            <w:pPr>
              <w:snapToGrid w:val="0"/>
              <w:jc w:val="left"/>
              <w:rPr>
                <w:rFonts w:hint="eastAsia" w:ascii="宋体" w:hAnsi="宋体" w:eastAsia="宋体" w:cs="宋体"/>
                <w:i w:val="0"/>
                <w:iCs w:val="0"/>
                <w:color w:val="000000"/>
                <w:sz w:val="24"/>
                <w:szCs w:val="24"/>
                <w:u w:val="none"/>
              </w:rPr>
            </w:pP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8313E1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24b</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5CD4EC3A">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Concomitant care received during the trial for each group</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894275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18BC9F8">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All patients with PD continued their stable anti-parkinsonian medication throughout the trial</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5FDB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37C2F3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Baseline data   </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8FB1B4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25</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399160E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A table showing baseline demographic and clinical characteristics for each group</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49D1E9A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Table 1</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38B284B3">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Table 1 summarizes baseline demographic and clinical characteristics.</w:t>
            </w:r>
          </w:p>
        </w:tc>
      </w:tr>
      <w:tr w14:paraId="7C9C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vAlign w:val="center"/>
          </w:tcPr>
          <w:p w14:paraId="654C736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Numbers analyzed, outcomes and estimation</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B7AB7E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26</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30876F7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 For each primary and secondary outcome, by group:</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 xml:space="preserve"> • the number of participants included in the analysis</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 xml:space="preserve"> • the number of participants with available data at the outcome time point</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 xml:space="preserve"> • result for each group, and the estimated effect size and its precision (such as 95% confidence interval)</w:t>
            </w:r>
            <w:r>
              <w:rPr>
                <w:rFonts w:hint="eastAsia" w:ascii="宋体" w:hAnsi="宋体" w:eastAsia="宋体" w:cs="宋体"/>
                <w:i w:val="0"/>
                <w:iCs w:val="0"/>
                <w:color w:val="000000"/>
                <w:spacing w:val="-1"/>
                <w:w w:val="95"/>
                <w:kern w:val="0"/>
                <w:sz w:val="24"/>
                <w:szCs w:val="24"/>
                <w:u w:val="none" w:color="0070C0"/>
                <w:lang w:val="en-US" w:eastAsia="zh-CN" w:bidi="ar"/>
              </w:rPr>
              <w:br w:type="textWrapping"/>
            </w:r>
            <w:r>
              <w:rPr>
                <w:rFonts w:hint="eastAsia" w:ascii="宋体" w:hAnsi="宋体" w:eastAsia="宋体" w:cs="宋体"/>
                <w:i w:val="0"/>
                <w:iCs w:val="0"/>
                <w:color w:val="000000"/>
                <w:spacing w:val="-1"/>
                <w:w w:val="95"/>
                <w:kern w:val="0"/>
                <w:sz w:val="24"/>
                <w:szCs w:val="24"/>
                <w:u w:val="none" w:color="0070C0"/>
                <w:lang w:val="en-US" w:eastAsia="zh-CN" w:bidi="ar"/>
              </w:rPr>
              <w:t xml:space="preserve"> • for binary outcomes, presentation of both absolute and relative effect size</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54FA90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Table 2</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B8BD8A6">
            <w:pPr>
              <w:snapToGrid w:val="0"/>
              <w:ind w:left="0" w:leftChars="0" w:right="0" w:rightChars="0"/>
              <w:jc w:val="center"/>
              <w:rPr>
                <w:rFonts w:hint="default" w:ascii="Times New Roman" w:hAnsi="Times New Roman" w:eastAsia="宋体" w:cs="Times New Roman"/>
                <w:i w:val="0"/>
                <w:iCs w:val="0"/>
                <w:color w:val="000000"/>
                <w:spacing w:val="-1"/>
                <w:w w:val="95"/>
                <w:sz w:val="20"/>
                <w:szCs w:val="20"/>
                <w:u w:val="none" w:color="0070C0"/>
                <w:lang w:val="en-US" w:eastAsia="en-US" w:bidi="ar-SA"/>
              </w:rPr>
            </w:pPr>
            <w:r>
              <w:rPr>
                <w:rFonts w:hint="default" w:ascii="Times New Roman" w:hAnsi="Times New Roman" w:eastAsia="Segoe UI" w:cs="Times New Roman"/>
                <w:i w:val="0"/>
                <w:iCs w:val="0"/>
                <w:caps w:val="0"/>
                <w:color w:val="0F1115"/>
                <w:spacing w:val="0"/>
                <w:kern w:val="0"/>
                <w:sz w:val="20"/>
                <w:szCs w:val="20"/>
                <w:lang w:val="en-US" w:eastAsia="zh-CN" w:bidi="ar"/>
              </w:rPr>
              <w:t>Table 2 and Figure 2 show changes from baseline for each outcome.</w:t>
            </w:r>
          </w:p>
        </w:tc>
      </w:tr>
      <w:tr w14:paraId="1266B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4482CA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Harms </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0BAA3FA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27</w:t>
            </w: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74D0807A">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All harms or unintended events in each group</w:t>
            </w: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650A384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6</w:t>
            </w: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85EF00F">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Seven VA participants reported 10 mild, transient adverse events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3CEFB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2B8AE7D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Ancillary analyses</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5025A08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28</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1FD4DF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Any other analyses performed, including subgroup and sensitivity analyses, distinguishing pre-specified from post hoc</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1F02EBC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6</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5D1B6C0">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After additional adjustment for LEDD</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40F5D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4E8B8A7">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 xml:space="preserve">Discussion </w:t>
            </w:r>
          </w:p>
        </w:tc>
        <w:tc>
          <w:tcPr>
            <w:tcW w:w="513"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5768EC1C">
            <w:pPr>
              <w:snapToGrid w:val="0"/>
              <w:jc w:val="left"/>
              <w:rPr>
                <w:rFonts w:hint="eastAsia" w:ascii="宋体" w:hAnsi="宋体" w:eastAsia="宋体" w:cs="宋体"/>
                <w:i w:val="0"/>
                <w:iCs w:val="0"/>
                <w:color w:val="000000"/>
                <w:sz w:val="24"/>
                <w:szCs w:val="24"/>
                <w:u w:val="none"/>
              </w:rPr>
            </w:pPr>
          </w:p>
        </w:tc>
        <w:tc>
          <w:tcPr>
            <w:tcW w:w="10071" w:type="dxa"/>
            <w:tcBorders>
              <w:top w:val="single" w:color="91AADF" w:sz="4" w:space="0"/>
              <w:left w:val="single" w:color="4874CB" w:sz="4" w:space="0"/>
              <w:bottom w:val="single" w:color="91AADF" w:sz="4" w:space="0"/>
              <w:right w:val="single" w:color="4874CB" w:sz="4" w:space="0"/>
            </w:tcBorders>
            <w:shd w:val="clear" w:color="D9E1F4" w:fill="D9E1F4"/>
            <w:vAlign w:val="center"/>
          </w:tcPr>
          <w:p w14:paraId="6097CFAD">
            <w:pPr>
              <w:snapToGrid w:val="0"/>
              <w:rPr>
                <w:rFonts w:hint="eastAsia" w:ascii="宋体" w:hAnsi="宋体" w:eastAsia="宋体" w:cs="宋体"/>
                <w:i w:val="0"/>
                <w:iCs w:val="0"/>
                <w:color w:val="000000"/>
                <w:sz w:val="24"/>
                <w:szCs w:val="24"/>
                <w:u w:val="none"/>
              </w:rPr>
            </w:pPr>
          </w:p>
        </w:tc>
        <w:tc>
          <w:tcPr>
            <w:tcW w:w="1491"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1D6542A6">
            <w:pPr>
              <w:snapToGrid w:val="0"/>
              <w:jc w:val="center"/>
              <w:rPr>
                <w:rFonts w:hint="eastAsia" w:ascii="宋体" w:hAnsi="宋体" w:eastAsia="宋体" w:cs="宋体"/>
                <w:i w:val="0"/>
                <w:iCs w:val="0"/>
                <w:color w:val="000000"/>
                <w:sz w:val="24"/>
                <w:szCs w:val="24"/>
                <w:u w:val="none"/>
              </w:rPr>
            </w:pPr>
          </w:p>
        </w:tc>
        <w:tc>
          <w:tcPr>
            <w:tcW w:w="3079" w:type="dxa"/>
            <w:tcBorders>
              <w:top w:val="single" w:color="91AADF" w:sz="4" w:space="0"/>
              <w:left w:val="single" w:color="4874CB" w:sz="4" w:space="0"/>
              <w:bottom w:val="single" w:color="91AADF" w:sz="4" w:space="0"/>
              <w:right w:val="single" w:color="4874CB" w:sz="4" w:space="0"/>
            </w:tcBorders>
            <w:shd w:val="clear" w:color="D9E1F4" w:fill="D9E1F4"/>
            <w:noWrap/>
            <w:vAlign w:val="center"/>
          </w:tcPr>
          <w:p w14:paraId="21D2831B">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p>
        </w:tc>
      </w:tr>
      <w:tr w14:paraId="66CD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69B6F94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Interpretation</w:t>
            </w:r>
          </w:p>
        </w:tc>
        <w:tc>
          <w:tcPr>
            <w:tcW w:w="513"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456681C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29</w:t>
            </w:r>
          </w:p>
        </w:tc>
        <w:tc>
          <w:tcPr>
            <w:tcW w:w="10071" w:type="dxa"/>
            <w:tcBorders>
              <w:top w:val="single" w:color="91AADF" w:sz="4" w:space="0"/>
              <w:left w:val="single" w:color="4874CB" w:sz="4" w:space="0"/>
              <w:bottom w:val="single" w:color="91AADF" w:sz="4" w:space="0"/>
              <w:right w:val="single" w:color="4874CB" w:sz="4" w:space="0"/>
            </w:tcBorders>
            <w:shd w:val="clear" w:color="auto" w:fill="auto"/>
            <w:vAlign w:val="center"/>
          </w:tcPr>
          <w:p w14:paraId="764F43C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Interpretation consistent with results, balancing benefits and harms, and considering other relevant evidence</w:t>
            </w:r>
          </w:p>
        </w:tc>
        <w:tc>
          <w:tcPr>
            <w:tcW w:w="1491"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0D310919">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c>
          <w:tcPr>
            <w:tcW w:w="3079" w:type="dxa"/>
            <w:tcBorders>
              <w:top w:val="single" w:color="91AADF" w:sz="4" w:space="0"/>
              <w:left w:val="single" w:color="4874CB" w:sz="4" w:space="0"/>
              <w:bottom w:val="single" w:color="91AADF" w:sz="4" w:space="0"/>
              <w:right w:val="single" w:color="4874CB" w:sz="4" w:space="0"/>
            </w:tcBorders>
            <w:shd w:val="clear" w:color="auto" w:fill="auto"/>
            <w:noWrap/>
            <w:vAlign w:val="center"/>
          </w:tcPr>
          <w:p w14:paraId="3F86B613">
            <w:pPr>
              <w:snapToGrid w:val="0"/>
              <w:ind w:left="0" w:leftChars="0" w:right="0" w:rightChars="0"/>
              <w:jc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This study combined clinical assessments with rs-fMRI to evaluate the efficacy and central mechanisms of acupuncture in PD</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r w14:paraId="1566E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48" w:type="dxa"/>
            <w:tcBorders>
              <w:top w:val="single" w:color="91AADF" w:sz="4" w:space="0"/>
              <w:left w:val="single" w:color="4874CB" w:sz="4" w:space="0"/>
              <w:bottom w:val="single" w:color="4874CB" w:sz="4" w:space="0"/>
              <w:right w:val="single" w:color="4874CB" w:sz="4" w:space="0"/>
            </w:tcBorders>
            <w:shd w:val="clear" w:color="D9E1F4" w:fill="D9E1F4"/>
            <w:noWrap/>
            <w:vAlign w:val="center"/>
          </w:tcPr>
          <w:p w14:paraId="1F466DF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bookmarkStart w:id="1" w:name="_GoBack" w:colFirst="4" w:colLast="4"/>
            <w:r>
              <w:rPr>
                <w:rFonts w:hint="eastAsia" w:ascii="宋体" w:hAnsi="宋体" w:eastAsia="宋体" w:cs="宋体"/>
                <w:i w:val="0"/>
                <w:iCs w:val="0"/>
                <w:color w:val="000000"/>
                <w:spacing w:val="-1"/>
                <w:w w:val="95"/>
                <w:kern w:val="0"/>
                <w:sz w:val="24"/>
                <w:szCs w:val="24"/>
                <w:u w:val="none" w:color="0070C0"/>
                <w:lang w:val="en-US" w:eastAsia="zh-CN" w:bidi="ar"/>
              </w:rPr>
              <w:t>Limitations</w:t>
            </w:r>
          </w:p>
        </w:tc>
        <w:tc>
          <w:tcPr>
            <w:tcW w:w="513" w:type="dxa"/>
            <w:tcBorders>
              <w:top w:val="single" w:color="91AADF" w:sz="4" w:space="0"/>
              <w:left w:val="single" w:color="4874CB" w:sz="4" w:space="0"/>
              <w:bottom w:val="single" w:color="4874CB" w:sz="4" w:space="0"/>
              <w:right w:val="single" w:color="4874CB" w:sz="4" w:space="0"/>
            </w:tcBorders>
            <w:shd w:val="clear" w:color="D9E1F4" w:fill="D9E1F4"/>
            <w:noWrap/>
            <w:vAlign w:val="center"/>
          </w:tcPr>
          <w:p w14:paraId="7D99C9C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30</w:t>
            </w:r>
          </w:p>
        </w:tc>
        <w:tc>
          <w:tcPr>
            <w:tcW w:w="10071" w:type="dxa"/>
            <w:tcBorders>
              <w:top w:val="single" w:color="91AADF" w:sz="4" w:space="0"/>
              <w:left w:val="single" w:color="4874CB" w:sz="4" w:space="0"/>
              <w:bottom w:val="single" w:color="4874CB" w:sz="4" w:space="0"/>
              <w:right w:val="single" w:color="4874CB" w:sz="4" w:space="0"/>
            </w:tcBorders>
            <w:shd w:val="clear" w:color="D9E1F4" w:fill="D9E1F4"/>
            <w:vAlign w:val="center"/>
          </w:tcPr>
          <w:p w14:paraId="5DFA199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pacing w:val="-1"/>
                <w:w w:val="95"/>
                <w:kern w:val="0"/>
                <w:sz w:val="24"/>
                <w:szCs w:val="24"/>
                <w:u w:val="none" w:color="0070C0"/>
                <w:lang w:val="en-US" w:eastAsia="zh-CN" w:bidi="ar"/>
              </w:rPr>
              <w:t>Trial limitations, addressing sources of potential bias, imprecision, generalisability, and, if relevant, multiplicity of analyses</w:t>
            </w:r>
          </w:p>
        </w:tc>
        <w:tc>
          <w:tcPr>
            <w:tcW w:w="1491" w:type="dxa"/>
            <w:tcBorders>
              <w:top w:val="single" w:color="91AADF" w:sz="4" w:space="0"/>
              <w:left w:val="single" w:color="4874CB" w:sz="4" w:space="0"/>
              <w:bottom w:val="single" w:color="4874CB" w:sz="4" w:space="0"/>
              <w:right w:val="single" w:color="4874CB" w:sz="4" w:space="0"/>
            </w:tcBorders>
            <w:shd w:val="clear" w:color="D9E1F4" w:fill="D9E1F4"/>
            <w:noWrap/>
            <w:vAlign w:val="center"/>
          </w:tcPr>
          <w:p w14:paraId="0505D0A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8</w:t>
            </w:r>
          </w:p>
        </w:tc>
        <w:tc>
          <w:tcPr>
            <w:tcW w:w="3079" w:type="dxa"/>
            <w:tcBorders>
              <w:top w:val="single" w:color="91AADF" w:sz="4" w:space="0"/>
              <w:left w:val="single" w:color="4874CB" w:sz="4" w:space="0"/>
              <w:bottom w:val="single" w:color="4874CB" w:sz="4" w:space="0"/>
              <w:right w:val="single" w:color="4874CB" w:sz="4" w:space="0"/>
            </w:tcBorders>
            <w:shd w:val="clear" w:color="D9E1F4" w:fill="D9E1F4"/>
            <w:noWrap/>
            <w:vAlign w:val="center"/>
          </w:tcPr>
          <w:p w14:paraId="52011651">
            <w:pPr>
              <w:keepNext w:val="0"/>
              <w:keepLines w:val="0"/>
              <w:widowControl/>
              <w:suppressLineNumbers w:val="0"/>
              <w:snapToGrid w:val="0"/>
              <w:ind w:left="0" w:leftChars="0" w:right="0" w:rightChars="0"/>
              <w:jc w:val="center"/>
              <w:textAlignment w:val="center"/>
              <w:rPr>
                <w:rFonts w:hint="default" w:ascii="Times New Roman" w:hAnsi="Times New Roman" w:eastAsia="宋体" w:cs="Times New Roman"/>
                <w:i w:val="0"/>
                <w:iCs w:val="0"/>
                <w:color w:val="000000"/>
                <w:spacing w:val="-1"/>
                <w:w w:val="95"/>
                <w:sz w:val="20"/>
                <w:szCs w:val="20"/>
                <w:u w:val="none" w:color="0070C0"/>
                <w:lang w:val="en-US" w:eastAsia="zh-CN" w:bidi="ar-SA"/>
              </w:rPr>
            </w:pPr>
            <w:r>
              <w:rPr>
                <w:rFonts w:hint="default" w:ascii="Times New Roman" w:hAnsi="Times New Roman" w:eastAsia="Segoe UI" w:cs="Times New Roman"/>
                <w:i w:val="0"/>
                <w:iCs w:val="0"/>
                <w:caps w:val="0"/>
                <w:color w:val="0F1115"/>
                <w:spacing w:val="0"/>
                <w:kern w:val="0"/>
                <w:sz w:val="20"/>
                <w:szCs w:val="20"/>
                <w:lang w:val="en-US" w:eastAsia="zh-CN" w:bidi="ar"/>
              </w:rPr>
              <w:t>This study has several limitations</w:t>
            </w:r>
            <w:r>
              <w:rPr>
                <w:rFonts w:hint="default" w:ascii="Times New Roman" w:hAnsi="Times New Roman" w:eastAsia="Segoe UI" w:cs="Times New Roman"/>
                <w:i w:val="0"/>
                <w:iCs w:val="0"/>
                <w:caps w:val="0"/>
                <w:color w:val="0F1115"/>
                <w:spacing w:val="0"/>
                <w:kern w:val="0"/>
                <w:sz w:val="20"/>
                <w:szCs w:val="20"/>
                <w:lang w:val="en-US" w:eastAsia="zh-CN" w:bidi="ar"/>
              </w:rPr>
              <w:t>.......</w:t>
            </w:r>
          </w:p>
        </w:tc>
      </w:tr>
    </w:tbl>
    <w:p w14:paraId="6522DA55"/>
    <w:sectPr>
      <w:pgSz w:w="19842" w:h="11906" w:orient="landscape"/>
      <w:pgMar w:top="720" w:right="720" w:bottom="720" w:left="720" w:header="851" w:footer="992" w:gutter="0"/>
      <w:paperSrc/>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1"/>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7699"/>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A26E00"/>
    <w:rsid w:val="13226A9B"/>
    <w:rsid w:val="20CD585E"/>
    <w:rsid w:val="4F143BF6"/>
    <w:rsid w:val="53F77316"/>
    <w:rsid w:val="5B7C4EF7"/>
    <w:rsid w:val="5CEF3112"/>
    <w:rsid w:val="603976D7"/>
    <w:rsid w:val="64096F5B"/>
    <w:rsid w:val="672B668C"/>
    <w:rsid w:val="6E5A4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Tahoma" w:hAnsi="Tahoma" w:eastAsia="宋体" w:cs="Tahoma"/>
      <w:spacing w:val="-1"/>
      <w:w w:val="95"/>
      <w:sz w:val="17"/>
      <w:szCs w:val="17"/>
      <w:u w:val="none" w:color="0070C0"/>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835</Words>
  <Characters>4906</Characters>
  <Lines>0</Lines>
  <Paragraphs>0</Paragraphs>
  <TotalTime>0</TotalTime>
  <ScaleCrop>false</ScaleCrop>
  <LinksUpToDate>false</LinksUpToDate>
  <CharactersWithSpaces>5601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2023-08-09T06:32:00Z</dcterms:created>
  <dc:creator>小雨</dc:creator>
  <cp:lastModifiedBy>跃渊无咎</cp:lastModifiedBy>
  <dcterms:modified xsi:type="dcterms:W3CDTF">2026-08-06T01:54:40Z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734526E3E2F1496496A220CDDAEEEEA4_13</vt:lpwstr>
  </property>
  <property fmtid="{D5CDD505-2E9C-101B-9397-08002B2CF9AE}" pid="4" name="KSOTemplateDocerSaveRecord">
    <vt:lpwstr>eyJoZGlkIjoiNDA0NTBhNGU0OGVmOGZhNDE4NTA2YjAwN2U4MjZlNGIiLCJ1c2VySWQiOiI0MDExODU0MzcifQ==</vt:lpwstr>
  </property>
</Properties>
</file>