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54B6976" w14:textId="1C7D5EE8" w:rsidR="008A50C3" w:rsidRDefault="009F64F0">
      <w:pPr>
        <w:rPr>
          <w:b/>
          <w:bCs/>
        </w:rPr>
      </w:pPr>
      <w:r>
        <w:rPr>
          <w:b/>
          <w:bCs/>
        </w:rPr>
        <w:t>Supplementary material</w:t>
      </w:r>
      <w:r w:rsidR="00D93DE9">
        <w:rPr>
          <w:b/>
          <w:bCs/>
        </w:rPr>
        <w:t xml:space="preserve"> 2</w:t>
      </w:r>
    </w:p>
    <w:p w14:paraId="07B25275" w14:textId="77777777" w:rsidR="009F64F0" w:rsidRDefault="009F64F0">
      <w:pPr>
        <w:rPr>
          <w:b/>
          <w:bCs/>
        </w:rPr>
      </w:pPr>
    </w:p>
    <w:p w14:paraId="0EEECB30" w14:textId="643667C5" w:rsidR="009F64F0" w:rsidRDefault="00E538B7" w:rsidP="00A06682">
      <w:pPr>
        <w:spacing w:after="240"/>
        <w:rPr>
          <w:b/>
          <w:bCs/>
        </w:rPr>
      </w:pPr>
      <w:r>
        <w:rPr>
          <w:b/>
          <w:bCs/>
        </w:rPr>
        <w:t xml:space="preserve">Methods: </w:t>
      </w:r>
    </w:p>
    <w:p w14:paraId="69B5C7BC" w14:textId="2AFA546B" w:rsidR="009F64F0" w:rsidRPr="00D93DE9" w:rsidRDefault="00D93DE9" w:rsidP="00B33FFE">
      <w:pPr>
        <w:spacing w:after="240" w:line="360" w:lineRule="auto"/>
        <w:jc w:val="both"/>
      </w:pPr>
      <w:r>
        <w:t>The non-linear mixed effects</w:t>
      </w:r>
      <w:r w:rsidR="009F64F0" w:rsidRPr="00D93DE9">
        <w:t xml:space="preserve"> model took the form: </w:t>
      </w:r>
    </w:p>
    <w:p w14:paraId="605A7300" w14:textId="77777777" w:rsidR="009F64F0" w:rsidRPr="00D93DE9" w:rsidRDefault="00000000" w:rsidP="00B33FFE">
      <w:pPr>
        <w:spacing w:after="240" w:line="360" w:lineRule="auto"/>
        <w:jc w:val="both"/>
        <w:rPr>
          <w:rFonts w:eastAsiaTheme="minorEastAsia"/>
        </w:rPr>
      </w:pPr>
      <m:oMathPara>
        <m:oMath>
          <m:sSub>
            <m:sSubPr>
              <m:ctrlPr>
                <w:rPr>
                  <w:rFonts w:ascii="Cambria Math" w:hAnsi="Cambria Math"/>
                </w:rPr>
              </m:ctrlPr>
            </m:sSubPr>
            <m:e>
              <m:r>
                <w:rPr>
                  <w:rFonts w:ascii="Cambria Math" w:hAnsi="Cambria Math"/>
                </w:rPr>
                <m:t>y</m:t>
              </m:r>
            </m:e>
            <m:sub>
              <m:r>
                <w:rPr>
                  <w:rFonts w:ascii="Cambria Math" w:hAnsi="Cambria Math"/>
                </w:rPr>
                <m:t>ij</m:t>
              </m:r>
            </m:sub>
          </m:sSub>
          <m:r>
            <w:rPr>
              <w:rFonts w:ascii="Cambria Math" w:hAnsi="Cambria Math"/>
            </w:rPr>
            <m:t>=a</m:t>
          </m:r>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τ</m:t>
                      </m:r>
                    </m:e>
                    <m:sub>
                      <m:r>
                        <w:rPr>
                          <w:rFonts w:ascii="Cambria Math" w:hAnsi="Cambria Math"/>
                        </w:rPr>
                        <m:t>ij</m:t>
                      </m:r>
                    </m:sub>
                  </m:sSub>
                </m:e>
              </m:d>
            </m:e>
            <m:sup>
              <m:sSub>
                <m:sSubPr>
                  <m:ctrlPr>
                    <w:rPr>
                      <w:rFonts w:ascii="Cambria Math" w:hAnsi="Cambria Math"/>
                    </w:rPr>
                  </m:ctrlPr>
                </m:sSubPr>
                <m:e>
                  <m:r>
                    <w:rPr>
                      <w:rFonts w:ascii="Cambria Math" w:hAnsi="Cambria Math"/>
                    </w:rPr>
                    <m:t>b</m:t>
                  </m:r>
                </m:e>
                <m:sub>
                  <m:r>
                    <w:rPr>
                      <w:rFonts w:ascii="Cambria Math" w:hAnsi="Cambria Math"/>
                    </w:rPr>
                    <m:t>i</m:t>
                  </m:r>
                </m:sub>
              </m:sSub>
            </m:sup>
          </m:sSup>
          <m:func>
            <m:funcPr>
              <m:ctrlPr>
                <w:rPr>
                  <w:rFonts w:ascii="Cambria Math" w:hAnsi="Cambria Math"/>
                </w:rPr>
              </m:ctrlPr>
            </m:funcPr>
            <m:fName>
              <m:r>
                <m:rPr>
                  <m:sty m:val="p"/>
                </m:rPr>
                <w:rPr>
                  <w:rFonts w:ascii="Cambria Math" w:hAnsi="Cambria Math"/>
                </w:rPr>
                <m:t>exp</m:t>
              </m:r>
            </m:fName>
            <m:e>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i</m:t>
                      </m:r>
                    </m:sub>
                  </m:sSub>
                  <m:sSub>
                    <m:sSubPr>
                      <m:ctrlPr>
                        <w:rPr>
                          <w:rFonts w:ascii="Cambria Math" w:hAnsi="Cambria Math"/>
                        </w:rPr>
                      </m:ctrlPr>
                    </m:sSubPr>
                    <m:e>
                      <m:r>
                        <w:rPr>
                          <w:rFonts w:ascii="Cambria Math" w:hAnsi="Cambria Math"/>
                        </w:rPr>
                        <m:t>τ</m:t>
                      </m:r>
                    </m:e>
                    <m:sub>
                      <m:r>
                        <w:rPr>
                          <w:rFonts w:ascii="Cambria Math" w:hAnsi="Cambria Math"/>
                        </w:rPr>
                        <m:t>ij</m:t>
                      </m:r>
                    </m:sub>
                  </m:sSub>
                </m:e>
              </m:d>
            </m:e>
          </m:func>
          <m: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0i</m:t>
              </m:r>
            </m:sub>
          </m:sSub>
          <m:r>
            <w:rPr>
              <w:rFonts w:ascii="Cambria Math" w:hAnsi="Cambria Math"/>
            </w:rPr>
            <m:t>+</m:t>
          </m:r>
          <m:sSub>
            <m:sSubPr>
              <m:ctrlPr>
                <w:rPr>
                  <w:rFonts w:ascii="Cambria Math" w:hAnsi="Cambria Math"/>
                </w:rPr>
              </m:ctrlPr>
            </m:sSubPr>
            <m:e>
              <m:r>
                <w:rPr>
                  <w:rFonts w:ascii="Cambria Math" w:hAnsi="Cambria Math"/>
                </w:rPr>
                <m:t>ϵ</m:t>
              </m:r>
            </m:e>
            <m:sub>
              <m:r>
                <w:rPr>
                  <w:rFonts w:ascii="Cambria Math" w:hAnsi="Cambria Math"/>
                </w:rPr>
                <m:t>ij</m:t>
              </m:r>
            </m:sub>
          </m:sSub>
        </m:oMath>
      </m:oMathPara>
    </w:p>
    <w:p w14:paraId="75F3861E" w14:textId="212A5DD5" w:rsidR="00D93DE9" w:rsidRDefault="009F64F0" w:rsidP="00B33FFE">
      <w:pPr>
        <w:spacing w:after="240" w:line="360" w:lineRule="auto"/>
        <w:jc w:val="both"/>
      </w:pPr>
      <w:r w:rsidRPr="00D93DE9">
        <w:t xml:space="preserve">where </w:t>
      </w:r>
      <m:oMath>
        <m:sSub>
          <m:sSubPr>
            <m:ctrlPr>
              <w:rPr>
                <w:rFonts w:ascii="Cambria Math" w:hAnsi="Cambria Math"/>
              </w:rPr>
            </m:ctrlPr>
          </m:sSubPr>
          <m:e>
            <m:r>
              <w:rPr>
                <w:rFonts w:ascii="Cambria Math" w:hAnsi="Cambria Math"/>
              </w:rPr>
              <m:t>y</m:t>
            </m:r>
          </m:e>
          <m:sub>
            <m:r>
              <w:rPr>
                <w:rFonts w:ascii="Cambria Math" w:hAnsi="Cambria Math"/>
              </w:rPr>
              <m:t>ij</m:t>
            </m:r>
          </m:sub>
        </m:sSub>
      </m:oMath>
      <w:r w:rsidRPr="00D93DE9">
        <w:rPr>
          <w:rFonts w:eastAsiaTheme="minorEastAsia"/>
        </w:rPr>
        <w:t xml:space="preserve"> represented the </w:t>
      </w:r>
      <w:r w:rsidRPr="00D93DE9">
        <w:t>log₁₀-transformed viral load (EEHV5 VGE/mL of blood) for individual</w:t>
      </w:r>
      <w:r w:rsidRPr="00D93DE9">
        <w:rPr>
          <w:rFonts w:ascii="Aptos" w:hAnsi="Aptos" w:cs="Aptos"/>
        </w:rPr>
        <w:t> </w:t>
      </w:r>
      <m:oMath>
        <m:r>
          <w:rPr>
            <w:rFonts w:ascii="Cambria Math" w:hAnsi="Cambria Math"/>
          </w:rPr>
          <m:t>i</m:t>
        </m:r>
      </m:oMath>
      <w:r w:rsidRPr="00D93DE9">
        <w:t> at observation </w:t>
      </w:r>
      <m:oMath>
        <m:r>
          <w:rPr>
            <w:rFonts w:ascii="Cambria Math" w:hAnsi="Cambria Math"/>
          </w:rPr>
          <m:t>j</m:t>
        </m:r>
        <m:r>
          <w:rPr>
            <w:rFonts w:ascii="Cambria Math" w:eastAsiaTheme="minorEastAsia" w:hAnsi="Cambria Math"/>
          </w:rPr>
          <m:t xml:space="preserve">.  </m:t>
        </m:r>
        <m:sSub>
          <m:sSubPr>
            <m:ctrlPr>
              <w:rPr>
                <w:rFonts w:ascii="Cambria Math" w:hAnsi="Cambria Math"/>
              </w:rPr>
            </m:ctrlPr>
          </m:sSubPr>
          <m:e>
            <m:r>
              <w:rPr>
                <w:rFonts w:ascii="Cambria Math" w:hAnsi="Cambria Math"/>
              </w:rPr>
              <m:t>τ</m:t>
            </m:r>
          </m:e>
          <m:sub>
            <m:r>
              <w:rPr>
                <w:rFonts w:ascii="Cambria Math" w:hAnsi="Cambria Math"/>
              </w:rPr>
              <m:t>ij</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ij</m:t>
            </m:r>
          </m:sub>
        </m:sSub>
        <m:r>
          <w:rPr>
            <w:rFonts w:ascii="Cambria Math" w:hAnsi="Cambria Math"/>
          </w:rPr>
          <m:t>-</m:t>
        </m:r>
        <m:sSub>
          <m:sSubPr>
            <m:ctrlPr>
              <w:rPr>
                <w:rFonts w:ascii="Cambria Math" w:hAnsi="Cambria Math"/>
              </w:rPr>
            </m:ctrlPr>
          </m:sSubPr>
          <m:e>
            <m:r>
              <w:rPr>
                <w:rFonts w:ascii="Cambria Math" w:hAnsi="Cambria Math"/>
              </w:rPr>
              <m:t>d</m:t>
            </m:r>
          </m:e>
          <m:sub>
            <m:r>
              <w:rPr>
                <w:rFonts w:ascii="Cambria Math" w:hAnsi="Cambria Math"/>
              </w:rPr>
              <m:t>i</m:t>
            </m:r>
          </m:sub>
        </m:sSub>
      </m:oMath>
      <w:r w:rsidRPr="00D93DE9">
        <w:t> represented the time since onset of shedding (days), with individual-specific shift in the viraemia curve (</w:t>
      </w:r>
      <m:oMath>
        <m:sSub>
          <m:sSubPr>
            <m:ctrlPr>
              <w:rPr>
                <w:rFonts w:ascii="Cambria Math" w:hAnsi="Cambria Math"/>
              </w:rPr>
            </m:ctrlPr>
          </m:sSubPr>
          <m:e>
            <m:r>
              <w:rPr>
                <w:rFonts w:ascii="Cambria Math" w:hAnsi="Cambria Math"/>
              </w:rPr>
              <m:t>d</m:t>
            </m:r>
          </m:e>
          <m:sub>
            <m:r>
              <w:rPr>
                <w:rFonts w:ascii="Cambria Math" w:hAnsi="Cambria Math"/>
              </w:rPr>
              <m:t>i</m:t>
            </m:r>
          </m:sub>
        </m:sSub>
      </m:oMath>
      <w:r w:rsidRPr="00D93DE9">
        <w:rPr>
          <w:rFonts w:eastAsiaTheme="minorEastAsia"/>
        </w:rPr>
        <w:t xml:space="preserve">), i.e., when </w:t>
      </w:r>
      <m:oMath>
        <m:sSub>
          <m:sSubPr>
            <m:ctrlPr>
              <w:rPr>
                <w:rFonts w:ascii="Cambria Math" w:hAnsi="Cambria Math"/>
              </w:rPr>
            </m:ctrlPr>
          </m:sSubPr>
          <m:e>
            <m:r>
              <w:rPr>
                <w:rFonts w:ascii="Cambria Math" w:hAnsi="Cambria Math"/>
              </w:rPr>
              <m:t>d</m:t>
            </m:r>
          </m:e>
          <m:sub>
            <m:r>
              <w:rPr>
                <w:rFonts w:ascii="Cambria Math" w:hAnsi="Cambria Math"/>
              </w:rPr>
              <m:t>i</m:t>
            </m:r>
          </m:sub>
        </m:sSub>
        <m:r>
          <w:rPr>
            <w:rFonts w:ascii="Cambria Math" w:hAnsi="Cambria Math"/>
          </w:rPr>
          <m:t>=10</m:t>
        </m:r>
      </m:oMath>
      <w:r w:rsidRPr="00D93DE9">
        <w:rPr>
          <w:rFonts w:eastAsiaTheme="minorEastAsia"/>
        </w:rPr>
        <w:t xml:space="preserve"> then the viraemia curve is left-shifted by 10 days. </w:t>
      </w:r>
      <m:oMath>
        <m:r>
          <w:rPr>
            <w:rFonts w:ascii="Cambria Math" w:hAnsi="Cambria Math"/>
          </w:rPr>
          <m:t>a</m:t>
        </m:r>
      </m:oMath>
      <w:r w:rsidRPr="00D93DE9">
        <w:t xml:space="preserve"> is the amplitude parameter (peak scaling factor) of the Wood’s curve, </w:t>
      </w:r>
      <m:oMath>
        <m:sSub>
          <m:sSubPr>
            <m:ctrlPr>
              <w:rPr>
                <w:rFonts w:ascii="Cambria Math" w:hAnsi="Cambria Math"/>
              </w:rPr>
            </m:ctrlPr>
          </m:sSubPr>
          <m:e>
            <m:r>
              <w:rPr>
                <w:rFonts w:ascii="Cambria Math" w:hAnsi="Cambria Math"/>
              </w:rPr>
              <m:t>b</m:t>
            </m:r>
          </m:e>
          <m:sub>
            <m:r>
              <w:rPr>
                <w:rFonts w:ascii="Cambria Math" w:hAnsi="Cambria Math"/>
              </w:rPr>
              <m:t>i</m:t>
            </m:r>
          </m:sub>
        </m:sSub>
      </m:oMath>
      <w:r w:rsidRPr="00D93DE9">
        <w:t xml:space="preserve"> the power exponent controlling the curve’s growth phase shape and </w:t>
      </w:r>
      <m:oMath>
        <m:sSub>
          <m:sSubPr>
            <m:ctrlPr>
              <w:rPr>
                <w:rFonts w:ascii="Cambria Math" w:hAnsi="Cambria Math"/>
              </w:rPr>
            </m:ctrlPr>
          </m:sSubPr>
          <m:e>
            <m:r>
              <w:rPr>
                <w:rFonts w:ascii="Cambria Math" w:hAnsi="Cambria Math"/>
              </w:rPr>
              <m:t>c</m:t>
            </m:r>
          </m:e>
          <m:sub>
            <m:r>
              <w:rPr>
                <w:rFonts w:ascii="Cambria Math" w:hAnsi="Cambria Math"/>
              </w:rPr>
              <m:t>i</m:t>
            </m:r>
          </m:sub>
        </m:sSub>
      </m:oMath>
      <w:r w:rsidRPr="00D93DE9">
        <w:t xml:space="preserve"> the exponential decay rate per day. The peak of each individual’s shedding curve occurs at time </w:t>
      </w:r>
      <m:oMath>
        <m:sSub>
          <m:sSubPr>
            <m:ctrlPr>
              <w:rPr>
                <w:rFonts w:ascii="Cambria Math" w:hAnsi="Cambria Math"/>
              </w:rPr>
            </m:ctrlPr>
          </m:sSubPr>
          <m:e>
            <m:r>
              <w:rPr>
                <w:rFonts w:ascii="Cambria Math" w:hAnsi="Cambria Math"/>
              </w:rPr>
              <m:t>t</m:t>
            </m:r>
          </m:e>
          <m:sub>
            <m:r>
              <w:rPr>
                <w:rFonts w:ascii="Cambria Math" w:hAnsi="Cambria Math"/>
              </w:rPr>
              <m:t>peak[i]</m:t>
            </m:r>
          </m:sub>
        </m:sSub>
        <m:r>
          <w:rPr>
            <w:rFonts w:ascii="Cambria Math" w:hAnsi="Cambria Math"/>
          </w:rPr>
          <m:t>=</m:t>
        </m:r>
        <m:sSub>
          <m:sSubPr>
            <m:ctrlPr>
              <w:rPr>
                <w:rFonts w:ascii="Cambria Math" w:hAnsi="Cambria Math"/>
              </w:rPr>
            </m:ctrlPr>
          </m:sSubPr>
          <m:e>
            <m:r>
              <w:rPr>
                <w:rFonts w:ascii="Cambria Math" w:hAnsi="Cambria Math"/>
              </w:rPr>
              <m:t>d</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b</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i</m:t>
            </m:r>
          </m:sub>
        </m:sSub>
      </m:oMath>
      <w:r w:rsidRPr="00D93DE9">
        <w:rPr>
          <w:rFonts w:eastAsiaTheme="minorEastAsia"/>
        </w:rPr>
        <w:t xml:space="preserve"> and with peak maximum height at </w:t>
      </w:r>
      <m:oMath>
        <m:sSub>
          <m:sSubPr>
            <m:ctrlPr>
              <w:rPr>
                <w:rFonts w:ascii="Cambria Math" w:hAnsi="Cambria Math"/>
              </w:rPr>
            </m:ctrlPr>
          </m:sSubPr>
          <m:e>
            <m:r>
              <w:rPr>
                <w:rFonts w:ascii="Cambria Math" w:hAnsi="Cambria Math"/>
              </w:rPr>
              <m:t>y</m:t>
            </m:r>
          </m:e>
          <m:sub>
            <m:r>
              <w:rPr>
                <w:rFonts w:ascii="Cambria Math" w:hAnsi="Cambria Math"/>
              </w:rPr>
              <m:t>peak[i]</m:t>
            </m:r>
          </m:sub>
        </m:sSub>
        <m:r>
          <w:rPr>
            <w:rFonts w:ascii="Cambria Math" w:hAnsi="Cambria Math"/>
          </w:rPr>
          <m:t xml:space="preserve"> =a</m:t>
        </m:r>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b</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i</m:t>
                    </m:r>
                  </m:sub>
                </m:sSub>
              </m:e>
            </m:d>
          </m:e>
          <m:sup>
            <m:sSub>
              <m:sSubPr>
                <m:ctrlPr>
                  <w:rPr>
                    <w:rFonts w:ascii="Cambria Math" w:hAnsi="Cambria Math"/>
                  </w:rPr>
                </m:ctrlPr>
              </m:sSubPr>
              <m:e>
                <m:r>
                  <w:rPr>
                    <w:rFonts w:ascii="Cambria Math" w:hAnsi="Cambria Math"/>
                  </w:rPr>
                  <m:t>b</m:t>
                </m:r>
              </m:e>
              <m:sub>
                <m:r>
                  <w:rPr>
                    <w:rFonts w:ascii="Cambria Math" w:hAnsi="Cambria Math"/>
                  </w:rPr>
                  <m:t>i</m:t>
                </m:r>
              </m:sub>
            </m:sSub>
          </m:sup>
        </m:sSup>
        <m:func>
          <m:funcPr>
            <m:ctrlPr>
              <w:rPr>
                <w:rFonts w:ascii="Cambria Math" w:hAnsi="Cambria Math"/>
              </w:rPr>
            </m:ctrlPr>
          </m:funcPr>
          <m:fName>
            <m:r>
              <m:rPr>
                <m:sty m:val="p"/>
              </m:rPr>
              <w:rPr>
                <w:rFonts w:ascii="Cambria Math" w:hAnsi="Cambria Math"/>
              </w:rPr>
              <m:t>exp</m:t>
            </m:r>
          </m:fName>
          <m:e>
            <m:d>
              <m:dPr>
                <m:ctrlPr>
                  <w:rPr>
                    <w:rFonts w:ascii="Cambria Math" w:hAnsi="Cambria Math"/>
                  </w:rPr>
                </m:ctrlPr>
              </m:dPr>
              <m:e>
                <m:sSub>
                  <m:sSubPr>
                    <m:ctrlPr>
                      <w:rPr>
                        <w:rFonts w:ascii="Cambria Math" w:hAnsi="Cambria Math"/>
                      </w:rPr>
                    </m:ctrlPr>
                  </m:sSubPr>
                  <m:e>
                    <m:r>
                      <w:rPr>
                        <w:rFonts w:ascii="Cambria Math" w:hAnsi="Cambria Math"/>
                      </w:rPr>
                      <m:t>-b</m:t>
                    </m:r>
                  </m:e>
                  <m:sub>
                    <m:r>
                      <w:rPr>
                        <w:rFonts w:ascii="Cambria Math" w:hAnsi="Cambria Math"/>
                      </w:rPr>
                      <m:t>i</m:t>
                    </m:r>
                  </m:sub>
                </m:sSub>
              </m:e>
            </m:d>
          </m:e>
        </m:func>
        <m: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0i</m:t>
            </m:r>
          </m:sub>
        </m:sSub>
      </m:oMath>
      <w:r w:rsidRPr="00D93DE9">
        <w:rPr>
          <w:rFonts w:eastAsiaTheme="minorEastAsia"/>
        </w:rPr>
        <w:t>. The model incorporated two random effects to account for the hierarchical repeated-measures structure of the data, a</w:t>
      </w:r>
      <w:r w:rsidRPr="00D93DE9">
        <w:t xml:space="preserve"> random y-axis intercept for each individual’s curve (</w:t>
      </w:r>
      <m:oMath>
        <m:sSub>
          <m:sSubPr>
            <m:ctrlPr>
              <w:rPr>
                <w:rFonts w:ascii="Cambria Math" w:hAnsi="Cambria Math"/>
              </w:rPr>
            </m:ctrlPr>
          </m:sSubPr>
          <m:e>
            <m:r>
              <w:rPr>
                <w:rFonts w:ascii="Cambria Math" w:hAnsi="Cambria Math"/>
              </w:rPr>
              <m:t>y</m:t>
            </m:r>
          </m:e>
          <m:sub>
            <m:r>
              <w:rPr>
                <w:rFonts w:ascii="Cambria Math" w:hAnsi="Cambria Math"/>
              </w:rPr>
              <m:t>0i</m:t>
            </m:r>
          </m:sub>
        </m:sSub>
      </m:oMath>
      <w:r w:rsidRPr="00D93DE9">
        <w:t>) and a first-order autoregressive correlation structure (AR1) for the residual errors within individual (</w:t>
      </w:r>
      <m:oMath>
        <m:sSub>
          <m:sSubPr>
            <m:ctrlPr>
              <w:rPr>
                <w:rFonts w:ascii="Cambria Math" w:hAnsi="Cambria Math"/>
              </w:rPr>
            </m:ctrlPr>
          </m:sSubPr>
          <m:e>
            <m:r>
              <w:rPr>
                <w:rFonts w:ascii="Cambria Math" w:hAnsi="Cambria Math"/>
              </w:rPr>
              <m:t>ϵ</m:t>
            </m:r>
          </m:e>
          <m:sub>
            <m:r>
              <w:rPr>
                <w:rFonts w:ascii="Cambria Math" w:hAnsi="Cambria Math"/>
              </w:rPr>
              <m:t>ij</m:t>
            </m:r>
          </m:sub>
        </m:sSub>
      </m:oMath>
      <w:r w:rsidRPr="00D93DE9">
        <w:rPr>
          <w:rFonts w:eastAsiaTheme="minorEastAsia"/>
        </w:rPr>
        <w:t xml:space="preserve">) </w:t>
      </w:r>
      <w:r w:rsidRPr="00D93DE9">
        <w:t xml:space="preserve">estimated via Burg's method </w:t>
      </w:r>
      <w:r w:rsidRPr="00D93DE9">
        <w:fldChar w:fldCharType="begin"/>
      </w:r>
      <w:r w:rsidR="00D93DE9">
        <w:instrText xml:space="preserve"> ADDIN EN.CITE &lt;EndNote&gt;&lt;Cite&gt;&lt;Author&gt;Brockwell&lt;/Author&gt;&lt;Year&gt;2016&lt;/Year&gt;&lt;RecNum&gt;1985&lt;/RecNum&gt;&lt;DisplayText&gt;[1]&lt;/DisplayText&gt;&lt;record&gt;&lt;rec-number&gt;1985&lt;/rec-number&gt;&lt;foreign-keys&gt;&lt;key app="EN" db-id="0vap900r6f5aa0ef99pp9fscz9asewafst25" timestamp="1782107411"&gt;1985&lt;/key&gt;&lt;/foreign-keys&gt;&lt;ref-type name="Book Section"&gt;5&lt;/ref-type&gt;&lt;contributors&gt;&lt;authors&gt;&lt;author&gt;Brockwell, P.J.&lt;/author&gt;&lt;author&gt;Davis, R. A.&lt;/author&gt;&lt;/authors&gt;&lt;/contributors&gt;&lt;titles&gt;&lt;title&gt;Burg’s Algorithm&lt;/title&gt;&lt;secondary-title&gt;Introduction to Time Series and Forecasting&lt;/secondary-title&gt;&lt;/titles&gt;&lt;pages&gt;129-132&lt;/pages&gt;&lt;edition&gt;3rd&lt;/edition&gt;&lt;dates&gt;&lt;year&gt;2016&lt;/year&gt;&lt;/dates&gt;&lt;publisher&gt;Springer Nature&lt;/publisher&gt;&lt;isbn&gt; 978-3-319-29852-8&lt;/isbn&gt;&lt;urls&gt;&lt;/urls&gt;&lt;electronic-resource-num&gt;10.1007/978-3-319-29854-2&lt;/electronic-resource-num&gt;&lt;/record&gt;&lt;/Cite&gt;&lt;/EndNote&gt;</w:instrText>
      </w:r>
      <w:r w:rsidRPr="00D93DE9">
        <w:fldChar w:fldCharType="separate"/>
      </w:r>
      <w:r w:rsidR="00D93DE9">
        <w:rPr>
          <w:noProof/>
        </w:rPr>
        <w:t>[1]</w:t>
      </w:r>
      <w:r w:rsidRPr="00D93DE9">
        <w:fldChar w:fldCharType="end"/>
      </w:r>
      <w:r w:rsidRPr="00D93DE9">
        <w:t xml:space="preserve"> to account for temporal dependence in repeated measurements. The parameter ϕ was estimated representing the correlation between two observations from the same individual at timepoints one day apart:</w:t>
      </w:r>
    </w:p>
    <w:p w14:paraId="11CD8A2E" w14:textId="1A6D271C" w:rsidR="009F64F0" w:rsidRPr="00D93DE9" w:rsidRDefault="009F64F0" w:rsidP="00B33FFE">
      <w:pPr>
        <w:spacing w:after="240" w:line="360" w:lineRule="auto"/>
        <w:jc w:val="both"/>
        <w:rPr>
          <w:rFonts w:eastAsiaTheme="minorEastAsia"/>
        </w:rPr>
      </w:pPr>
      <m:oMathPara>
        <m:oMath>
          <m:r>
            <w:rPr>
              <w:rFonts w:ascii="Cambria Math" w:eastAsiaTheme="minorEastAsia" w:hAnsi="Cambria Math"/>
            </w:rPr>
            <m:t>Corr</m:t>
          </m:r>
          <m:d>
            <m:dPr>
              <m:ctrlPr>
                <w:rPr>
                  <w:rFonts w:ascii="Cambria Math" w:eastAsiaTheme="minorEastAsia" w:hAnsi="Cambria Math"/>
                  <w:i/>
                </w:rPr>
              </m:ctrlPr>
            </m:dPr>
            <m:e>
              <m:sSub>
                <m:sSubPr>
                  <m:ctrlPr>
                    <w:rPr>
                      <w:rFonts w:ascii="Cambria Math" w:hAnsi="Cambria Math"/>
                    </w:rPr>
                  </m:ctrlPr>
                </m:sSubPr>
                <m:e>
                  <m:r>
                    <w:rPr>
                      <w:rFonts w:ascii="Cambria Math" w:hAnsi="Cambria Math"/>
                    </w:rPr>
                    <m:t>ϵ</m:t>
                  </m:r>
                </m:e>
                <m:sub>
                  <m:r>
                    <w:rPr>
                      <w:rFonts w:ascii="Cambria Math" w:hAnsi="Cambria Math"/>
                    </w:rPr>
                    <m:t>ij</m:t>
                  </m:r>
                </m:sub>
              </m:sSub>
              <m:r>
                <w:rPr>
                  <w:rFonts w:ascii="Cambria Math" w:eastAsiaTheme="minorEastAsia" w:hAnsi="Cambria Math"/>
                </w:rPr>
                <m:t>,</m:t>
              </m:r>
              <m:sSub>
                <m:sSubPr>
                  <m:ctrlPr>
                    <w:rPr>
                      <w:rFonts w:ascii="Cambria Math" w:hAnsi="Cambria Math"/>
                    </w:rPr>
                  </m:ctrlPr>
                </m:sSubPr>
                <m:e>
                  <m:r>
                    <w:rPr>
                      <w:rFonts w:ascii="Cambria Math" w:hAnsi="Cambria Math"/>
                    </w:rPr>
                    <m:t>ϵ</m:t>
                  </m:r>
                </m:e>
                <m:sub>
                  <m:r>
                    <w:rPr>
                      <w:rFonts w:ascii="Cambria Math" w:hAnsi="Cambria Math"/>
                    </w:rPr>
                    <m:t>ik</m:t>
                  </m:r>
                </m:sub>
              </m:sSub>
            </m:e>
          </m:d>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ϕ</m:t>
              </m:r>
            </m:e>
            <m:sup>
              <m:r>
                <w:rPr>
                  <w:rFonts w:ascii="Cambria Math" w:eastAsiaTheme="minorEastAsia" w:hAnsi="Cambria Math"/>
                </w:rPr>
                <m:t>|j-k|</m:t>
              </m:r>
            </m:sup>
          </m:sSup>
        </m:oMath>
      </m:oMathPara>
    </w:p>
    <w:p w14:paraId="153ACD25" w14:textId="70D69FBF" w:rsidR="009F64F0" w:rsidRDefault="009F64F0" w:rsidP="00B33FFE">
      <w:pPr>
        <w:spacing w:after="240" w:line="360" w:lineRule="auto"/>
      </w:pPr>
      <w:r w:rsidRPr="00D93DE9">
        <w:t xml:space="preserve">To estimate differences between </w:t>
      </w:r>
      <w:r w:rsidR="00966B4F">
        <w:t>individuals with high and low EEHV5-antibody levels</w:t>
      </w:r>
      <w:r w:rsidRPr="00D93DE9">
        <w:t>, and test for their statistical significance, parameters </w:t>
      </w:r>
      <m:oMath>
        <m:r>
          <w:rPr>
            <w:rFonts w:ascii="Cambria Math" w:hAnsi="Cambria Math"/>
          </w:rPr>
          <m:t>b</m:t>
        </m:r>
      </m:oMath>
      <w:r w:rsidRPr="00D93DE9">
        <w:t>, </w:t>
      </w:r>
      <m:oMath>
        <m:r>
          <w:rPr>
            <w:rFonts w:ascii="Cambria Math" w:hAnsi="Cambria Math"/>
          </w:rPr>
          <m:t>c</m:t>
        </m:r>
      </m:oMath>
      <w:r w:rsidRPr="00D93DE9">
        <w:t>, and </w:t>
      </w:r>
      <m:oMath>
        <m:r>
          <w:rPr>
            <w:rFonts w:ascii="Cambria Math" w:hAnsi="Cambria Math"/>
          </w:rPr>
          <m:t>d</m:t>
        </m:r>
      </m:oMath>
      <w:r w:rsidRPr="00D93DE9">
        <w:t> were modelled as:</w:t>
      </w:r>
    </w:p>
    <w:p w14:paraId="0BDCD465" w14:textId="6691ACB6" w:rsidR="009F64F0" w:rsidRPr="00D93DE9" w:rsidRDefault="00000000" w:rsidP="00B33FFE">
      <w:pPr>
        <w:tabs>
          <w:tab w:val="num" w:pos="720"/>
        </w:tabs>
        <w:spacing w:after="240" w:line="360" w:lineRule="auto"/>
        <w:rPr>
          <w:rFonts w:eastAsiaTheme="minorEastAsia"/>
        </w:rPr>
      </w:pPr>
      <m:oMathPara>
        <m:oMath>
          <m:sSub>
            <m:sSubPr>
              <m:ctrlPr>
                <w:rPr>
                  <w:rFonts w:ascii="Cambria Math" w:hAnsi="Cambria Math"/>
                </w:rPr>
              </m:ctrlPr>
            </m:sSubPr>
            <m:e>
              <m:r>
                <w:rPr>
                  <w:rFonts w:ascii="Cambria Math" w:hAnsi="Cambria Math"/>
                </w:rPr>
                <m:t>b</m:t>
              </m:r>
            </m:e>
            <m:sub>
              <m:r>
                <w:rPr>
                  <w:rFonts w:ascii="Cambria Math" w:hAnsi="Cambria Math"/>
                </w:rPr>
                <m:t>i</m:t>
              </m:r>
            </m:sub>
          </m:sSub>
          <m:r>
            <w:rPr>
              <w:rFonts w:ascii="Cambria Math" w:hAnsi="Cambria Math"/>
            </w:rPr>
            <m:t>=b+</m:t>
          </m:r>
          <m:sSub>
            <m:sSubPr>
              <m:ctrlPr>
                <w:rPr>
                  <w:rFonts w:ascii="Cambria Math" w:hAnsi="Cambria Math"/>
                </w:rPr>
              </m:ctrlPr>
            </m:sSubPr>
            <m:e>
              <m:r>
                <w:rPr>
                  <w:rFonts w:ascii="Cambria Math" w:hAnsi="Cambria Math"/>
                </w:rPr>
                <m:t>b</m:t>
              </m:r>
            </m:e>
            <m:sub>
              <m:r>
                <m:rPr>
                  <m:nor/>
                </m:rPr>
                <m:t>sero</m:t>
              </m:r>
            </m:sub>
          </m:sSub>
          <m:r>
            <w:rPr>
              <w:rFonts w:ascii="Cambria Math" w:hAnsi="Cambria Math"/>
            </w:rPr>
            <m:t>⋅I(</m:t>
          </m:r>
          <m:sSub>
            <m:sSubPr>
              <m:ctrlPr>
                <w:rPr>
                  <w:rFonts w:ascii="Cambria Math" w:hAnsi="Cambria Math"/>
                </w:rPr>
              </m:ctrlPr>
            </m:sSubPr>
            <m:e>
              <m:r>
                <m:rPr>
                  <m:nor/>
                </m:rPr>
                <m:t>serostatus</m:t>
              </m:r>
            </m:e>
            <m:sub>
              <m:r>
                <w:rPr>
                  <w:rFonts w:ascii="Cambria Math" w:hAnsi="Cambria Math"/>
                </w:rPr>
                <m:t>i</m:t>
              </m:r>
            </m:sub>
          </m:sSub>
          <m:r>
            <w:rPr>
              <w:rFonts w:ascii="Cambria Math" w:hAnsi="Cambria Math"/>
            </w:rPr>
            <m:t>=</m:t>
          </m:r>
          <m:r>
            <m:rPr>
              <m:nor/>
            </m:rPr>
            <m:t>Low</m:t>
          </m:r>
          <m:r>
            <w:rPr>
              <w:rFonts w:ascii="Cambria Math" w:hAnsi="Cambria Math"/>
            </w:rPr>
            <m:t>)</m:t>
          </m:r>
          <m:r>
            <m:rPr>
              <m:sty m:val="p"/>
            </m:rPr>
            <w:rPr>
              <w:rFonts w:ascii="Cambria Math" w:hAnsi="Cambria Math"/>
            </w:rPr>
            <w:br/>
          </m:r>
        </m:oMath>
        <m:oMath>
          <m:sSub>
            <m:sSubPr>
              <m:ctrlPr>
                <w:rPr>
                  <w:rFonts w:ascii="Cambria Math" w:hAnsi="Cambria Math"/>
                </w:rPr>
              </m:ctrlPr>
            </m:sSubPr>
            <m:e>
              <m:r>
                <w:rPr>
                  <w:rFonts w:ascii="Cambria Math" w:hAnsi="Cambria Math"/>
                </w:rPr>
                <m:t>c</m:t>
              </m:r>
            </m:e>
            <m:sub>
              <m:r>
                <w:rPr>
                  <w:rFonts w:ascii="Cambria Math" w:hAnsi="Cambria Math"/>
                </w:rPr>
                <m:t>i</m:t>
              </m:r>
            </m:sub>
          </m:sSub>
          <m:r>
            <w:rPr>
              <w:rFonts w:ascii="Cambria Math" w:hAnsi="Cambria Math"/>
            </w:rPr>
            <m:t>=c+</m:t>
          </m:r>
          <m:sSub>
            <m:sSubPr>
              <m:ctrlPr>
                <w:rPr>
                  <w:rFonts w:ascii="Cambria Math" w:hAnsi="Cambria Math"/>
                </w:rPr>
              </m:ctrlPr>
            </m:sSubPr>
            <m:e>
              <m:r>
                <w:rPr>
                  <w:rFonts w:ascii="Cambria Math" w:hAnsi="Cambria Math"/>
                </w:rPr>
                <m:t>c</m:t>
              </m:r>
            </m:e>
            <m:sub>
              <m:r>
                <m:rPr>
                  <m:nor/>
                </m:rPr>
                <m:t>sero</m:t>
              </m:r>
            </m:sub>
          </m:sSub>
          <m:r>
            <w:rPr>
              <w:rFonts w:ascii="Cambria Math" w:hAnsi="Cambria Math"/>
            </w:rPr>
            <m:t>⋅I(</m:t>
          </m:r>
          <m:sSub>
            <m:sSubPr>
              <m:ctrlPr>
                <w:rPr>
                  <w:rFonts w:ascii="Cambria Math" w:hAnsi="Cambria Math"/>
                </w:rPr>
              </m:ctrlPr>
            </m:sSubPr>
            <m:e>
              <m:r>
                <m:rPr>
                  <m:nor/>
                </m:rPr>
                <m:t>serostatus</m:t>
              </m:r>
            </m:e>
            <m:sub>
              <m:r>
                <w:rPr>
                  <w:rFonts w:ascii="Cambria Math" w:hAnsi="Cambria Math"/>
                </w:rPr>
                <m:t>i</m:t>
              </m:r>
            </m:sub>
          </m:sSub>
          <m:r>
            <w:rPr>
              <w:rFonts w:ascii="Cambria Math" w:hAnsi="Cambria Math"/>
            </w:rPr>
            <m:t>=</m:t>
          </m:r>
          <m:r>
            <m:rPr>
              <m:nor/>
            </m:rPr>
            <m:t>Low</m:t>
          </m:r>
          <m:r>
            <w:rPr>
              <w:rFonts w:ascii="Cambria Math" w:hAnsi="Cambria Math"/>
            </w:rPr>
            <m:t>)</m:t>
          </m:r>
          <m:r>
            <m:rPr>
              <m:sty m:val="p"/>
            </m:rPr>
            <w:rPr>
              <w:rFonts w:ascii="Cambria Math" w:hAnsi="Cambria Math"/>
            </w:rPr>
            <w:br/>
          </m:r>
        </m:oMath>
        <m:oMath>
          <m:sSub>
            <m:sSubPr>
              <m:ctrlPr>
                <w:rPr>
                  <w:rFonts w:ascii="Cambria Math" w:hAnsi="Cambria Math"/>
                </w:rPr>
              </m:ctrlPr>
            </m:sSubPr>
            <m:e>
              <m:r>
                <w:rPr>
                  <w:rFonts w:ascii="Cambria Math" w:hAnsi="Cambria Math"/>
                </w:rPr>
                <m:t>d</m:t>
              </m:r>
            </m:e>
            <m:sub>
              <m:r>
                <w:rPr>
                  <w:rFonts w:ascii="Cambria Math" w:hAnsi="Cambria Math"/>
                </w:rPr>
                <m:t>i</m:t>
              </m:r>
            </m:sub>
          </m:sSub>
          <m:r>
            <w:rPr>
              <w:rFonts w:ascii="Cambria Math" w:hAnsi="Cambria Math"/>
            </w:rPr>
            <m:t>=d+</m:t>
          </m:r>
          <m:sSub>
            <m:sSubPr>
              <m:ctrlPr>
                <w:rPr>
                  <w:rFonts w:ascii="Cambria Math" w:hAnsi="Cambria Math"/>
                </w:rPr>
              </m:ctrlPr>
            </m:sSubPr>
            <m:e>
              <m:r>
                <w:rPr>
                  <w:rFonts w:ascii="Cambria Math" w:hAnsi="Cambria Math"/>
                </w:rPr>
                <m:t>d</m:t>
              </m:r>
            </m:e>
            <m:sub>
              <m:r>
                <m:rPr>
                  <m:nor/>
                </m:rPr>
                <m:t>sero</m:t>
              </m:r>
            </m:sub>
          </m:sSub>
          <m:r>
            <w:rPr>
              <w:rFonts w:ascii="Cambria Math" w:hAnsi="Cambria Math"/>
            </w:rPr>
            <m:t>⋅I(</m:t>
          </m:r>
          <m:sSub>
            <m:sSubPr>
              <m:ctrlPr>
                <w:rPr>
                  <w:rFonts w:ascii="Cambria Math" w:hAnsi="Cambria Math"/>
                </w:rPr>
              </m:ctrlPr>
            </m:sSubPr>
            <m:e>
              <m:r>
                <m:rPr>
                  <m:nor/>
                </m:rPr>
                <m:t>serostatus</m:t>
              </m:r>
            </m:e>
            <m:sub>
              <m:r>
                <w:rPr>
                  <w:rFonts w:ascii="Cambria Math" w:hAnsi="Cambria Math"/>
                </w:rPr>
                <m:t>i</m:t>
              </m:r>
            </m:sub>
          </m:sSub>
          <m:r>
            <w:rPr>
              <w:rFonts w:ascii="Cambria Math" w:hAnsi="Cambria Math"/>
            </w:rPr>
            <m:t>=</m:t>
          </m:r>
          <m:r>
            <m:rPr>
              <m:nor/>
            </m:rPr>
            <m:t>Low</m:t>
          </m:r>
          <m:r>
            <w:rPr>
              <w:rFonts w:ascii="Cambria Math" w:hAnsi="Cambria Math"/>
            </w:rPr>
            <m:t>)</m:t>
          </m:r>
        </m:oMath>
      </m:oMathPara>
    </w:p>
    <w:p w14:paraId="31CCD2E6" w14:textId="31617776" w:rsidR="009F64F0" w:rsidRDefault="009F64F0" w:rsidP="00B33FFE">
      <w:pPr>
        <w:spacing w:after="240" w:line="360" w:lineRule="auto"/>
      </w:pPr>
      <w:r w:rsidRPr="00D93DE9">
        <w:t>where </w:t>
      </w:r>
      <m:oMath>
        <m:r>
          <w:rPr>
            <w:rFonts w:ascii="Cambria Math" w:hAnsi="Cambria Math"/>
          </w:rPr>
          <m:t>I(⋅)</m:t>
        </m:r>
      </m:oMath>
      <w:r w:rsidRPr="00D93DE9">
        <w:t xml:space="preserve"> is an indicator function (taking the value 1 for </w:t>
      </w:r>
      <w:r w:rsidR="00FA3B13">
        <w:t>animals with low antibody levels</w:t>
      </w:r>
      <w:r w:rsidRPr="00D93DE9">
        <w:t xml:space="preserve"> and zero otherwise) that allowed estimation of the difference in each such </w:t>
      </w:r>
      <w:r w:rsidRPr="00D93DE9">
        <w:lastRenderedPageBreak/>
        <w:t xml:space="preserve">parameter (when included in the modelling) between randomly selected </w:t>
      </w:r>
      <w:r w:rsidR="00FA3B13">
        <w:t xml:space="preserve">individuals with low </w:t>
      </w:r>
      <w:r w:rsidR="00DF44B8">
        <w:t xml:space="preserve">and high </w:t>
      </w:r>
      <w:r w:rsidR="00FA3B13">
        <w:t>antibody levels</w:t>
      </w:r>
      <w:r w:rsidRPr="00D93DE9">
        <w:t>.</w:t>
      </w:r>
    </w:p>
    <w:p w14:paraId="03BFEAA3" w14:textId="643A376F" w:rsidR="00D93DE9" w:rsidRPr="009655A5" w:rsidRDefault="00D93DE9" w:rsidP="00B33FFE">
      <w:pPr>
        <w:spacing w:after="240" w:line="360" w:lineRule="auto"/>
        <w:jc w:val="both"/>
      </w:pPr>
      <w:r w:rsidRPr="00D93DE9">
        <w:t xml:space="preserve">The model was fitted using restricted maximum likelihood (REML) with the R package ‘nlme’  v3.1 </w:t>
      </w:r>
      <w:r w:rsidRPr="00D93DE9">
        <w:fldChar w:fldCharType="begin"/>
      </w:r>
      <w:r>
        <w:instrText xml:space="preserve"> ADDIN EN.CITE &lt;EndNote&gt;&lt;Cite&gt;&lt;Author&gt;Pinheiro&lt;/Author&gt;&lt;Year&gt;2024&lt;/Year&gt;&lt;RecNum&gt;1980&lt;/RecNum&gt;&lt;DisplayText&gt;[2]&lt;/DisplayText&gt;&lt;record&gt;&lt;rec-number&gt;1980&lt;/rec-number&gt;&lt;foreign-keys&gt;&lt;key app="EN" db-id="0vap900r6f5aa0ef99pp9fscz9asewafst25" timestamp="1782104923"&gt;1980&lt;/key&gt;&lt;/foreign-keys&gt;&lt;ref-type name="Computer Program"&gt;9&lt;/ref-type&gt;&lt;contributors&gt;&lt;authors&gt;&lt;author&gt;Pinheiro, José&lt;/author&gt;&lt;author&gt;Bates, Douglas&lt;/author&gt;&lt;/authors&gt;&lt;secondary-authors&gt;&lt;author&gt;R. Core Team&lt;/author&gt;&lt;/secondary-authors&gt;&lt;/contributors&gt;&lt;titles&gt;&lt;title&gt;nlme: Linear and Nonlinear Mixed Effects Models&lt;/title&gt;&lt;/titles&gt;&lt;edition&gt;3.1–169&lt;/edition&gt;&lt;dates&gt;&lt;year&gt;2024&lt;/year&gt;&lt;/dates&gt;&lt;urls&gt;&lt;related-urls&gt;&lt;url&gt;https://CRAN.R-project.org/package=nlme&lt;/url&gt;&lt;/related-urls&gt;&lt;/urls&gt;&lt;electronic-resource-num&gt;10.32614/CRAN.package.nlme&lt;/electronic-resource-num&gt;&lt;/record&gt;&lt;/Cite&gt;&lt;/EndNote&gt;</w:instrText>
      </w:r>
      <w:r w:rsidRPr="00D93DE9">
        <w:fldChar w:fldCharType="separate"/>
      </w:r>
      <w:r>
        <w:rPr>
          <w:noProof/>
        </w:rPr>
        <w:t>[2]</w:t>
      </w:r>
      <w:r w:rsidRPr="00D93DE9">
        <w:fldChar w:fldCharType="end"/>
      </w:r>
      <w:r w:rsidRPr="00D93DE9">
        <w:t xml:space="preserve">, assessing convergence via the relative change in the objective function and parameter estimates. Initial parameter values were specified based on exploratory analyses with non-linear fixed effects models. Models were built iteratively, gradually increasing complexity, acknowledging the limitations of the study size, with selection choices guided by AIC </w:t>
      </w:r>
      <w:r w:rsidRPr="00D93DE9">
        <w:fldChar w:fldCharType="begin"/>
      </w:r>
      <w:r>
        <w:instrText xml:space="preserve"> ADDIN EN.CITE &lt;EndNote&gt;&lt;Cite&gt;&lt;Author&gt;Akaike&lt;/Author&gt;&lt;Year&gt;1998&lt;/Year&gt;&lt;RecNum&gt;1983&lt;/RecNum&gt;&lt;DisplayText&gt;[3]&lt;/DisplayText&gt;&lt;record&gt;&lt;rec-number&gt;1983&lt;/rec-number&gt;&lt;foreign-keys&gt;&lt;key app="EN" db-id="0vap900r6f5aa0ef99pp9fscz9asewafst25" timestamp="1782106423"&gt;1983&lt;/key&gt;&lt;/foreign-keys&gt;&lt;ref-type name="Book Section"&gt;5&lt;/ref-type&gt;&lt;contributors&gt;&lt;authors&gt;&lt;author&gt;Akaike, Hirotogu&lt;/author&gt;&lt;/authors&gt;&lt;secondary-authors&gt;&lt;author&gt;Parzen, Emanuel&lt;/author&gt;&lt;author&gt;Tanabe, Kunio&lt;/author&gt;&lt;author&gt;Kitagawa, Genshiro&lt;/author&gt;&lt;/secondary-authors&gt;&lt;/contributors&gt;&lt;titles&gt;&lt;title&gt;Information Theory and an Extension of the Maximum Likelihood Principle&lt;/title&gt;&lt;secondary-title&gt;Selected Papers of Hirotugu Akaike&lt;/secondary-title&gt;&lt;/titles&gt;&lt;pages&gt;199-213&lt;/pages&gt;&lt;dates&gt;&lt;year&gt;1998&lt;/year&gt;&lt;pub-dates&gt;&lt;date&gt;1998//&lt;/date&gt;&lt;/pub-dates&gt;&lt;/dates&gt;&lt;pub-location&gt;New York, NY&lt;/pub-location&gt;&lt;publisher&gt;Springer New York&lt;/publisher&gt;&lt;isbn&gt;978-1-4612-1694-0&lt;/isbn&gt;&lt;urls&gt;&lt;related-urls&gt;&lt;url&gt;https://doi.org/10.1007/978-1-4612-1694-0_15&lt;/url&gt;&lt;/related-urls&gt;&lt;/urls&gt;&lt;electronic-resource-num&gt;10.1007/978-1-4612-1694-0_15&lt;/electronic-resource-num&gt;&lt;/record&gt;&lt;/Cite&gt;&lt;/EndNote&gt;</w:instrText>
      </w:r>
      <w:r w:rsidRPr="00D93DE9">
        <w:fldChar w:fldCharType="separate"/>
      </w:r>
      <w:r>
        <w:rPr>
          <w:noProof/>
        </w:rPr>
        <w:t>[3]</w:t>
      </w:r>
      <w:r w:rsidRPr="00D93DE9">
        <w:fldChar w:fldCharType="end"/>
      </w:r>
      <w:r w:rsidRPr="00D93DE9">
        <w:t xml:space="preserve">, parameter identifiability, convergence, and biological interpretability. We commenced model selection with fixed-effects models using nlsLM in the R package ‘MINPACK’ v1.2; </w:t>
      </w:r>
      <w:r w:rsidRPr="00D93DE9">
        <w:fldChar w:fldCharType="begin"/>
      </w:r>
      <w:r>
        <w:instrText xml:space="preserve"> ADDIN EN.CITE &lt;EndNote&gt;&lt;Cite AuthorYear="1"&gt;&lt;Author&gt;Elzhov&lt;/Author&gt;&lt;Year&gt;2023&lt;/Year&gt;&lt;RecNum&gt;1981&lt;/RecNum&gt;&lt;DisplayText&gt;Elzhov, Mullen [4]&lt;/DisplayText&gt;&lt;record&gt;&lt;rec-number&gt;1981&lt;/rec-number&gt;&lt;foreign-keys&gt;&lt;key app="EN" db-id="0vap900r6f5aa0ef99pp9fscz9asewafst25" timestamp="1782105420"&gt;1981&lt;/key&gt;&lt;/foreign-keys&gt;&lt;ref-type name="Computer Program"&gt;9&lt;/ref-type&gt;&lt;contributors&gt;&lt;authors&gt;&lt;author&gt;Elzhov, T. V.&lt;/author&gt;&lt;author&gt;Mullen, K. M.&lt;/author&gt;&lt;author&gt;Spiess, A-N&lt;/author&gt;&lt;author&gt;Bolker, Ben&lt;/author&gt;&lt;/authors&gt;&lt;/contributors&gt;&lt;titles&gt;&lt;title&gt;minpack.lm: R Interface to the Levenberg-Marquardt Nonlinear Least-Squares Algorithm Found in MINPACK&lt;/title&gt;&lt;/titles&gt;&lt;edition&gt;1.2–4&lt;/edition&gt;&lt;dates&gt;&lt;year&gt;2023&lt;/year&gt;&lt;/dates&gt;&lt;urls&gt;&lt;related-urls&gt;&lt;url&gt;https://CRAN.R-project.org/package=minpack.lm&lt;/url&gt;&lt;/related-urls&gt;&lt;/urls&gt;&lt;/record&gt;&lt;/Cite&gt;&lt;/EndNote&gt;</w:instrText>
      </w:r>
      <w:r w:rsidRPr="00D93DE9">
        <w:fldChar w:fldCharType="separate"/>
      </w:r>
      <w:r>
        <w:rPr>
          <w:noProof/>
        </w:rPr>
        <w:t>Elzhov, Mullen [4]</w:t>
      </w:r>
      <w:r w:rsidRPr="00D93DE9">
        <w:fldChar w:fldCharType="end"/>
      </w:r>
      <w:r w:rsidRPr="00D93DE9">
        <w:t xml:space="preserve"> for initial testing of biologically plausible serostatus effects on each of the modelled parameters separately and in combination. Then random effects were added with several options tested, including random intercepts for different equation parameters and evaluating several options for temporal correlation structure (AR1, AR2 and other autoregressive moving average options, ARMA). The residuals of the final model were checked for skew, and model predicted curves were compared to the observed data. Then 95% confidence intervals (CIs) were estimated for the modelled parameters and sieve residual bootstrapping </w:t>
      </w:r>
      <w:r w:rsidRPr="00D93DE9">
        <w:fldChar w:fldCharType="begin"/>
      </w:r>
      <w:r>
        <w:instrText xml:space="preserve"> ADDIN EN.CITE &lt;EndNote&gt;&lt;Cite&gt;&lt;Author&gt;Bühlmann&lt;/Author&gt;&lt;Year&gt;1997&lt;/Year&gt;&lt;RecNum&gt;1984&lt;/RecNum&gt;&lt;DisplayText&gt;[5]&lt;/DisplayText&gt;&lt;record&gt;&lt;rec-number&gt;1984&lt;/rec-number&gt;&lt;foreign-keys&gt;&lt;key app="EN" db-id="0vap900r6f5aa0ef99pp9fscz9asewafst25" timestamp="1782106589"&gt;1984&lt;/key&gt;&lt;/foreign-keys&gt;&lt;ref-type name="Journal Article"&gt;17&lt;/ref-type&gt;&lt;contributors&gt;&lt;authors&gt;&lt;author&gt;Bühlmann, Peter&lt;/author&gt;&lt;/authors&gt;&lt;/contributors&gt;&lt;titles&gt;&lt;title&gt;Sieve bootstrap for time series&lt;/title&gt;&lt;secondary-title&gt;Bernoulli&lt;/secondary-title&gt;&lt;/titles&gt;&lt;periodical&gt;&lt;full-title&gt;Bernoulli&lt;/full-title&gt;&lt;/periodical&gt;&lt;pages&gt;123-148&lt;/pages&gt;&lt;volume&gt;3&lt;/volume&gt;&lt;number&gt;2&lt;/number&gt;&lt;dates&gt;&lt;year&gt;1997&lt;/year&gt;&lt;pub-dates&gt;&lt;date&gt;6/1&lt;/date&gt;&lt;/pub-dates&gt;&lt;/dates&gt;&lt;urls&gt;&lt;/urls&gt;&lt;/record&gt;&lt;/Cite&gt;&lt;/EndNote&gt;</w:instrText>
      </w:r>
      <w:r w:rsidRPr="00D93DE9">
        <w:fldChar w:fldCharType="separate"/>
      </w:r>
      <w:r>
        <w:rPr>
          <w:noProof/>
        </w:rPr>
        <w:t>[5]</w:t>
      </w:r>
      <w:r w:rsidRPr="00D93DE9">
        <w:fldChar w:fldCharType="end"/>
      </w:r>
      <w:r w:rsidRPr="00D93DE9">
        <w:t>, which respects the temporal correlation structure and is less prone to bias with smaller sample sized datasets, was used to estimate confidence intervals for calculated outputs from the model (formed from combinations of model parameters</w:t>
      </w:r>
      <w:r>
        <w:t>), including estimates</w:t>
      </w:r>
      <w:r w:rsidRPr="00D93DE9">
        <w:t xml:space="preserve"> of the timing and height of the model peak by serostatus group and confidence intervals of their differences.</w:t>
      </w:r>
      <w:r w:rsidRPr="00847C21">
        <w:t> </w:t>
      </w:r>
    </w:p>
    <w:p w14:paraId="119E5F6F" w14:textId="77777777" w:rsidR="00D93DE9" w:rsidRPr="00D93DE9" w:rsidRDefault="00D93DE9" w:rsidP="009F64F0">
      <w:pPr>
        <w:spacing w:after="240"/>
      </w:pPr>
    </w:p>
    <w:p w14:paraId="1587B23D" w14:textId="7D47FC90" w:rsidR="00A06682" w:rsidRDefault="00A06682">
      <w:pPr>
        <w:rPr>
          <w:b/>
          <w:bCs/>
        </w:rPr>
      </w:pPr>
      <w:r>
        <w:rPr>
          <w:b/>
          <w:bCs/>
        </w:rPr>
        <w:br w:type="page"/>
      </w:r>
    </w:p>
    <w:p w14:paraId="211E1AA0" w14:textId="123098A1" w:rsidR="00A06682" w:rsidRDefault="00A06682" w:rsidP="00A06682">
      <w:pPr>
        <w:spacing w:after="240"/>
        <w:rPr>
          <w:b/>
          <w:bCs/>
        </w:rPr>
      </w:pPr>
      <w:r>
        <w:rPr>
          <w:b/>
          <w:bCs/>
        </w:rPr>
        <w:lastRenderedPageBreak/>
        <w:t>Results</w:t>
      </w:r>
    </w:p>
    <w:tbl>
      <w:tblPr>
        <w:tblStyle w:val="Scientific"/>
        <w:tblW w:w="0" w:type="auto"/>
        <w:tblLook w:val="04A0" w:firstRow="1" w:lastRow="0" w:firstColumn="1" w:lastColumn="0" w:noHBand="0" w:noVBand="1"/>
      </w:tblPr>
      <w:tblGrid>
        <w:gridCol w:w="3125"/>
        <w:gridCol w:w="1187"/>
        <w:gridCol w:w="2216"/>
        <w:gridCol w:w="1216"/>
        <w:gridCol w:w="1282"/>
      </w:tblGrid>
      <w:tr w:rsidR="00A06682" w14:paraId="30EDA52A" w14:textId="77777777" w:rsidTr="00B33FFE">
        <w:trPr>
          <w:cnfStyle w:val="100000000000" w:firstRow="1" w:lastRow="0" w:firstColumn="0" w:lastColumn="0" w:oddVBand="0" w:evenVBand="0" w:oddHBand="0" w:evenHBand="0" w:firstRowFirstColumn="0" w:firstRowLastColumn="0" w:lastRowFirstColumn="0" w:lastRowLastColumn="0"/>
        </w:trPr>
        <w:tc>
          <w:tcPr>
            <w:tcW w:w="6528" w:type="dxa"/>
            <w:gridSpan w:val="3"/>
          </w:tcPr>
          <w:p w14:paraId="30608ABB" w14:textId="77777777" w:rsidR="00A06682" w:rsidRDefault="00A06682" w:rsidP="007251CF">
            <w:pPr>
              <w:spacing w:line="360" w:lineRule="auto"/>
            </w:pPr>
            <w:r>
              <w:t>Model outputs</w:t>
            </w:r>
          </w:p>
        </w:tc>
        <w:tc>
          <w:tcPr>
            <w:tcW w:w="1216" w:type="dxa"/>
          </w:tcPr>
          <w:p w14:paraId="02B6FF27" w14:textId="77777777" w:rsidR="00A06682" w:rsidRDefault="00A06682" w:rsidP="007251CF">
            <w:pPr>
              <w:spacing w:line="360" w:lineRule="auto"/>
            </w:pPr>
          </w:p>
        </w:tc>
        <w:tc>
          <w:tcPr>
            <w:tcW w:w="1282" w:type="dxa"/>
          </w:tcPr>
          <w:p w14:paraId="41673F21" w14:textId="77777777" w:rsidR="00A06682" w:rsidRDefault="00A06682" w:rsidP="007251CF">
            <w:pPr>
              <w:spacing w:line="360" w:lineRule="auto"/>
            </w:pPr>
          </w:p>
        </w:tc>
      </w:tr>
      <w:tr w:rsidR="00A06682" w14:paraId="2266C34E" w14:textId="77777777" w:rsidTr="00B33FFE">
        <w:tc>
          <w:tcPr>
            <w:tcW w:w="3125" w:type="dxa"/>
            <w:shd w:val="clear" w:color="auto" w:fill="E8E8E8" w:themeFill="background2"/>
          </w:tcPr>
          <w:p w14:paraId="27E61460" w14:textId="77777777" w:rsidR="00A06682" w:rsidRPr="00783392" w:rsidRDefault="00A06682" w:rsidP="007251CF">
            <w:pPr>
              <w:spacing w:line="360" w:lineRule="auto"/>
              <w:rPr>
                <w:b/>
                <w:bCs/>
              </w:rPr>
            </w:pPr>
            <w:r w:rsidRPr="00783392">
              <w:rPr>
                <w:b/>
                <w:bCs/>
              </w:rPr>
              <w:t>Parameter</w:t>
            </w:r>
          </w:p>
        </w:tc>
        <w:tc>
          <w:tcPr>
            <w:tcW w:w="1187" w:type="dxa"/>
            <w:shd w:val="clear" w:color="auto" w:fill="E8E8E8" w:themeFill="background2"/>
          </w:tcPr>
          <w:p w14:paraId="40A871BB" w14:textId="77777777" w:rsidR="00A06682" w:rsidRPr="00783392" w:rsidRDefault="00A06682" w:rsidP="007251CF">
            <w:pPr>
              <w:spacing w:line="360" w:lineRule="auto"/>
              <w:rPr>
                <w:b/>
                <w:bCs/>
              </w:rPr>
            </w:pPr>
            <w:r w:rsidRPr="00783392">
              <w:rPr>
                <w:b/>
                <w:bCs/>
              </w:rPr>
              <w:t>Estimate</w:t>
            </w:r>
          </w:p>
        </w:tc>
        <w:tc>
          <w:tcPr>
            <w:tcW w:w="2216" w:type="dxa"/>
            <w:shd w:val="clear" w:color="auto" w:fill="E8E8E8" w:themeFill="background2"/>
          </w:tcPr>
          <w:p w14:paraId="191FD805" w14:textId="77777777" w:rsidR="00A06682" w:rsidRPr="00783392" w:rsidRDefault="00A06682" w:rsidP="007251CF">
            <w:pPr>
              <w:spacing w:line="360" w:lineRule="auto"/>
              <w:rPr>
                <w:b/>
                <w:bCs/>
              </w:rPr>
            </w:pPr>
            <w:r w:rsidRPr="00783392">
              <w:rPr>
                <w:b/>
                <w:bCs/>
              </w:rPr>
              <w:t>95% Confidence interval</w:t>
            </w:r>
          </w:p>
        </w:tc>
        <w:tc>
          <w:tcPr>
            <w:tcW w:w="1216" w:type="dxa"/>
            <w:shd w:val="clear" w:color="auto" w:fill="E8E8E8" w:themeFill="background2"/>
          </w:tcPr>
          <w:p w14:paraId="75AEFD6C" w14:textId="77777777" w:rsidR="00A06682" w:rsidRPr="00783392" w:rsidRDefault="00A06682" w:rsidP="007251CF">
            <w:pPr>
              <w:spacing w:line="360" w:lineRule="auto"/>
              <w:rPr>
                <w:b/>
                <w:bCs/>
              </w:rPr>
            </w:pPr>
            <w:r>
              <w:rPr>
                <w:b/>
                <w:bCs/>
              </w:rPr>
              <w:t>Standard error</w:t>
            </w:r>
          </w:p>
        </w:tc>
        <w:tc>
          <w:tcPr>
            <w:tcW w:w="1282" w:type="dxa"/>
            <w:shd w:val="clear" w:color="auto" w:fill="E8E8E8" w:themeFill="background2"/>
          </w:tcPr>
          <w:p w14:paraId="553D0E9F" w14:textId="77777777" w:rsidR="00A06682" w:rsidRPr="00783392" w:rsidRDefault="00A06682" w:rsidP="007251CF">
            <w:pPr>
              <w:spacing w:line="360" w:lineRule="auto"/>
              <w:rPr>
                <w:b/>
                <w:bCs/>
              </w:rPr>
            </w:pPr>
            <w:r>
              <w:rPr>
                <w:b/>
                <w:bCs/>
              </w:rPr>
              <w:t>P-value</w:t>
            </w:r>
          </w:p>
        </w:tc>
      </w:tr>
      <w:tr w:rsidR="00A06682" w14:paraId="717841AA" w14:textId="77777777" w:rsidTr="00B33FFE">
        <w:tc>
          <w:tcPr>
            <w:tcW w:w="3125" w:type="dxa"/>
          </w:tcPr>
          <w:p w14:paraId="5B5F3D22" w14:textId="77777777" w:rsidR="00A06682" w:rsidRPr="001F60A1" w:rsidRDefault="00A06682" w:rsidP="007251CF">
            <w:pPr>
              <w:spacing w:line="360" w:lineRule="auto"/>
              <w:rPr>
                <w:i/>
                <w:iCs/>
              </w:rPr>
            </w:pPr>
            <m:oMathPara>
              <m:oMathParaPr>
                <m:jc m:val="left"/>
              </m:oMathParaPr>
              <m:oMath>
                <m:r>
                  <w:rPr>
                    <w:rFonts w:ascii="Cambria Math" w:hAnsi="Cambria Math"/>
                  </w:rPr>
                  <m:t>a</m:t>
                </m:r>
              </m:oMath>
            </m:oMathPara>
          </w:p>
        </w:tc>
        <w:tc>
          <w:tcPr>
            <w:tcW w:w="1187" w:type="dxa"/>
          </w:tcPr>
          <w:p w14:paraId="6FB92B39" w14:textId="77777777" w:rsidR="00A06682" w:rsidRPr="0070204D" w:rsidRDefault="00A06682" w:rsidP="007251CF">
            <w:pPr>
              <w:spacing w:line="360" w:lineRule="auto"/>
            </w:pPr>
            <w:r w:rsidRPr="0070204D">
              <w:t>0.24</w:t>
            </w:r>
          </w:p>
        </w:tc>
        <w:tc>
          <w:tcPr>
            <w:tcW w:w="2216" w:type="dxa"/>
          </w:tcPr>
          <w:p w14:paraId="2DBC1CCC" w14:textId="77777777" w:rsidR="00A06682" w:rsidRPr="0070204D" w:rsidRDefault="00A06682" w:rsidP="007251CF">
            <w:pPr>
              <w:spacing w:line="360" w:lineRule="auto"/>
            </w:pPr>
            <w:r w:rsidRPr="0070204D">
              <w:t>(-0.35, 0.83)</w:t>
            </w:r>
          </w:p>
        </w:tc>
        <w:tc>
          <w:tcPr>
            <w:tcW w:w="1216" w:type="dxa"/>
            <w:vAlign w:val="bottom"/>
          </w:tcPr>
          <w:p w14:paraId="24A997F3" w14:textId="77777777" w:rsidR="00A06682" w:rsidRPr="0070204D" w:rsidRDefault="00A06682" w:rsidP="007251CF">
            <w:pPr>
              <w:spacing w:line="360" w:lineRule="auto"/>
              <w:rPr>
                <w:rFonts w:cs="Calibri"/>
                <w:color w:val="000000"/>
              </w:rPr>
            </w:pPr>
            <w:r w:rsidRPr="0070204D">
              <w:rPr>
                <w:rFonts w:ascii="Calibri" w:hAnsi="Calibri" w:cs="Calibri"/>
                <w:color w:val="000000"/>
              </w:rPr>
              <w:t>0.31</w:t>
            </w:r>
          </w:p>
        </w:tc>
        <w:tc>
          <w:tcPr>
            <w:tcW w:w="1282" w:type="dxa"/>
          </w:tcPr>
          <w:p w14:paraId="193716F4" w14:textId="77777777" w:rsidR="00A06682" w:rsidRPr="0070204D" w:rsidRDefault="00A06682" w:rsidP="007251CF">
            <w:pPr>
              <w:spacing w:line="360" w:lineRule="auto"/>
              <w:rPr>
                <w:rFonts w:cs="Calibri"/>
                <w:color w:val="000000"/>
              </w:rPr>
            </w:pPr>
            <w:r w:rsidRPr="0070204D">
              <w:rPr>
                <w:rFonts w:cs="Calibri"/>
                <w:color w:val="000000"/>
              </w:rPr>
              <w:t>0.43</w:t>
            </w:r>
          </w:p>
        </w:tc>
      </w:tr>
      <w:tr w:rsidR="00A06682" w14:paraId="55635C3F" w14:textId="77777777" w:rsidTr="00B33FFE">
        <w:tc>
          <w:tcPr>
            <w:tcW w:w="3125" w:type="dxa"/>
          </w:tcPr>
          <w:p w14:paraId="2D7C0B59" w14:textId="77777777" w:rsidR="00A06682" w:rsidRPr="001F60A1" w:rsidRDefault="00A06682" w:rsidP="007251CF">
            <w:pPr>
              <w:spacing w:line="360" w:lineRule="auto"/>
              <w:rPr>
                <w:i/>
                <w:iCs/>
              </w:rPr>
            </w:pPr>
            <m:oMathPara>
              <m:oMathParaPr>
                <m:jc m:val="left"/>
              </m:oMathParaPr>
              <m:oMath>
                <m:r>
                  <w:rPr>
                    <w:rFonts w:ascii="Cambria Math" w:hAnsi="Cambria Math"/>
                  </w:rPr>
                  <m:t>b</m:t>
                </m:r>
              </m:oMath>
            </m:oMathPara>
          </w:p>
        </w:tc>
        <w:tc>
          <w:tcPr>
            <w:tcW w:w="1187" w:type="dxa"/>
          </w:tcPr>
          <w:p w14:paraId="0ACC2117" w14:textId="77777777" w:rsidR="00A06682" w:rsidRPr="0070204D" w:rsidRDefault="00A06682" w:rsidP="007251CF">
            <w:pPr>
              <w:spacing w:line="360" w:lineRule="auto"/>
            </w:pPr>
            <w:r w:rsidRPr="0070204D">
              <w:t>1.09</w:t>
            </w:r>
          </w:p>
        </w:tc>
        <w:tc>
          <w:tcPr>
            <w:tcW w:w="2216" w:type="dxa"/>
          </w:tcPr>
          <w:p w14:paraId="541E14F8" w14:textId="77777777" w:rsidR="00A06682" w:rsidRPr="0070204D" w:rsidRDefault="00A06682" w:rsidP="007251CF">
            <w:pPr>
              <w:spacing w:line="360" w:lineRule="auto"/>
            </w:pPr>
            <w:r w:rsidRPr="0070204D">
              <w:t>(-0.23, 2.42)</w:t>
            </w:r>
          </w:p>
        </w:tc>
        <w:tc>
          <w:tcPr>
            <w:tcW w:w="1216" w:type="dxa"/>
            <w:vAlign w:val="bottom"/>
          </w:tcPr>
          <w:p w14:paraId="21174EFA" w14:textId="77777777" w:rsidR="00A06682" w:rsidRPr="0070204D" w:rsidRDefault="00A06682" w:rsidP="007251CF">
            <w:pPr>
              <w:spacing w:line="360" w:lineRule="auto"/>
              <w:rPr>
                <w:rFonts w:cs="Calibri"/>
                <w:color w:val="000000"/>
              </w:rPr>
            </w:pPr>
            <w:r w:rsidRPr="0070204D">
              <w:rPr>
                <w:rFonts w:ascii="Calibri" w:hAnsi="Calibri" w:cs="Calibri"/>
                <w:color w:val="000000"/>
              </w:rPr>
              <w:t>0.69</w:t>
            </w:r>
          </w:p>
        </w:tc>
        <w:tc>
          <w:tcPr>
            <w:tcW w:w="1282" w:type="dxa"/>
          </w:tcPr>
          <w:p w14:paraId="163DA158" w14:textId="77777777" w:rsidR="00A06682" w:rsidRPr="0070204D" w:rsidRDefault="00A06682" w:rsidP="007251CF">
            <w:pPr>
              <w:spacing w:line="360" w:lineRule="auto"/>
              <w:rPr>
                <w:rFonts w:cs="Calibri"/>
                <w:color w:val="000000"/>
              </w:rPr>
            </w:pPr>
            <w:r w:rsidRPr="0070204D">
              <w:rPr>
                <w:rFonts w:cs="Calibri"/>
                <w:color w:val="000000"/>
              </w:rPr>
              <w:t>0.12</w:t>
            </w:r>
          </w:p>
        </w:tc>
      </w:tr>
      <w:tr w:rsidR="00A06682" w14:paraId="47940ABB" w14:textId="77777777" w:rsidTr="00B33FFE">
        <w:tc>
          <w:tcPr>
            <w:tcW w:w="3125" w:type="dxa"/>
          </w:tcPr>
          <w:p w14:paraId="5FD6CE54" w14:textId="77777777" w:rsidR="00A06682" w:rsidRPr="0070204D" w:rsidRDefault="00A06682" w:rsidP="007251CF">
            <w:pPr>
              <w:spacing w:line="360" w:lineRule="auto"/>
              <w:rPr>
                <w:i/>
                <w:iCs/>
              </w:rPr>
            </w:pPr>
            <m:oMath>
              <m:r>
                <w:rPr>
                  <w:rFonts w:ascii="Cambria Math" w:hAnsi="Cambria Math"/>
                </w:rPr>
                <m:t>b</m:t>
              </m:r>
            </m:oMath>
            <w:r w:rsidRPr="0033679E">
              <w:rPr>
                <w:i/>
                <w:iCs/>
                <w:vertAlign w:val="subscript"/>
              </w:rPr>
              <w:t>sero</w:t>
            </w:r>
          </w:p>
        </w:tc>
        <w:tc>
          <w:tcPr>
            <w:tcW w:w="1187" w:type="dxa"/>
          </w:tcPr>
          <w:p w14:paraId="4EB64681" w14:textId="77777777" w:rsidR="00A06682" w:rsidRPr="0070204D" w:rsidRDefault="00A06682" w:rsidP="007251CF">
            <w:pPr>
              <w:spacing w:line="360" w:lineRule="auto"/>
            </w:pPr>
            <w:r w:rsidRPr="0070204D">
              <w:t>0.36</w:t>
            </w:r>
          </w:p>
        </w:tc>
        <w:tc>
          <w:tcPr>
            <w:tcW w:w="2216" w:type="dxa"/>
          </w:tcPr>
          <w:p w14:paraId="41BBA279" w14:textId="77777777" w:rsidR="00A06682" w:rsidRPr="0070204D" w:rsidRDefault="00A06682" w:rsidP="007251CF">
            <w:pPr>
              <w:spacing w:line="360" w:lineRule="auto"/>
            </w:pPr>
            <w:r w:rsidRPr="0070204D">
              <w:t>(-0.03, 0.74)</w:t>
            </w:r>
          </w:p>
        </w:tc>
        <w:tc>
          <w:tcPr>
            <w:tcW w:w="1216" w:type="dxa"/>
            <w:vAlign w:val="bottom"/>
          </w:tcPr>
          <w:p w14:paraId="5654CD1A" w14:textId="77777777" w:rsidR="00A06682" w:rsidRPr="0070204D" w:rsidRDefault="00A06682" w:rsidP="007251CF">
            <w:pPr>
              <w:spacing w:line="360" w:lineRule="auto"/>
              <w:rPr>
                <w:rFonts w:cs="Calibri"/>
                <w:color w:val="000000"/>
              </w:rPr>
            </w:pPr>
            <w:r w:rsidRPr="0070204D">
              <w:rPr>
                <w:rFonts w:ascii="Calibri" w:hAnsi="Calibri" w:cs="Calibri"/>
                <w:color w:val="000000"/>
              </w:rPr>
              <w:t>0.20</w:t>
            </w:r>
          </w:p>
        </w:tc>
        <w:tc>
          <w:tcPr>
            <w:tcW w:w="1282" w:type="dxa"/>
          </w:tcPr>
          <w:p w14:paraId="0E4D53C9" w14:textId="77777777" w:rsidR="00A06682" w:rsidRPr="0070204D" w:rsidRDefault="00A06682" w:rsidP="007251CF">
            <w:pPr>
              <w:spacing w:line="360" w:lineRule="auto"/>
              <w:rPr>
                <w:rFonts w:cs="Calibri"/>
                <w:color w:val="000000"/>
              </w:rPr>
            </w:pPr>
            <w:r w:rsidRPr="0070204D">
              <w:rPr>
                <w:rFonts w:cs="Calibri"/>
                <w:color w:val="000000"/>
              </w:rPr>
              <w:t>0.0</w:t>
            </w:r>
            <w:r>
              <w:rPr>
                <w:rFonts w:cs="Calibri"/>
                <w:color w:val="000000"/>
              </w:rPr>
              <w:t>77</w:t>
            </w:r>
          </w:p>
        </w:tc>
      </w:tr>
      <w:tr w:rsidR="00A06682" w14:paraId="4B9D392C" w14:textId="77777777" w:rsidTr="00B33FFE">
        <w:tc>
          <w:tcPr>
            <w:tcW w:w="3125" w:type="dxa"/>
          </w:tcPr>
          <w:p w14:paraId="156C7111" w14:textId="77777777" w:rsidR="00A06682" w:rsidRPr="001F60A1" w:rsidRDefault="00A06682" w:rsidP="007251CF">
            <w:pPr>
              <w:spacing w:line="360" w:lineRule="auto"/>
              <w:rPr>
                <w:i/>
                <w:iCs/>
              </w:rPr>
            </w:pPr>
            <m:oMathPara>
              <m:oMathParaPr>
                <m:jc m:val="left"/>
              </m:oMathParaPr>
              <m:oMath>
                <m:r>
                  <w:rPr>
                    <w:rFonts w:ascii="Cambria Math" w:hAnsi="Cambria Math"/>
                  </w:rPr>
                  <m:t>c</m:t>
                </m:r>
              </m:oMath>
            </m:oMathPara>
          </w:p>
        </w:tc>
        <w:tc>
          <w:tcPr>
            <w:tcW w:w="1187" w:type="dxa"/>
          </w:tcPr>
          <w:p w14:paraId="7C3A5770" w14:textId="77777777" w:rsidR="00A06682" w:rsidRPr="0070204D" w:rsidRDefault="00A06682" w:rsidP="007251CF">
            <w:pPr>
              <w:spacing w:line="360" w:lineRule="auto"/>
            </w:pPr>
            <w:r w:rsidRPr="0070204D">
              <w:t>0.08</w:t>
            </w:r>
          </w:p>
        </w:tc>
        <w:tc>
          <w:tcPr>
            <w:tcW w:w="2216" w:type="dxa"/>
          </w:tcPr>
          <w:p w14:paraId="653961B7" w14:textId="77777777" w:rsidR="00A06682" w:rsidRPr="0070204D" w:rsidRDefault="00A06682" w:rsidP="007251CF">
            <w:pPr>
              <w:spacing w:line="360" w:lineRule="auto"/>
            </w:pPr>
            <w:r w:rsidRPr="0070204D">
              <w:t>(-0.01, 0.16)</w:t>
            </w:r>
          </w:p>
        </w:tc>
        <w:tc>
          <w:tcPr>
            <w:tcW w:w="1216" w:type="dxa"/>
            <w:vAlign w:val="bottom"/>
          </w:tcPr>
          <w:p w14:paraId="65669740" w14:textId="77777777" w:rsidR="00A06682" w:rsidRPr="0070204D" w:rsidRDefault="00A06682" w:rsidP="007251CF">
            <w:pPr>
              <w:spacing w:line="360" w:lineRule="auto"/>
              <w:rPr>
                <w:rFonts w:cs="Calibri"/>
                <w:color w:val="000000"/>
              </w:rPr>
            </w:pPr>
            <w:r w:rsidRPr="0070204D">
              <w:rPr>
                <w:rFonts w:ascii="Calibri" w:hAnsi="Calibri" w:cs="Calibri"/>
                <w:color w:val="000000"/>
              </w:rPr>
              <w:t>0.04</w:t>
            </w:r>
          </w:p>
        </w:tc>
        <w:tc>
          <w:tcPr>
            <w:tcW w:w="1282" w:type="dxa"/>
          </w:tcPr>
          <w:p w14:paraId="2BC55010" w14:textId="77777777" w:rsidR="00A06682" w:rsidRPr="0070204D" w:rsidRDefault="00A06682" w:rsidP="007251CF">
            <w:pPr>
              <w:spacing w:line="360" w:lineRule="auto"/>
              <w:rPr>
                <w:rFonts w:cs="Calibri"/>
                <w:color w:val="000000"/>
              </w:rPr>
            </w:pPr>
            <w:r w:rsidRPr="0070204D">
              <w:rPr>
                <w:rFonts w:cs="Calibri"/>
                <w:color w:val="000000"/>
              </w:rPr>
              <w:t>0.0</w:t>
            </w:r>
            <w:r>
              <w:rPr>
                <w:rFonts w:cs="Calibri"/>
                <w:color w:val="000000"/>
              </w:rPr>
              <w:t>77</w:t>
            </w:r>
          </w:p>
        </w:tc>
      </w:tr>
      <w:tr w:rsidR="00A06682" w14:paraId="18595138" w14:textId="77777777" w:rsidTr="00B33FFE">
        <w:tc>
          <w:tcPr>
            <w:tcW w:w="3125" w:type="dxa"/>
          </w:tcPr>
          <w:p w14:paraId="69A73223" w14:textId="77777777" w:rsidR="00A06682" w:rsidRPr="0070204D" w:rsidRDefault="00A06682" w:rsidP="007251CF">
            <w:pPr>
              <w:spacing w:line="360" w:lineRule="auto"/>
              <w:rPr>
                <w:i/>
                <w:iCs/>
              </w:rPr>
            </w:pPr>
            <m:oMath>
              <m:r>
                <w:rPr>
                  <w:rFonts w:ascii="Cambria Math" w:hAnsi="Cambria Math"/>
                </w:rPr>
                <m:t>c</m:t>
              </m:r>
            </m:oMath>
            <w:r w:rsidRPr="0033679E">
              <w:rPr>
                <w:i/>
                <w:iCs/>
                <w:vertAlign w:val="subscript"/>
              </w:rPr>
              <w:t>sero</w:t>
            </w:r>
          </w:p>
        </w:tc>
        <w:tc>
          <w:tcPr>
            <w:tcW w:w="1187" w:type="dxa"/>
          </w:tcPr>
          <w:p w14:paraId="4E3B4ACC" w14:textId="77777777" w:rsidR="00A06682" w:rsidRPr="0070204D" w:rsidRDefault="00A06682" w:rsidP="007251CF">
            <w:pPr>
              <w:spacing w:line="360" w:lineRule="auto"/>
            </w:pPr>
            <w:r w:rsidRPr="0070204D">
              <w:t>0.06</w:t>
            </w:r>
          </w:p>
        </w:tc>
        <w:tc>
          <w:tcPr>
            <w:tcW w:w="2216" w:type="dxa"/>
          </w:tcPr>
          <w:p w14:paraId="53B14508" w14:textId="77777777" w:rsidR="00A06682" w:rsidRPr="0070204D" w:rsidRDefault="00A06682" w:rsidP="007251CF">
            <w:pPr>
              <w:spacing w:line="360" w:lineRule="auto"/>
            </w:pPr>
            <w:r w:rsidRPr="0070204D">
              <w:t>(-0.02, 0.13)</w:t>
            </w:r>
          </w:p>
        </w:tc>
        <w:tc>
          <w:tcPr>
            <w:tcW w:w="1216" w:type="dxa"/>
            <w:vAlign w:val="bottom"/>
          </w:tcPr>
          <w:p w14:paraId="52B22457" w14:textId="77777777" w:rsidR="00A06682" w:rsidRPr="0070204D" w:rsidRDefault="00A06682" w:rsidP="007251CF">
            <w:pPr>
              <w:spacing w:line="360" w:lineRule="auto"/>
              <w:rPr>
                <w:rFonts w:cs="Calibri"/>
                <w:color w:val="000000"/>
              </w:rPr>
            </w:pPr>
            <w:r w:rsidRPr="0070204D">
              <w:rPr>
                <w:rFonts w:ascii="Calibri" w:hAnsi="Calibri" w:cs="Calibri"/>
                <w:color w:val="000000"/>
              </w:rPr>
              <w:t>0.04</w:t>
            </w:r>
          </w:p>
        </w:tc>
        <w:tc>
          <w:tcPr>
            <w:tcW w:w="1282" w:type="dxa"/>
          </w:tcPr>
          <w:p w14:paraId="1728EEAE" w14:textId="77777777" w:rsidR="00A06682" w:rsidRPr="0070204D" w:rsidRDefault="00A06682" w:rsidP="007251CF">
            <w:pPr>
              <w:spacing w:line="360" w:lineRule="auto"/>
              <w:rPr>
                <w:rFonts w:cs="Calibri"/>
                <w:color w:val="000000"/>
              </w:rPr>
            </w:pPr>
            <w:r w:rsidRPr="0070204D">
              <w:rPr>
                <w:rFonts w:cs="Calibri"/>
                <w:color w:val="000000"/>
              </w:rPr>
              <w:t>0.13</w:t>
            </w:r>
          </w:p>
        </w:tc>
      </w:tr>
      <w:tr w:rsidR="00A06682" w14:paraId="4E2C4320" w14:textId="77777777" w:rsidTr="00B33FFE">
        <w:tc>
          <w:tcPr>
            <w:tcW w:w="3125" w:type="dxa"/>
          </w:tcPr>
          <w:p w14:paraId="41C38CC6" w14:textId="77777777" w:rsidR="00A06682" w:rsidRPr="001F60A1" w:rsidRDefault="00A06682" w:rsidP="007251CF">
            <w:pPr>
              <w:spacing w:line="360" w:lineRule="auto"/>
              <w:rPr>
                <w:i/>
                <w:iCs/>
              </w:rPr>
            </w:pPr>
            <m:oMathPara>
              <m:oMathParaPr>
                <m:jc m:val="left"/>
              </m:oMathParaPr>
              <m:oMath>
                <m:r>
                  <w:rPr>
                    <w:rFonts w:ascii="Cambria Math" w:hAnsi="Cambria Math"/>
                  </w:rPr>
                  <m:t>d</m:t>
                </m:r>
              </m:oMath>
            </m:oMathPara>
          </w:p>
        </w:tc>
        <w:tc>
          <w:tcPr>
            <w:tcW w:w="1187" w:type="dxa"/>
          </w:tcPr>
          <w:p w14:paraId="05FC63B9" w14:textId="77777777" w:rsidR="00A06682" w:rsidRPr="0070204D" w:rsidRDefault="00A06682" w:rsidP="007251CF">
            <w:pPr>
              <w:spacing w:line="360" w:lineRule="auto"/>
            </w:pPr>
            <w:r w:rsidRPr="0070204D">
              <w:t>-0.74</w:t>
            </w:r>
          </w:p>
        </w:tc>
        <w:tc>
          <w:tcPr>
            <w:tcW w:w="2216" w:type="dxa"/>
          </w:tcPr>
          <w:p w14:paraId="3E8A50E0" w14:textId="77777777" w:rsidR="00A06682" w:rsidRPr="0070204D" w:rsidRDefault="00A06682" w:rsidP="007251CF">
            <w:pPr>
              <w:spacing w:line="360" w:lineRule="auto"/>
            </w:pPr>
            <w:r w:rsidRPr="0070204D">
              <w:t>(-4.11, 2.62)</w:t>
            </w:r>
          </w:p>
        </w:tc>
        <w:tc>
          <w:tcPr>
            <w:tcW w:w="1216" w:type="dxa"/>
            <w:vAlign w:val="bottom"/>
          </w:tcPr>
          <w:p w14:paraId="5B4D82B5" w14:textId="77777777" w:rsidR="00A06682" w:rsidRPr="0070204D" w:rsidRDefault="00A06682" w:rsidP="007251CF">
            <w:pPr>
              <w:spacing w:line="360" w:lineRule="auto"/>
              <w:rPr>
                <w:rFonts w:cs="Calibri"/>
                <w:color w:val="000000"/>
              </w:rPr>
            </w:pPr>
            <w:r w:rsidRPr="0070204D">
              <w:rPr>
                <w:rFonts w:ascii="Calibri" w:hAnsi="Calibri" w:cs="Calibri"/>
                <w:color w:val="000000"/>
              </w:rPr>
              <w:t>1.75</w:t>
            </w:r>
          </w:p>
        </w:tc>
        <w:tc>
          <w:tcPr>
            <w:tcW w:w="1282" w:type="dxa"/>
          </w:tcPr>
          <w:p w14:paraId="479C31B8" w14:textId="77777777" w:rsidR="00A06682" w:rsidRPr="0070204D" w:rsidRDefault="00A06682" w:rsidP="007251CF">
            <w:pPr>
              <w:spacing w:line="360" w:lineRule="auto"/>
              <w:rPr>
                <w:rFonts w:cs="Calibri"/>
                <w:color w:val="000000"/>
              </w:rPr>
            </w:pPr>
            <w:r w:rsidRPr="0070204D">
              <w:rPr>
                <w:rFonts w:cs="Calibri"/>
                <w:color w:val="000000"/>
              </w:rPr>
              <w:t>0.67</w:t>
            </w:r>
          </w:p>
        </w:tc>
      </w:tr>
      <w:tr w:rsidR="00A06682" w14:paraId="3D246DCC" w14:textId="77777777" w:rsidTr="00B33FFE">
        <w:tc>
          <w:tcPr>
            <w:tcW w:w="3125" w:type="dxa"/>
          </w:tcPr>
          <w:p w14:paraId="1317EFF4" w14:textId="30A4A097" w:rsidR="00A06682" w:rsidRPr="003C7FF3" w:rsidRDefault="00A06682" w:rsidP="007251CF">
            <w:pPr>
              <w:spacing w:line="360" w:lineRule="auto"/>
              <w:rPr>
                <w:i/>
                <w:iCs/>
                <w:vertAlign w:val="subscript"/>
              </w:rPr>
            </w:pPr>
            <m:oMath>
              <m:r>
                <w:rPr>
                  <w:rFonts w:ascii="Cambria Math" w:hAnsi="Cambria Math"/>
                </w:rPr>
                <m:t>d</m:t>
              </m:r>
            </m:oMath>
            <w:r w:rsidR="003C7FF3">
              <w:rPr>
                <w:rFonts w:eastAsiaTheme="minorEastAsia"/>
                <w:i/>
                <w:vertAlign w:val="subscript"/>
              </w:rPr>
              <w:t>sero</w:t>
            </w:r>
          </w:p>
        </w:tc>
        <w:tc>
          <w:tcPr>
            <w:tcW w:w="1187" w:type="dxa"/>
          </w:tcPr>
          <w:p w14:paraId="185D2881" w14:textId="77777777" w:rsidR="00A06682" w:rsidRPr="0070204D" w:rsidRDefault="00A06682" w:rsidP="007251CF">
            <w:pPr>
              <w:spacing w:line="360" w:lineRule="auto"/>
            </w:pPr>
            <w:r w:rsidRPr="0070204D">
              <w:t>-3.64</w:t>
            </w:r>
          </w:p>
        </w:tc>
        <w:tc>
          <w:tcPr>
            <w:tcW w:w="2216" w:type="dxa"/>
          </w:tcPr>
          <w:p w14:paraId="48E78D91" w14:textId="77777777" w:rsidR="00A06682" w:rsidRPr="0070204D" w:rsidRDefault="00A06682" w:rsidP="007251CF">
            <w:pPr>
              <w:spacing w:line="360" w:lineRule="auto"/>
            </w:pPr>
            <w:r w:rsidRPr="0070204D">
              <w:t>(-9.14, 1.86)</w:t>
            </w:r>
          </w:p>
        </w:tc>
        <w:tc>
          <w:tcPr>
            <w:tcW w:w="1216" w:type="dxa"/>
            <w:vAlign w:val="bottom"/>
          </w:tcPr>
          <w:p w14:paraId="762ED00F" w14:textId="77777777" w:rsidR="00A06682" w:rsidRPr="0070204D" w:rsidRDefault="00A06682" w:rsidP="007251CF">
            <w:pPr>
              <w:spacing w:line="360" w:lineRule="auto"/>
              <w:rPr>
                <w:rFonts w:cs="Calibri"/>
                <w:color w:val="000000"/>
              </w:rPr>
            </w:pPr>
            <w:r w:rsidRPr="0070204D">
              <w:rPr>
                <w:rFonts w:ascii="Calibri" w:hAnsi="Calibri" w:cs="Calibri"/>
                <w:color w:val="000000"/>
              </w:rPr>
              <w:t>2.86</w:t>
            </w:r>
          </w:p>
        </w:tc>
        <w:tc>
          <w:tcPr>
            <w:tcW w:w="1282" w:type="dxa"/>
          </w:tcPr>
          <w:p w14:paraId="7CF0CE39" w14:textId="77777777" w:rsidR="00A06682" w:rsidRPr="0070204D" w:rsidRDefault="00A06682" w:rsidP="007251CF">
            <w:pPr>
              <w:spacing w:line="360" w:lineRule="auto"/>
              <w:rPr>
                <w:rFonts w:cs="Calibri"/>
                <w:color w:val="000000"/>
              </w:rPr>
            </w:pPr>
            <w:r w:rsidRPr="0070204D">
              <w:rPr>
                <w:rFonts w:cs="Calibri"/>
                <w:color w:val="000000"/>
              </w:rPr>
              <w:t>0.21</w:t>
            </w:r>
          </w:p>
        </w:tc>
      </w:tr>
      <w:tr w:rsidR="00A06682" w14:paraId="32822C79" w14:textId="77777777" w:rsidTr="00B33FFE">
        <w:tc>
          <w:tcPr>
            <w:tcW w:w="3125" w:type="dxa"/>
          </w:tcPr>
          <w:p w14:paraId="39950626" w14:textId="77777777" w:rsidR="00A06682" w:rsidRPr="0070204D" w:rsidRDefault="00A06682" w:rsidP="007251CF">
            <w:pPr>
              <w:spacing w:line="360" w:lineRule="auto"/>
            </w:pPr>
            <w:r w:rsidRPr="0070204D">
              <w:t>y0 (random effect</w:t>
            </w:r>
            <w:r>
              <w:t xml:space="preserve"> variance</w:t>
            </w:r>
            <w:r w:rsidRPr="0070204D">
              <w:t>)</w:t>
            </w:r>
          </w:p>
        </w:tc>
        <w:tc>
          <w:tcPr>
            <w:tcW w:w="1187" w:type="dxa"/>
          </w:tcPr>
          <w:p w14:paraId="2519ADE2" w14:textId="77777777" w:rsidR="00A06682" w:rsidRPr="0070204D" w:rsidRDefault="00A06682" w:rsidP="007251CF">
            <w:pPr>
              <w:spacing w:line="360" w:lineRule="auto"/>
            </w:pPr>
            <w:r w:rsidRPr="0070204D">
              <w:t>9.88</w:t>
            </w:r>
          </w:p>
        </w:tc>
        <w:tc>
          <w:tcPr>
            <w:tcW w:w="2216" w:type="dxa"/>
          </w:tcPr>
          <w:p w14:paraId="653074EA" w14:textId="77777777" w:rsidR="00A06682" w:rsidRPr="0070204D" w:rsidRDefault="00A06682" w:rsidP="007251CF">
            <w:pPr>
              <w:spacing w:line="360" w:lineRule="auto"/>
            </w:pPr>
            <w:r w:rsidRPr="0070204D">
              <w:t>(2.80, 34.9)</w:t>
            </w:r>
          </w:p>
        </w:tc>
        <w:tc>
          <w:tcPr>
            <w:tcW w:w="1216" w:type="dxa"/>
          </w:tcPr>
          <w:p w14:paraId="0F022F98" w14:textId="77777777" w:rsidR="00A06682" w:rsidRPr="0070204D" w:rsidRDefault="00A06682" w:rsidP="007251CF">
            <w:pPr>
              <w:spacing w:line="360" w:lineRule="auto"/>
            </w:pPr>
            <w:r w:rsidRPr="0070204D">
              <w:t>NA</w:t>
            </w:r>
          </w:p>
        </w:tc>
        <w:tc>
          <w:tcPr>
            <w:tcW w:w="1282" w:type="dxa"/>
          </w:tcPr>
          <w:p w14:paraId="61E893FD" w14:textId="77777777" w:rsidR="00A06682" w:rsidRPr="0070204D" w:rsidRDefault="00A06682" w:rsidP="007251CF">
            <w:pPr>
              <w:spacing w:line="360" w:lineRule="auto"/>
            </w:pPr>
            <w:r w:rsidRPr="0070204D">
              <w:t>NA</w:t>
            </w:r>
          </w:p>
        </w:tc>
      </w:tr>
      <w:tr w:rsidR="00A06682" w14:paraId="21E2788D" w14:textId="77777777" w:rsidTr="00B33FFE">
        <w:tc>
          <w:tcPr>
            <w:tcW w:w="3125" w:type="dxa"/>
          </w:tcPr>
          <w:p w14:paraId="46F0F672" w14:textId="77777777" w:rsidR="00A06682" w:rsidRPr="0070204D" w:rsidRDefault="00A06682" w:rsidP="007251CF">
            <w:pPr>
              <w:spacing w:line="360" w:lineRule="auto"/>
            </w:pPr>
            <w:r w:rsidRPr="0070204D">
              <w:t xml:space="preserve">Residual </w:t>
            </w:r>
            <w:r>
              <w:t>variance</w:t>
            </w:r>
          </w:p>
        </w:tc>
        <w:tc>
          <w:tcPr>
            <w:tcW w:w="1187" w:type="dxa"/>
          </w:tcPr>
          <w:p w14:paraId="252B611C" w14:textId="77777777" w:rsidR="00A06682" w:rsidRPr="0070204D" w:rsidRDefault="00A06682" w:rsidP="007251CF">
            <w:pPr>
              <w:spacing w:line="360" w:lineRule="auto"/>
            </w:pPr>
            <w:r w:rsidRPr="0070204D">
              <w:t>0.16</w:t>
            </w:r>
          </w:p>
        </w:tc>
        <w:tc>
          <w:tcPr>
            <w:tcW w:w="2216" w:type="dxa"/>
          </w:tcPr>
          <w:p w14:paraId="0C394604" w14:textId="77777777" w:rsidR="00A06682" w:rsidRPr="0070204D" w:rsidRDefault="00A06682" w:rsidP="007251CF">
            <w:pPr>
              <w:spacing w:line="360" w:lineRule="auto"/>
            </w:pPr>
            <w:r w:rsidRPr="0070204D">
              <w:t>(0.07, 0.35)</w:t>
            </w:r>
          </w:p>
        </w:tc>
        <w:tc>
          <w:tcPr>
            <w:tcW w:w="1216" w:type="dxa"/>
          </w:tcPr>
          <w:p w14:paraId="0C3FCEF0" w14:textId="77777777" w:rsidR="00A06682" w:rsidRPr="0070204D" w:rsidRDefault="00A06682" w:rsidP="007251CF">
            <w:pPr>
              <w:spacing w:line="360" w:lineRule="auto"/>
            </w:pPr>
            <w:r w:rsidRPr="0070204D">
              <w:t>NA</w:t>
            </w:r>
          </w:p>
        </w:tc>
        <w:tc>
          <w:tcPr>
            <w:tcW w:w="1282" w:type="dxa"/>
          </w:tcPr>
          <w:p w14:paraId="06F28B9B" w14:textId="77777777" w:rsidR="00A06682" w:rsidRPr="0070204D" w:rsidRDefault="00A06682" w:rsidP="007251CF">
            <w:pPr>
              <w:spacing w:line="360" w:lineRule="auto"/>
            </w:pPr>
            <w:r w:rsidRPr="0070204D">
              <w:t>NA</w:t>
            </w:r>
          </w:p>
        </w:tc>
      </w:tr>
      <w:tr w:rsidR="00A06682" w14:paraId="1F79DDC3" w14:textId="77777777" w:rsidTr="00B33FFE">
        <w:tc>
          <w:tcPr>
            <w:tcW w:w="3125" w:type="dxa"/>
            <w:tcBorders>
              <w:bottom w:val="single" w:sz="4" w:space="0" w:color="ADADAD" w:themeColor="background2" w:themeShade="BF"/>
            </w:tcBorders>
          </w:tcPr>
          <w:p w14:paraId="08377864" w14:textId="77777777" w:rsidR="00A06682" w:rsidRPr="00B92013" w:rsidRDefault="00A06682" w:rsidP="007251CF">
            <w:pPr>
              <w:spacing w:line="360" w:lineRule="auto"/>
            </w:pPr>
            <w:r>
              <w:t>ϕ</w:t>
            </w:r>
            <w:r w:rsidRPr="00B92013">
              <w:t xml:space="preserve"> </w:t>
            </w:r>
            <w:r>
              <w:t>(</w:t>
            </w:r>
            <w:r w:rsidRPr="00B92013">
              <w:t>autocorrelation</w:t>
            </w:r>
            <w:r>
              <w:t>)</w:t>
            </w:r>
          </w:p>
        </w:tc>
        <w:tc>
          <w:tcPr>
            <w:tcW w:w="1187" w:type="dxa"/>
            <w:tcBorders>
              <w:bottom w:val="single" w:sz="4" w:space="0" w:color="ADADAD" w:themeColor="background2" w:themeShade="BF"/>
            </w:tcBorders>
          </w:tcPr>
          <w:p w14:paraId="53124C86" w14:textId="77777777" w:rsidR="00A06682" w:rsidRPr="00323FB8" w:rsidRDefault="00A06682" w:rsidP="007251CF">
            <w:pPr>
              <w:spacing w:line="360" w:lineRule="auto"/>
              <w:rPr>
                <w:sz w:val="22"/>
                <w:szCs w:val="22"/>
              </w:rPr>
            </w:pPr>
            <w:r w:rsidRPr="00323FB8">
              <w:rPr>
                <w:rFonts w:cs="Calibri"/>
                <w:color w:val="000000"/>
                <w:sz w:val="22"/>
                <w:szCs w:val="22"/>
              </w:rPr>
              <w:t>0.7</w:t>
            </w:r>
            <w:r>
              <w:rPr>
                <w:rFonts w:cs="Calibri"/>
                <w:color w:val="000000"/>
                <w:sz w:val="22"/>
                <w:szCs w:val="22"/>
              </w:rPr>
              <w:t>7</w:t>
            </w:r>
          </w:p>
        </w:tc>
        <w:tc>
          <w:tcPr>
            <w:tcW w:w="2216" w:type="dxa"/>
            <w:tcBorders>
              <w:bottom w:val="single" w:sz="4" w:space="0" w:color="ADADAD" w:themeColor="background2" w:themeShade="BF"/>
            </w:tcBorders>
          </w:tcPr>
          <w:p w14:paraId="000E935D" w14:textId="77777777" w:rsidR="00A06682" w:rsidRPr="00323FB8" w:rsidRDefault="00A06682" w:rsidP="007251CF">
            <w:pPr>
              <w:spacing w:line="360" w:lineRule="auto"/>
              <w:rPr>
                <w:sz w:val="22"/>
                <w:szCs w:val="22"/>
              </w:rPr>
            </w:pPr>
            <w:r w:rsidRPr="009F2C3B">
              <w:t>(0.5</w:t>
            </w:r>
            <w:r>
              <w:t>1</w:t>
            </w:r>
            <w:r w:rsidRPr="009F2C3B">
              <w:t>, 0.9</w:t>
            </w:r>
            <w:r>
              <w:t>0</w:t>
            </w:r>
            <w:r w:rsidRPr="009F2C3B">
              <w:t>)</w:t>
            </w:r>
          </w:p>
        </w:tc>
        <w:tc>
          <w:tcPr>
            <w:tcW w:w="1216" w:type="dxa"/>
            <w:tcBorders>
              <w:bottom w:val="single" w:sz="4" w:space="0" w:color="ADADAD" w:themeColor="background2" w:themeShade="BF"/>
            </w:tcBorders>
          </w:tcPr>
          <w:p w14:paraId="4A3812BA" w14:textId="0E788FB0" w:rsidR="00A06682" w:rsidRPr="00323FB8" w:rsidRDefault="00D93DE9" w:rsidP="007251CF">
            <w:pPr>
              <w:spacing w:line="360" w:lineRule="auto"/>
              <w:rPr>
                <w:sz w:val="22"/>
                <w:szCs w:val="22"/>
              </w:rPr>
            </w:pPr>
            <w:r>
              <w:rPr>
                <w:sz w:val="22"/>
                <w:szCs w:val="22"/>
              </w:rPr>
              <w:t>NA</w:t>
            </w:r>
          </w:p>
        </w:tc>
        <w:tc>
          <w:tcPr>
            <w:tcW w:w="1282" w:type="dxa"/>
            <w:tcBorders>
              <w:bottom w:val="single" w:sz="4" w:space="0" w:color="ADADAD" w:themeColor="background2" w:themeShade="BF"/>
            </w:tcBorders>
          </w:tcPr>
          <w:p w14:paraId="64334F66" w14:textId="5681007B" w:rsidR="00A06682" w:rsidRPr="00323FB8" w:rsidRDefault="00D93DE9" w:rsidP="007251CF">
            <w:pPr>
              <w:spacing w:line="360" w:lineRule="auto"/>
              <w:rPr>
                <w:sz w:val="22"/>
                <w:szCs w:val="22"/>
              </w:rPr>
            </w:pPr>
            <w:r>
              <w:rPr>
                <w:sz w:val="22"/>
                <w:szCs w:val="22"/>
              </w:rPr>
              <w:t>NA</w:t>
            </w:r>
          </w:p>
        </w:tc>
      </w:tr>
    </w:tbl>
    <w:p w14:paraId="6E73CAE1" w14:textId="77777777" w:rsidR="00D93DE9" w:rsidRDefault="00D93DE9">
      <w:pPr>
        <w:rPr>
          <w:b/>
          <w:bCs/>
        </w:rPr>
      </w:pPr>
    </w:p>
    <w:p w14:paraId="75A5030E" w14:textId="77777777" w:rsidR="00B61613" w:rsidRDefault="00B61613">
      <w:pPr>
        <w:rPr>
          <w:b/>
          <w:bCs/>
        </w:rPr>
      </w:pPr>
    </w:p>
    <w:p w14:paraId="4E91C31E" w14:textId="77777777" w:rsidR="00D93DE9" w:rsidRDefault="00D93DE9">
      <w:pPr>
        <w:rPr>
          <w:b/>
          <w:bCs/>
        </w:rPr>
      </w:pPr>
    </w:p>
    <w:p w14:paraId="5130D1D4" w14:textId="77777777" w:rsidR="00D93DE9" w:rsidRDefault="00D93DE9">
      <w:pPr>
        <w:rPr>
          <w:b/>
          <w:bCs/>
        </w:rPr>
      </w:pPr>
    </w:p>
    <w:p w14:paraId="5186AD18" w14:textId="3B49169C" w:rsidR="00D93DE9" w:rsidRPr="00D93DE9" w:rsidRDefault="00D93DE9">
      <w:r>
        <w:rPr>
          <w:b/>
          <w:bCs/>
        </w:rPr>
        <w:t>References</w:t>
      </w:r>
    </w:p>
    <w:p w14:paraId="519EEF7E" w14:textId="77777777" w:rsidR="00D93DE9" w:rsidRDefault="00D93DE9">
      <w:pPr>
        <w:rPr>
          <w:b/>
          <w:bCs/>
        </w:rPr>
      </w:pPr>
    </w:p>
    <w:p w14:paraId="0EA5CDA6" w14:textId="77777777" w:rsidR="00D93DE9" w:rsidRPr="00D93DE9" w:rsidRDefault="00D93DE9" w:rsidP="00D93DE9">
      <w:pPr>
        <w:pStyle w:val="EndNoteBibliography"/>
        <w:rPr>
          <w:noProof/>
        </w:rPr>
      </w:pPr>
      <w:r>
        <w:rPr>
          <w:b/>
          <w:bCs/>
        </w:rPr>
        <w:fldChar w:fldCharType="begin"/>
      </w:r>
      <w:r>
        <w:rPr>
          <w:b/>
          <w:bCs/>
        </w:rPr>
        <w:instrText xml:space="preserve"> ADDIN EN.REFLIST </w:instrText>
      </w:r>
      <w:r>
        <w:rPr>
          <w:b/>
          <w:bCs/>
        </w:rPr>
        <w:fldChar w:fldCharType="separate"/>
      </w:r>
      <w:r w:rsidRPr="00D93DE9">
        <w:rPr>
          <w:noProof/>
        </w:rPr>
        <w:t>1.</w:t>
      </w:r>
      <w:r w:rsidRPr="00D93DE9">
        <w:rPr>
          <w:noProof/>
        </w:rPr>
        <w:tab/>
      </w:r>
      <w:r w:rsidRPr="00D93DE9">
        <w:rPr>
          <w:b/>
          <w:noProof/>
        </w:rPr>
        <w:t>Brockwell PJ, Davis RA</w:t>
      </w:r>
      <w:r w:rsidRPr="00D93DE9">
        <w:rPr>
          <w:noProof/>
        </w:rPr>
        <w:t xml:space="preserve">. Burg’s Algorithm. </w:t>
      </w:r>
      <w:r w:rsidRPr="00D93DE9">
        <w:rPr>
          <w:i/>
          <w:noProof/>
        </w:rPr>
        <w:t>Introduction to Time Series and Forecasting</w:t>
      </w:r>
      <w:r w:rsidRPr="00D93DE9">
        <w:rPr>
          <w:noProof/>
        </w:rPr>
        <w:t>: Springer Nature; 2016. pp. 129-132.</w:t>
      </w:r>
    </w:p>
    <w:p w14:paraId="5EC7EB44" w14:textId="3F0A8216" w:rsidR="00D93DE9" w:rsidRPr="00D93DE9" w:rsidRDefault="00D93DE9" w:rsidP="00D93DE9">
      <w:pPr>
        <w:pStyle w:val="EndNoteBibliography"/>
        <w:rPr>
          <w:noProof/>
        </w:rPr>
      </w:pPr>
      <w:r w:rsidRPr="00D93DE9">
        <w:rPr>
          <w:noProof/>
        </w:rPr>
        <w:t>2.</w:t>
      </w:r>
      <w:r w:rsidRPr="00D93DE9">
        <w:rPr>
          <w:noProof/>
        </w:rPr>
        <w:tab/>
      </w:r>
      <w:r w:rsidRPr="00D93DE9">
        <w:rPr>
          <w:b/>
          <w:noProof/>
        </w:rPr>
        <w:t>Pinheiro J, Bates D</w:t>
      </w:r>
      <w:r w:rsidRPr="00D93DE9">
        <w:rPr>
          <w:noProof/>
        </w:rPr>
        <w:t xml:space="preserve">. nlme: Linear and Nonlinear Mixed Effects Models version 3.1–169. 2024. </w:t>
      </w:r>
      <w:hyperlink r:id="rId4" w:history="1">
        <w:r w:rsidRPr="00D93DE9">
          <w:rPr>
            <w:rStyle w:val="Hyperlink"/>
            <w:noProof/>
          </w:rPr>
          <w:t>https://CRAN.R-project.org/package=nlme</w:t>
        </w:r>
      </w:hyperlink>
      <w:r w:rsidRPr="00D93DE9">
        <w:rPr>
          <w:noProof/>
        </w:rPr>
        <w:t>.</w:t>
      </w:r>
    </w:p>
    <w:p w14:paraId="3924AC21" w14:textId="77777777" w:rsidR="00D93DE9" w:rsidRPr="00D93DE9" w:rsidRDefault="00D93DE9" w:rsidP="00D93DE9">
      <w:pPr>
        <w:pStyle w:val="EndNoteBibliography"/>
        <w:rPr>
          <w:noProof/>
        </w:rPr>
      </w:pPr>
      <w:r w:rsidRPr="00D93DE9">
        <w:rPr>
          <w:noProof/>
        </w:rPr>
        <w:t>3.</w:t>
      </w:r>
      <w:r w:rsidRPr="00D93DE9">
        <w:rPr>
          <w:noProof/>
        </w:rPr>
        <w:tab/>
      </w:r>
      <w:r w:rsidRPr="00D93DE9">
        <w:rPr>
          <w:b/>
          <w:noProof/>
        </w:rPr>
        <w:t>Akaike H</w:t>
      </w:r>
      <w:r w:rsidRPr="00D93DE9">
        <w:rPr>
          <w:noProof/>
        </w:rPr>
        <w:t xml:space="preserve">. Information Theory and an Extension of the Maximum Likelihood Principle. In: Parzen E, Tanabe K, Kitagawa G (editors). </w:t>
      </w:r>
      <w:r w:rsidRPr="00D93DE9">
        <w:rPr>
          <w:i/>
          <w:noProof/>
        </w:rPr>
        <w:t>Selected Papers of Hirotugu Akaike</w:t>
      </w:r>
      <w:r w:rsidRPr="00D93DE9">
        <w:rPr>
          <w:noProof/>
        </w:rPr>
        <w:t>. New York, NY: Springer New York; 1998. pp. 199-213.</w:t>
      </w:r>
    </w:p>
    <w:p w14:paraId="22B44EBD" w14:textId="34AC24FE" w:rsidR="00D93DE9" w:rsidRPr="00D93DE9" w:rsidRDefault="00D93DE9" w:rsidP="00D93DE9">
      <w:pPr>
        <w:pStyle w:val="EndNoteBibliography"/>
        <w:rPr>
          <w:noProof/>
        </w:rPr>
      </w:pPr>
      <w:r w:rsidRPr="00D93DE9">
        <w:rPr>
          <w:noProof/>
        </w:rPr>
        <w:t>4.</w:t>
      </w:r>
      <w:r w:rsidRPr="00D93DE9">
        <w:rPr>
          <w:noProof/>
        </w:rPr>
        <w:tab/>
      </w:r>
      <w:r w:rsidRPr="00D93DE9">
        <w:rPr>
          <w:b/>
          <w:noProof/>
        </w:rPr>
        <w:t>Elzhov TV, Mullen KM, Spiess A-N, Bolker B</w:t>
      </w:r>
      <w:r w:rsidRPr="00D93DE9">
        <w:rPr>
          <w:noProof/>
        </w:rPr>
        <w:t xml:space="preserve">. minpack.lm: R Interface to the Levenberg-Marquardt Nonlinear Least-Squares Algorithm Found in MINPACK version 1.2–4. 2023. </w:t>
      </w:r>
      <w:hyperlink r:id="rId5" w:history="1">
        <w:r w:rsidRPr="00D93DE9">
          <w:rPr>
            <w:rStyle w:val="Hyperlink"/>
            <w:noProof/>
          </w:rPr>
          <w:t>https://CRAN.R-project.org/package=minpack.lm</w:t>
        </w:r>
      </w:hyperlink>
      <w:r w:rsidRPr="00D93DE9">
        <w:rPr>
          <w:noProof/>
        </w:rPr>
        <w:t>.</w:t>
      </w:r>
    </w:p>
    <w:p w14:paraId="1349D86E" w14:textId="77777777" w:rsidR="00D93DE9" w:rsidRPr="00D93DE9" w:rsidRDefault="00D93DE9" w:rsidP="00D93DE9">
      <w:pPr>
        <w:pStyle w:val="EndNoteBibliography"/>
        <w:rPr>
          <w:noProof/>
        </w:rPr>
      </w:pPr>
      <w:r w:rsidRPr="00D93DE9">
        <w:rPr>
          <w:noProof/>
        </w:rPr>
        <w:t>5.</w:t>
      </w:r>
      <w:r w:rsidRPr="00D93DE9">
        <w:rPr>
          <w:noProof/>
        </w:rPr>
        <w:tab/>
      </w:r>
      <w:r w:rsidRPr="00D93DE9">
        <w:rPr>
          <w:b/>
          <w:noProof/>
        </w:rPr>
        <w:t>Bühlmann P</w:t>
      </w:r>
      <w:r w:rsidRPr="00D93DE9">
        <w:rPr>
          <w:noProof/>
        </w:rPr>
        <w:t xml:space="preserve">. Sieve bootstrap for time series. </w:t>
      </w:r>
      <w:r w:rsidRPr="00D93DE9">
        <w:rPr>
          <w:i/>
          <w:noProof/>
        </w:rPr>
        <w:t>Bernoulli</w:t>
      </w:r>
      <w:r w:rsidRPr="00D93DE9">
        <w:rPr>
          <w:noProof/>
        </w:rPr>
        <w:t xml:space="preserve"> 1997;3(2):123-148.</w:t>
      </w:r>
    </w:p>
    <w:p w14:paraId="3750C349" w14:textId="233A6BE4" w:rsidR="00A06682" w:rsidRPr="00A06682" w:rsidRDefault="00D93DE9">
      <w:pPr>
        <w:rPr>
          <w:b/>
          <w:bCs/>
        </w:rPr>
      </w:pPr>
      <w:r>
        <w:rPr>
          <w:b/>
          <w:bCs/>
        </w:rPr>
        <w:fldChar w:fldCharType="end"/>
      </w:r>
    </w:p>
    <w:sectPr w:rsidR="00A06682" w:rsidRPr="00A066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J General Virology&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vap900r6f5aa0ef99pp9fscz9asewafst25&quot;&gt;PhD EndNote library Copy&lt;record-ids&gt;&lt;item&gt;1980&lt;/item&gt;&lt;item&gt;1981&lt;/item&gt;&lt;item&gt;1983&lt;/item&gt;&lt;item&gt;1984&lt;/item&gt;&lt;item&gt;1985&lt;/item&gt;&lt;/record-ids&gt;&lt;/item&gt;&lt;/Libraries&gt;"/>
  </w:docVars>
  <w:rsids>
    <w:rsidRoot w:val="009F64F0"/>
    <w:rsid w:val="0000134E"/>
    <w:rsid w:val="000369F7"/>
    <w:rsid w:val="00040C3F"/>
    <w:rsid w:val="00054031"/>
    <w:rsid w:val="000567C7"/>
    <w:rsid w:val="000630C2"/>
    <w:rsid w:val="0006497A"/>
    <w:rsid w:val="00071350"/>
    <w:rsid w:val="000815B4"/>
    <w:rsid w:val="000A15F6"/>
    <w:rsid w:val="000B5E62"/>
    <w:rsid w:val="000D09AB"/>
    <w:rsid w:val="000D60AE"/>
    <w:rsid w:val="000D6AF2"/>
    <w:rsid w:val="000E1F42"/>
    <w:rsid w:val="000F10AB"/>
    <w:rsid w:val="0010561F"/>
    <w:rsid w:val="00106568"/>
    <w:rsid w:val="00120B3D"/>
    <w:rsid w:val="00122AEF"/>
    <w:rsid w:val="00124FFA"/>
    <w:rsid w:val="001402D2"/>
    <w:rsid w:val="00144963"/>
    <w:rsid w:val="0015092E"/>
    <w:rsid w:val="00156877"/>
    <w:rsid w:val="00176BBF"/>
    <w:rsid w:val="00182ACB"/>
    <w:rsid w:val="001831AB"/>
    <w:rsid w:val="001972D1"/>
    <w:rsid w:val="00197613"/>
    <w:rsid w:val="001A6FEB"/>
    <w:rsid w:val="001C50B3"/>
    <w:rsid w:val="001D001D"/>
    <w:rsid w:val="001D59E7"/>
    <w:rsid w:val="001D7D28"/>
    <w:rsid w:val="001E61DC"/>
    <w:rsid w:val="00200FC1"/>
    <w:rsid w:val="002311BB"/>
    <w:rsid w:val="00232FF6"/>
    <w:rsid w:val="0023490C"/>
    <w:rsid w:val="00236F30"/>
    <w:rsid w:val="002377B4"/>
    <w:rsid w:val="00242C6F"/>
    <w:rsid w:val="00256C2C"/>
    <w:rsid w:val="00261706"/>
    <w:rsid w:val="00270043"/>
    <w:rsid w:val="002840F5"/>
    <w:rsid w:val="00294351"/>
    <w:rsid w:val="002A5CA2"/>
    <w:rsid w:val="002B5047"/>
    <w:rsid w:val="002C1E31"/>
    <w:rsid w:val="002E3076"/>
    <w:rsid w:val="002E72B7"/>
    <w:rsid w:val="002F34C8"/>
    <w:rsid w:val="002F3E50"/>
    <w:rsid w:val="002F44B4"/>
    <w:rsid w:val="002F4D9D"/>
    <w:rsid w:val="00311C2E"/>
    <w:rsid w:val="00317FE2"/>
    <w:rsid w:val="00324785"/>
    <w:rsid w:val="00326F54"/>
    <w:rsid w:val="00341E57"/>
    <w:rsid w:val="00357484"/>
    <w:rsid w:val="003603E7"/>
    <w:rsid w:val="00382D51"/>
    <w:rsid w:val="003C7FF3"/>
    <w:rsid w:val="003E3CC4"/>
    <w:rsid w:val="003F1766"/>
    <w:rsid w:val="003F3AF1"/>
    <w:rsid w:val="003F46F4"/>
    <w:rsid w:val="003F48CB"/>
    <w:rsid w:val="00411536"/>
    <w:rsid w:val="0042074B"/>
    <w:rsid w:val="00424FC4"/>
    <w:rsid w:val="00430537"/>
    <w:rsid w:val="0044133B"/>
    <w:rsid w:val="00447242"/>
    <w:rsid w:val="004478A2"/>
    <w:rsid w:val="00454EBF"/>
    <w:rsid w:val="004550E1"/>
    <w:rsid w:val="00456D49"/>
    <w:rsid w:val="00461F78"/>
    <w:rsid w:val="004676BC"/>
    <w:rsid w:val="00470CB1"/>
    <w:rsid w:val="004A123C"/>
    <w:rsid w:val="004D1AD5"/>
    <w:rsid w:val="005061E4"/>
    <w:rsid w:val="00512A8F"/>
    <w:rsid w:val="0053082E"/>
    <w:rsid w:val="00530FCA"/>
    <w:rsid w:val="00534EAD"/>
    <w:rsid w:val="005604BE"/>
    <w:rsid w:val="005769AF"/>
    <w:rsid w:val="00577D15"/>
    <w:rsid w:val="00586231"/>
    <w:rsid w:val="005957F0"/>
    <w:rsid w:val="00595ACF"/>
    <w:rsid w:val="005B4281"/>
    <w:rsid w:val="005E0BB3"/>
    <w:rsid w:val="005E6F87"/>
    <w:rsid w:val="005F67D8"/>
    <w:rsid w:val="006001D5"/>
    <w:rsid w:val="00651C17"/>
    <w:rsid w:val="00663C59"/>
    <w:rsid w:val="00690BB3"/>
    <w:rsid w:val="00690F2D"/>
    <w:rsid w:val="00694C0D"/>
    <w:rsid w:val="006B097C"/>
    <w:rsid w:val="00705608"/>
    <w:rsid w:val="00715049"/>
    <w:rsid w:val="0073745D"/>
    <w:rsid w:val="00745A47"/>
    <w:rsid w:val="00750F92"/>
    <w:rsid w:val="007541AB"/>
    <w:rsid w:val="00764A36"/>
    <w:rsid w:val="00776C2B"/>
    <w:rsid w:val="00794C90"/>
    <w:rsid w:val="007C1D38"/>
    <w:rsid w:val="007E34DC"/>
    <w:rsid w:val="00810A86"/>
    <w:rsid w:val="00824D6C"/>
    <w:rsid w:val="00867CFC"/>
    <w:rsid w:val="008741D4"/>
    <w:rsid w:val="00891002"/>
    <w:rsid w:val="008930C3"/>
    <w:rsid w:val="008A361F"/>
    <w:rsid w:val="008A50C3"/>
    <w:rsid w:val="008B06D7"/>
    <w:rsid w:val="008B372C"/>
    <w:rsid w:val="008B4EE0"/>
    <w:rsid w:val="008D3FC1"/>
    <w:rsid w:val="00902047"/>
    <w:rsid w:val="00902983"/>
    <w:rsid w:val="00907A91"/>
    <w:rsid w:val="00935006"/>
    <w:rsid w:val="00952FBF"/>
    <w:rsid w:val="00966B4F"/>
    <w:rsid w:val="00967A69"/>
    <w:rsid w:val="00967D67"/>
    <w:rsid w:val="009766CA"/>
    <w:rsid w:val="00976FC5"/>
    <w:rsid w:val="00977964"/>
    <w:rsid w:val="00980854"/>
    <w:rsid w:val="00980F91"/>
    <w:rsid w:val="00994BC6"/>
    <w:rsid w:val="009A36EA"/>
    <w:rsid w:val="009A5875"/>
    <w:rsid w:val="009A6529"/>
    <w:rsid w:val="009B4B20"/>
    <w:rsid w:val="009C49C2"/>
    <w:rsid w:val="009E3A0F"/>
    <w:rsid w:val="009E7857"/>
    <w:rsid w:val="009F1E37"/>
    <w:rsid w:val="009F64F0"/>
    <w:rsid w:val="00A06682"/>
    <w:rsid w:val="00A0711F"/>
    <w:rsid w:val="00A26795"/>
    <w:rsid w:val="00A37E6F"/>
    <w:rsid w:val="00A406D3"/>
    <w:rsid w:val="00A4418B"/>
    <w:rsid w:val="00A445A2"/>
    <w:rsid w:val="00A60632"/>
    <w:rsid w:val="00A875D6"/>
    <w:rsid w:val="00A96CE9"/>
    <w:rsid w:val="00AA34A2"/>
    <w:rsid w:val="00AA5FFB"/>
    <w:rsid w:val="00AC1B51"/>
    <w:rsid w:val="00AC7189"/>
    <w:rsid w:val="00AD0996"/>
    <w:rsid w:val="00AD1FDD"/>
    <w:rsid w:val="00AD2479"/>
    <w:rsid w:val="00AD5F47"/>
    <w:rsid w:val="00B209F4"/>
    <w:rsid w:val="00B33FFE"/>
    <w:rsid w:val="00B3471D"/>
    <w:rsid w:val="00B46E80"/>
    <w:rsid w:val="00B61613"/>
    <w:rsid w:val="00B62F73"/>
    <w:rsid w:val="00B83531"/>
    <w:rsid w:val="00B91152"/>
    <w:rsid w:val="00BD6E83"/>
    <w:rsid w:val="00C13CEC"/>
    <w:rsid w:val="00C460A0"/>
    <w:rsid w:val="00C55660"/>
    <w:rsid w:val="00C56EF4"/>
    <w:rsid w:val="00C74D28"/>
    <w:rsid w:val="00C83ACE"/>
    <w:rsid w:val="00C846BA"/>
    <w:rsid w:val="00CA24E7"/>
    <w:rsid w:val="00CB2275"/>
    <w:rsid w:val="00CC7982"/>
    <w:rsid w:val="00CD3C5B"/>
    <w:rsid w:val="00CF1AFA"/>
    <w:rsid w:val="00CF33AD"/>
    <w:rsid w:val="00CF4B25"/>
    <w:rsid w:val="00D043E1"/>
    <w:rsid w:val="00D06D71"/>
    <w:rsid w:val="00D06EF5"/>
    <w:rsid w:val="00D07BA1"/>
    <w:rsid w:val="00D138C7"/>
    <w:rsid w:val="00D26AF7"/>
    <w:rsid w:val="00D53D18"/>
    <w:rsid w:val="00D55AAC"/>
    <w:rsid w:val="00D665B4"/>
    <w:rsid w:val="00D76127"/>
    <w:rsid w:val="00D76EC1"/>
    <w:rsid w:val="00D93DE9"/>
    <w:rsid w:val="00D958C3"/>
    <w:rsid w:val="00D9627F"/>
    <w:rsid w:val="00DA2D87"/>
    <w:rsid w:val="00DA4BA3"/>
    <w:rsid w:val="00DA5C50"/>
    <w:rsid w:val="00DA7E7E"/>
    <w:rsid w:val="00DB2E56"/>
    <w:rsid w:val="00DC6480"/>
    <w:rsid w:val="00DD1286"/>
    <w:rsid w:val="00DD3342"/>
    <w:rsid w:val="00DE58D6"/>
    <w:rsid w:val="00DE69AB"/>
    <w:rsid w:val="00DF44B8"/>
    <w:rsid w:val="00E15D6E"/>
    <w:rsid w:val="00E27421"/>
    <w:rsid w:val="00E325A7"/>
    <w:rsid w:val="00E34177"/>
    <w:rsid w:val="00E538B7"/>
    <w:rsid w:val="00E616D0"/>
    <w:rsid w:val="00E67C36"/>
    <w:rsid w:val="00E90F4D"/>
    <w:rsid w:val="00E93109"/>
    <w:rsid w:val="00E96BA7"/>
    <w:rsid w:val="00E97961"/>
    <w:rsid w:val="00EA2B94"/>
    <w:rsid w:val="00EB272B"/>
    <w:rsid w:val="00EB4806"/>
    <w:rsid w:val="00EB5A75"/>
    <w:rsid w:val="00EC17E5"/>
    <w:rsid w:val="00EC31F6"/>
    <w:rsid w:val="00EC5751"/>
    <w:rsid w:val="00ED2661"/>
    <w:rsid w:val="00ED40DE"/>
    <w:rsid w:val="00EE1F83"/>
    <w:rsid w:val="00EE20C8"/>
    <w:rsid w:val="00EF11AD"/>
    <w:rsid w:val="00EF2D2A"/>
    <w:rsid w:val="00F03287"/>
    <w:rsid w:val="00F07718"/>
    <w:rsid w:val="00F12042"/>
    <w:rsid w:val="00F12708"/>
    <w:rsid w:val="00F1358F"/>
    <w:rsid w:val="00F33C34"/>
    <w:rsid w:val="00F444B8"/>
    <w:rsid w:val="00F543CE"/>
    <w:rsid w:val="00F65733"/>
    <w:rsid w:val="00F71FA8"/>
    <w:rsid w:val="00F7528E"/>
    <w:rsid w:val="00F752D3"/>
    <w:rsid w:val="00F84F68"/>
    <w:rsid w:val="00FA3B13"/>
    <w:rsid w:val="00FA486E"/>
    <w:rsid w:val="00FD409C"/>
    <w:rsid w:val="00FD503D"/>
    <w:rsid w:val="00FE300F"/>
    <w:rsid w:val="00FF33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394DE486"/>
  <w15:chartTrackingRefBased/>
  <w15:docId w15:val="{DA1D7D6A-BFF1-BA45-9B2A-0710F6CC0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64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64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64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64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64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64F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64F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64F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64F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cientific">
    <w:name w:val="Scientific"/>
    <w:basedOn w:val="TableNormal"/>
    <w:uiPriority w:val="99"/>
    <w:rsid w:val="00994BC6"/>
    <w:tblPr/>
    <w:tblStylePr w:type="firstRow">
      <w:rPr>
        <w:b/>
      </w:rPr>
      <w:tblPr/>
      <w:tcPr>
        <w:tcBorders>
          <w:top w:val="single" w:sz="4" w:space="0" w:color="ADADAD" w:themeColor="background2" w:themeShade="BF"/>
          <w:bottom w:val="single" w:sz="4" w:space="0" w:color="ADADAD" w:themeColor="background2" w:themeShade="BF"/>
        </w:tcBorders>
        <w:shd w:val="clear" w:color="auto" w:fill="E8E8E8" w:themeFill="background2"/>
      </w:tcPr>
    </w:tblStylePr>
  </w:style>
  <w:style w:type="character" w:customStyle="1" w:styleId="Heading1Char">
    <w:name w:val="Heading 1 Char"/>
    <w:basedOn w:val="DefaultParagraphFont"/>
    <w:link w:val="Heading1"/>
    <w:uiPriority w:val="9"/>
    <w:rsid w:val="009F64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64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64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64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64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64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64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64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64F0"/>
    <w:rPr>
      <w:rFonts w:eastAsiaTheme="majorEastAsia" w:cstheme="majorBidi"/>
      <w:color w:val="272727" w:themeColor="text1" w:themeTint="D8"/>
    </w:rPr>
  </w:style>
  <w:style w:type="paragraph" w:styleId="Title">
    <w:name w:val="Title"/>
    <w:basedOn w:val="Normal"/>
    <w:next w:val="Normal"/>
    <w:link w:val="TitleChar"/>
    <w:uiPriority w:val="10"/>
    <w:qFormat/>
    <w:rsid w:val="009F64F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64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64F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64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64F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F64F0"/>
    <w:rPr>
      <w:i/>
      <w:iCs/>
      <w:color w:val="404040" w:themeColor="text1" w:themeTint="BF"/>
    </w:rPr>
  </w:style>
  <w:style w:type="paragraph" w:styleId="ListParagraph">
    <w:name w:val="List Paragraph"/>
    <w:basedOn w:val="Normal"/>
    <w:uiPriority w:val="34"/>
    <w:qFormat/>
    <w:rsid w:val="009F64F0"/>
    <w:pPr>
      <w:ind w:left="720"/>
      <w:contextualSpacing/>
    </w:pPr>
  </w:style>
  <w:style w:type="character" w:styleId="IntenseEmphasis">
    <w:name w:val="Intense Emphasis"/>
    <w:basedOn w:val="DefaultParagraphFont"/>
    <w:uiPriority w:val="21"/>
    <w:qFormat/>
    <w:rsid w:val="009F64F0"/>
    <w:rPr>
      <w:i/>
      <w:iCs/>
      <w:color w:val="0F4761" w:themeColor="accent1" w:themeShade="BF"/>
    </w:rPr>
  </w:style>
  <w:style w:type="paragraph" w:styleId="IntenseQuote">
    <w:name w:val="Intense Quote"/>
    <w:basedOn w:val="Normal"/>
    <w:next w:val="Normal"/>
    <w:link w:val="IntenseQuoteChar"/>
    <w:uiPriority w:val="30"/>
    <w:qFormat/>
    <w:rsid w:val="009F64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64F0"/>
    <w:rPr>
      <w:i/>
      <w:iCs/>
      <w:color w:val="0F4761" w:themeColor="accent1" w:themeShade="BF"/>
    </w:rPr>
  </w:style>
  <w:style w:type="character" w:styleId="IntenseReference">
    <w:name w:val="Intense Reference"/>
    <w:basedOn w:val="DefaultParagraphFont"/>
    <w:uiPriority w:val="32"/>
    <w:qFormat/>
    <w:rsid w:val="009F64F0"/>
    <w:rPr>
      <w:b/>
      <w:bCs/>
      <w:smallCaps/>
      <w:color w:val="0F4761" w:themeColor="accent1" w:themeShade="BF"/>
      <w:spacing w:val="5"/>
    </w:rPr>
  </w:style>
  <w:style w:type="character" w:styleId="CommentReference">
    <w:name w:val="annotation reference"/>
    <w:basedOn w:val="DefaultParagraphFont"/>
    <w:uiPriority w:val="99"/>
    <w:semiHidden/>
    <w:unhideWhenUsed/>
    <w:rsid w:val="009F64F0"/>
    <w:rPr>
      <w:sz w:val="16"/>
      <w:szCs w:val="16"/>
    </w:rPr>
  </w:style>
  <w:style w:type="paragraph" w:styleId="CommentText">
    <w:name w:val="annotation text"/>
    <w:basedOn w:val="Normal"/>
    <w:link w:val="CommentTextChar"/>
    <w:uiPriority w:val="99"/>
    <w:unhideWhenUsed/>
    <w:rsid w:val="009F64F0"/>
    <w:rPr>
      <w:sz w:val="20"/>
      <w:szCs w:val="20"/>
    </w:rPr>
  </w:style>
  <w:style w:type="character" w:customStyle="1" w:styleId="CommentTextChar">
    <w:name w:val="Comment Text Char"/>
    <w:basedOn w:val="DefaultParagraphFont"/>
    <w:link w:val="CommentText"/>
    <w:uiPriority w:val="99"/>
    <w:rsid w:val="009F64F0"/>
    <w:rPr>
      <w:sz w:val="20"/>
      <w:szCs w:val="20"/>
    </w:rPr>
  </w:style>
  <w:style w:type="paragraph" w:styleId="Revision">
    <w:name w:val="Revision"/>
    <w:hidden/>
    <w:uiPriority w:val="99"/>
    <w:semiHidden/>
    <w:rsid w:val="00E538B7"/>
  </w:style>
  <w:style w:type="paragraph" w:customStyle="1" w:styleId="EndNoteBibliographyTitle">
    <w:name w:val="EndNote Bibliography Title"/>
    <w:basedOn w:val="Normal"/>
    <w:link w:val="EndNoteBibliographyTitleChar"/>
    <w:rsid w:val="00D93DE9"/>
    <w:pPr>
      <w:jc w:val="center"/>
    </w:pPr>
    <w:rPr>
      <w:rFonts w:ascii="Aptos" w:hAnsi="Aptos"/>
      <w:lang w:val="en-US"/>
    </w:rPr>
  </w:style>
  <w:style w:type="character" w:customStyle="1" w:styleId="EndNoteBibliographyTitleChar">
    <w:name w:val="EndNote Bibliography Title Char"/>
    <w:basedOn w:val="DefaultParagraphFont"/>
    <w:link w:val="EndNoteBibliographyTitle"/>
    <w:rsid w:val="00D93DE9"/>
    <w:rPr>
      <w:rFonts w:ascii="Aptos" w:hAnsi="Aptos"/>
      <w:lang w:val="en-US"/>
    </w:rPr>
  </w:style>
  <w:style w:type="paragraph" w:customStyle="1" w:styleId="EndNoteBibliography">
    <w:name w:val="EndNote Bibliography"/>
    <w:basedOn w:val="Normal"/>
    <w:link w:val="EndNoteBibliographyChar"/>
    <w:rsid w:val="00D93DE9"/>
    <w:rPr>
      <w:rFonts w:ascii="Aptos" w:hAnsi="Aptos"/>
      <w:lang w:val="en-US"/>
    </w:rPr>
  </w:style>
  <w:style w:type="character" w:customStyle="1" w:styleId="EndNoteBibliographyChar">
    <w:name w:val="EndNote Bibliography Char"/>
    <w:basedOn w:val="DefaultParagraphFont"/>
    <w:link w:val="EndNoteBibliography"/>
    <w:rsid w:val="00D93DE9"/>
    <w:rPr>
      <w:rFonts w:ascii="Aptos" w:hAnsi="Aptos"/>
      <w:lang w:val="en-US"/>
    </w:rPr>
  </w:style>
  <w:style w:type="character" w:styleId="Hyperlink">
    <w:name w:val="Hyperlink"/>
    <w:basedOn w:val="DefaultParagraphFont"/>
    <w:uiPriority w:val="99"/>
    <w:unhideWhenUsed/>
    <w:rsid w:val="00D93DE9"/>
    <w:rPr>
      <w:color w:val="467886" w:themeColor="hyperlink"/>
      <w:u w:val="single"/>
    </w:rPr>
  </w:style>
  <w:style w:type="character" w:styleId="UnresolvedMention">
    <w:name w:val="Unresolved Mention"/>
    <w:basedOn w:val="DefaultParagraphFont"/>
    <w:uiPriority w:val="99"/>
    <w:semiHidden/>
    <w:unhideWhenUsed/>
    <w:rsid w:val="00D93D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RAN.R-project.org/package=minpack.lm" TargetMode="External"/><Relationship Id="rId4" Type="http://schemas.openxmlformats.org/officeDocument/2006/relationships/hyperlink" Target="https://CRAN.R-project.org/package=nl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1416</Words>
  <Characters>8076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Wheelahan</dc:creator>
  <cp:keywords/>
  <dc:description/>
  <cp:lastModifiedBy>Jack Wheelahan</cp:lastModifiedBy>
  <cp:revision>8</cp:revision>
  <dcterms:created xsi:type="dcterms:W3CDTF">2026-06-29T06:18:00Z</dcterms:created>
  <dcterms:modified xsi:type="dcterms:W3CDTF">2026-07-27T00:46:00Z</dcterms:modified>
</cp:coreProperties>
</file>