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372659">
      <w:pPr>
        <w:jc w:val="center"/>
      </w:pPr>
      <w:r>
        <w:rPr>
          <w:rFonts w:ascii="Times New Roman" w:hAnsi="Times New Roman" w:eastAsia="Times New Roman"/>
          <w:b/>
          <w:sz w:val="24"/>
        </w:rPr>
        <w:t xml:space="preserve">Online Resource 1. </w:t>
      </w:r>
      <w:bookmarkStart w:id="0" w:name="_GoBack"/>
      <w:r>
        <w:rPr>
          <w:rFonts w:ascii="Times New Roman" w:hAnsi="Times New Roman" w:eastAsia="Times New Roman"/>
          <w:b/>
          <w:sz w:val="24"/>
        </w:rPr>
        <w:t>Supplementary Tables</w:t>
      </w:r>
    </w:p>
    <w:bookmarkEnd w:id="0"/>
    <w:p w14:paraId="0091A318">
      <w:pPr>
        <w:jc w:val="center"/>
      </w:pPr>
      <w:r>
        <w:rPr>
          <w:rFonts w:ascii="Times New Roman" w:hAnsi="Times New Roman" w:eastAsia="Times New Roman"/>
          <w:i/>
          <w:sz w:val="20"/>
        </w:rPr>
        <w:t>Paying for Children’s Marriage: Anticipatory Financial Strain and Parental Labor Supply in Rural China</w:t>
      </w:r>
    </w:p>
    <w:p w14:paraId="4B9E41C3">
      <w:pPr>
        <w:spacing w:before="160" w:after="80"/>
      </w:pPr>
      <w:r>
        <w:rPr>
          <w:rFonts w:ascii="Times New Roman" w:hAnsi="Times New Roman" w:eastAsia="Times New Roman"/>
          <w:b/>
          <w:sz w:val="20"/>
        </w:rPr>
        <w:t>Table S1. Debt-Amount and IHS-Unit Sensitivity Analyses</w:t>
      </w:r>
    </w:p>
    <w:tbl>
      <w:tblPr>
        <w:tblStyle w:val="3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484"/>
        <w:gridCol w:w="2484"/>
        <w:gridCol w:w="2484"/>
      </w:tblGrid>
      <w:tr w14:paraId="78474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FA4C2DC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Specification / unit</w:t>
            </w:r>
          </w:p>
        </w:tc>
        <w:tc>
          <w:tcPr>
            <w:tcW w:w="248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6D5EFA2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Non-mortgage debt</w:t>
            </w:r>
          </w:p>
        </w:tc>
        <w:tc>
          <w:tcPr>
            <w:tcW w:w="248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77AF8AE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Outstanding loan</w:t>
            </w:r>
          </w:p>
        </w:tc>
        <w:tc>
          <w:tcPr>
            <w:tcW w:w="248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77D4508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Other borrowing</w:t>
            </w:r>
          </w:p>
        </w:tc>
      </w:tr>
      <w:tr w14:paraId="32BEE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6" w:space="0"/>
            </w:tcBorders>
            <w:vAlign w:val="center"/>
          </w:tcPr>
          <w:p w14:paraId="43482B9C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Panel A. Occurrence margin: any cash marriage transfer</w:t>
            </w:r>
          </w:p>
        </w:tc>
        <w:tc>
          <w:tcPr>
            <w:tcW w:w="2484" w:type="dxa"/>
            <w:tcBorders>
              <w:top w:val="single" w:color="auto" w:sz="6" w:space="0"/>
            </w:tcBorders>
            <w:vAlign w:val="center"/>
          </w:tcPr>
          <w:p w14:paraId="29DC91E0">
            <w:pPr>
              <w:spacing w:before="0" w:after="0"/>
            </w:pPr>
          </w:p>
        </w:tc>
        <w:tc>
          <w:tcPr>
            <w:tcW w:w="2484" w:type="dxa"/>
            <w:tcBorders>
              <w:top w:val="single" w:color="auto" w:sz="6" w:space="0"/>
            </w:tcBorders>
            <w:vAlign w:val="center"/>
          </w:tcPr>
          <w:p w14:paraId="05FBE500">
            <w:pPr>
              <w:spacing w:before="0" w:after="0"/>
            </w:pPr>
          </w:p>
        </w:tc>
        <w:tc>
          <w:tcPr>
            <w:tcW w:w="2484" w:type="dxa"/>
            <w:tcBorders>
              <w:top w:val="single" w:color="auto" w:sz="6" w:space="0"/>
            </w:tcBorders>
            <w:vAlign w:val="center"/>
          </w:tcPr>
          <w:p w14:paraId="24F0238E">
            <w:pPr>
              <w:spacing w:before="0" w:after="0"/>
            </w:pPr>
          </w:p>
        </w:tc>
      </w:tr>
      <w:tr w14:paraId="4A3DC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4" w:type="dxa"/>
            <w:vAlign w:val="center"/>
          </w:tcPr>
          <w:p w14:paraId="28FFC6BE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Yuan</w:t>
            </w:r>
          </w:p>
        </w:tc>
        <w:tc>
          <w:tcPr>
            <w:tcW w:w="2484" w:type="dxa"/>
            <w:vAlign w:val="center"/>
          </w:tcPr>
          <w:p w14:paraId="1F11A23D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0.1717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(0.1139)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N=6,506</w:t>
            </w:r>
          </w:p>
        </w:tc>
        <w:tc>
          <w:tcPr>
            <w:tcW w:w="2484" w:type="dxa"/>
            <w:vAlign w:val="center"/>
          </w:tcPr>
          <w:p w14:paraId="3E2EEBA9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-0.0349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(0.0814)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N=6,503</w:t>
            </w:r>
          </w:p>
        </w:tc>
        <w:tc>
          <w:tcPr>
            <w:tcW w:w="2484" w:type="dxa"/>
            <w:vAlign w:val="center"/>
          </w:tcPr>
          <w:p w14:paraId="07778802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0.2831***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(0.1022)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N=6,503</w:t>
            </w:r>
          </w:p>
        </w:tc>
      </w:tr>
      <w:tr w14:paraId="43F34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4" w:type="dxa"/>
            <w:vAlign w:val="center"/>
          </w:tcPr>
          <w:p w14:paraId="0BF48F03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RMB 1,000</w:t>
            </w:r>
          </w:p>
        </w:tc>
        <w:tc>
          <w:tcPr>
            <w:tcW w:w="2484" w:type="dxa"/>
            <w:vAlign w:val="center"/>
          </w:tcPr>
          <w:p w14:paraId="7EE7855C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0.0808*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(0.0459)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N=6,506</w:t>
            </w:r>
          </w:p>
        </w:tc>
        <w:tc>
          <w:tcPr>
            <w:tcW w:w="2484" w:type="dxa"/>
            <w:vAlign w:val="center"/>
          </w:tcPr>
          <w:p w14:paraId="755C82C9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-0.0056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(0.0342)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N=6,503</w:t>
            </w:r>
          </w:p>
        </w:tc>
        <w:tc>
          <w:tcPr>
            <w:tcW w:w="2484" w:type="dxa"/>
            <w:vAlign w:val="center"/>
          </w:tcPr>
          <w:p w14:paraId="4795867D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0.1164***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(0.0394)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N=6,503</w:t>
            </w:r>
          </w:p>
        </w:tc>
      </w:tr>
      <w:tr w14:paraId="36261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4" w:type="dxa"/>
            <w:tcBorders>
              <w:bottom w:val="single" w:color="auto" w:sz="6" w:space="0"/>
            </w:tcBorders>
            <w:vAlign w:val="center"/>
          </w:tcPr>
          <w:p w14:paraId="59F44214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RMB 10,000</w:t>
            </w:r>
          </w:p>
        </w:tc>
        <w:tc>
          <w:tcPr>
            <w:tcW w:w="2484" w:type="dxa"/>
            <w:tcBorders>
              <w:bottom w:val="single" w:color="auto" w:sz="6" w:space="0"/>
            </w:tcBorders>
            <w:vAlign w:val="center"/>
          </w:tcPr>
          <w:p w14:paraId="6B063164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0.0525**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(0.0257)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N=6,506</w:t>
            </w:r>
          </w:p>
        </w:tc>
        <w:tc>
          <w:tcPr>
            <w:tcW w:w="2484" w:type="dxa"/>
            <w:tcBorders>
              <w:bottom w:val="single" w:color="auto" w:sz="6" w:space="0"/>
            </w:tcBorders>
            <w:vAlign w:val="center"/>
          </w:tcPr>
          <w:p w14:paraId="3C6853AB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0.0021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(0.0196)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N=6,503</w:t>
            </w:r>
          </w:p>
        </w:tc>
        <w:tc>
          <w:tcPr>
            <w:tcW w:w="2484" w:type="dxa"/>
            <w:tcBorders>
              <w:bottom w:val="single" w:color="auto" w:sz="6" w:space="0"/>
            </w:tcBorders>
            <w:vAlign w:val="center"/>
          </w:tcPr>
          <w:p w14:paraId="12A8AB26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0.0654***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(0.0207)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N=6,503</w:t>
            </w:r>
          </w:p>
        </w:tc>
      </w:tr>
      <w:tr w14:paraId="421D9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6" w:space="0"/>
            </w:tcBorders>
            <w:vAlign w:val="center"/>
          </w:tcPr>
          <w:p w14:paraId="520482A0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Panel B. Amount margin: ln(cash marriage transfers)</w:t>
            </w:r>
          </w:p>
        </w:tc>
        <w:tc>
          <w:tcPr>
            <w:tcW w:w="2484" w:type="dxa"/>
            <w:tcBorders>
              <w:top w:val="single" w:color="auto" w:sz="6" w:space="0"/>
            </w:tcBorders>
            <w:vAlign w:val="center"/>
          </w:tcPr>
          <w:p w14:paraId="5AE36E0E">
            <w:pPr>
              <w:spacing w:before="0" w:after="0"/>
            </w:pPr>
          </w:p>
        </w:tc>
        <w:tc>
          <w:tcPr>
            <w:tcW w:w="2484" w:type="dxa"/>
            <w:tcBorders>
              <w:top w:val="single" w:color="auto" w:sz="6" w:space="0"/>
            </w:tcBorders>
            <w:vAlign w:val="center"/>
          </w:tcPr>
          <w:p w14:paraId="6C9882D4">
            <w:pPr>
              <w:spacing w:before="0" w:after="0"/>
            </w:pPr>
          </w:p>
        </w:tc>
        <w:tc>
          <w:tcPr>
            <w:tcW w:w="2484" w:type="dxa"/>
            <w:tcBorders>
              <w:top w:val="single" w:color="auto" w:sz="6" w:space="0"/>
            </w:tcBorders>
            <w:vAlign w:val="center"/>
          </w:tcPr>
          <w:p w14:paraId="605E5BAE">
            <w:pPr>
              <w:spacing w:before="0" w:after="0"/>
            </w:pPr>
          </w:p>
        </w:tc>
      </w:tr>
      <w:tr w14:paraId="3C2D8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4" w:type="dxa"/>
            <w:vAlign w:val="center"/>
          </w:tcPr>
          <w:p w14:paraId="12359583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Yuan</w:t>
            </w:r>
          </w:p>
        </w:tc>
        <w:tc>
          <w:tcPr>
            <w:tcW w:w="2484" w:type="dxa"/>
            <w:vAlign w:val="center"/>
          </w:tcPr>
          <w:p w14:paraId="3B6C33AD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0.1658***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(0.0492)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N=4,532</w:t>
            </w:r>
          </w:p>
        </w:tc>
        <w:tc>
          <w:tcPr>
            <w:tcW w:w="2484" w:type="dxa"/>
            <w:vAlign w:val="center"/>
          </w:tcPr>
          <w:p w14:paraId="7283F648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0.0438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(0.0367)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N=4,532</w:t>
            </w:r>
          </w:p>
        </w:tc>
        <w:tc>
          <w:tcPr>
            <w:tcW w:w="2484" w:type="dxa"/>
            <w:vAlign w:val="center"/>
          </w:tcPr>
          <w:p w14:paraId="7AD45B1A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0.1706***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(0.0435)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N=4,530</w:t>
            </w:r>
          </w:p>
        </w:tc>
      </w:tr>
      <w:tr w14:paraId="6B77D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4" w:type="dxa"/>
            <w:vAlign w:val="center"/>
          </w:tcPr>
          <w:p w14:paraId="2E34721A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RMB 1,000</w:t>
            </w:r>
          </w:p>
        </w:tc>
        <w:tc>
          <w:tcPr>
            <w:tcW w:w="2484" w:type="dxa"/>
            <w:vAlign w:val="center"/>
          </w:tcPr>
          <w:p w14:paraId="76D08D26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0.0808***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(0.0207)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N=4,532</w:t>
            </w:r>
          </w:p>
        </w:tc>
        <w:tc>
          <w:tcPr>
            <w:tcW w:w="2484" w:type="dxa"/>
            <w:vAlign w:val="center"/>
          </w:tcPr>
          <w:p w14:paraId="24DFB7C8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0.0233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(0.0156)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N=4,532</w:t>
            </w:r>
          </w:p>
        </w:tc>
        <w:tc>
          <w:tcPr>
            <w:tcW w:w="2484" w:type="dxa"/>
            <w:vAlign w:val="center"/>
          </w:tcPr>
          <w:p w14:paraId="565904E7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0.0784***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(0.0176)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N=4,530</w:t>
            </w:r>
          </w:p>
        </w:tc>
      </w:tr>
      <w:tr w14:paraId="4383E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4" w:type="dxa"/>
            <w:tcBorders>
              <w:bottom w:val="single" w:color="auto" w:sz="6" w:space="0"/>
            </w:tcBorders>
            <w:vAlign w:val="center"/>
          </w:tcPr>
          <w:p w14:paraId="49503820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RMB 10,000</w:t>
            </w:r>
          </w:p>
        </w:tc>
        <w:tc>
          <w:tcPr>
            <w:tcW w:w="2484" w:type="dxa"/>
            <w:tcBorders>
              <w:bottom w:val="single" w:color="auto" w:sz="6" w:space="0"/>
            </w:tcBorders>
            <w:vAlign w:val="center"/>
          </w:tcPr>
          <w:p w14:paraId="5CA1AEBF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0.0501***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(0.0119)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N=4,532</w:t>
            </w:r>
          </w:p>
        </w:tc>
        <w:tc>
          <w:tcPr>
            <w:tcW w:w="2484" w:type="dxa"/>
            <w:tcBorders>
              <w:bottom w:val="single" w:color="auto" w:sz="6" w:space="0"/>
            </w:tcBorders>
            <w:vAlign w:val="center"/>
          </w:tcPr>
          <w:p w14:paraId="4E88F21C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0.0159*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(0.0088)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N=4,532</w:t>
            </w:r>
          </w:p>
        </w:tc>
        <w:tc>
          <w:tcPr>
            <w:tcW w:w="2484" w:type="dxa"/>
            <w:tcBorders>
              <w:bottom w:val="single" w:color="auto" w:sz="6" w:space="0"/>
            </w:tcBorders>
            <w:vAlign w:val="center"/>
          </w:tcPr>
          <w:p w14:paraId="67C97318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0.0447***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(0.0098)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N=4,530</w:t>
            </w:r>
          </w:p>
        </w:tc>
      </w:tr>
      <w:tr w14:paraId="7FF85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6" w:space="0"/>
            </w:tcBorders>
            <w:vAlign w:val="center"/>
          </w:tcPr>
          <w:p w14:paraId="52D62676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Panel C. Log debt amounts among positive-debt households</w:t>
            </w:r>
          </w:p>
        </w:tc>
        <w:tc>
          <w:tcPr>
            <w:tcW w:w="2484" w:type="dxa"/>
            <w:tcBorders>
              <w:top w:val="single" w:color="auto" w:sz="6" w:space="0"/>
            </w:tcBorders>
            <w:vAlign w:val="center"/>
          </w:tcPr>
          <w:p w14:paraId="46CCCB7E">
            <w:pPr>
              <w:spacing w:before="0" w:after="0"/>
            </w:pPr>
          </w:p>
        </w:tc>
        <w:tc>
          <w:tcPr>
            <w:tcW w:w="2484" w:type="dxa"/>
            <w:tcBorders>
              <w:top w:val="single" w:color="auto" w:sz="6" w:space="0"/>
            </w:tcBorders>
            <w:vAlign w:val="center"/>
          </w:tcPr>
          <w:p w14:paraId="7032574A">
            <w:pPr>
              <w:spacing w:before="0" w:after="0"/>
            </w:pPr>
          </w:p>
        </w:tc>
        <w:tc>
          <w:tcPr>
            <w:tcW w:w="2484" w:type="dxa"/>
            <w:tcBorders>
              <w:top w:val="single" w:color="auto" w:sz="6" w:space="0"/>
            </w:tcBorders>
            <w:vAlign w:val="center"/>
          </w:tcPr>
          <w:p w14:paraId="7DE49A9B">
            <w:pPr>
              <w:spacing w:before="0" w:after="0"/>
            </w:pPr>
          </w:p>
        </w:tc>
      </w:tr>
      <w:tr w14:paraId="55CE7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4" w:type="dxa"/>
            <w:vAlign w:val="center"/>
          </w:tcPr>
          <w:p w14:paraId="042BF874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Any cash marriage transfer</w:t>
            </w:r>
          </w:p>
        </w:tc>
        <w:tc>
          <w:tcPr>
            <w:tcW w:w="2484" w:type="dxa"/>
            <w:vAlign w:val="center"/>
          </w:tcPr>
          <w:p w14:paraId="05E304BB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0.0578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(0.1328)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N=1,424</w:t>
            </w:r>
          </w:p>
        </w:tc>
        <w:tc>
          <w:tcPr>
            <w:tcW w:w="2484" w:type="dxa"/>
            <w:vAlign w:val="center"/>
          </w:tcPr>
          <w:p w14:paraId="51465630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0.1717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(0.1896)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N=462</w:t>
            </w:r>
          </w:p>
        </w:tc>
        <w:tc>
          <w:tcPr>
            <w:tcW w:w="2484" w:type="dxa"/>
            <w:vAlign w:val="center"/>
          </w:tcPr>
          <w:p w14:paraId="087CB1C9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0.0712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(0.1347)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N=1,124</w:t>
            </w:r>
          </w:p>
        </w:tc>
      </w:tr>
      <w:tr w14:paraId="12277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84" w:type="dxa"/>
            <w:tcBorders>
              <w:bottom w:val="single" w:color="auto" w:sz="6" w:space="0"/>
            </w:tcBorders>
            <w:vAlign w:val="center"/>
          </w:tcPr>
          <w:p w14:paraId="4FD9320D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ln(Cash marriage transfers)</w:t>
            </w:r>
          </w:p>
        </w:tc>
        <w:tc>
          <w:tcPr>
            <w:tcW w:w="2484" w:type="dxa"/>
            <w:tcBorders>
              <w:bottom w:val="single" w:color="auto" w:sz="6" w:space="0"/>
            </w:tcBorders>
            <w:vAlign w:val="center"/>
          </w:tcPr>
          <w:p w14:paraId="33455F40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0.1260**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(0.0530)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N=1,025</w:t>
            </w:r>
          </w:p>
        </w:tc>
        <w:tc>
          <w:tcPr>
            <w:tcW w:w="2484" w:type="dxa"/>
            <w:tcBorders>
              <w:bottom w:val="single" w:color="auto" w:sz="6" w:space="0"/>
            </w:tcBorders>
            <w:vAlign w:val="center"/>
          </w:tcPr>
          <w:p w14:paraId="2B7D4450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0.0996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(0.0727)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N=324</w:t>
            </w:r>
          </w:p>
        </w:tc>
        <w:tc>
          <w:tcPr>
            <w:tcW w:w="2484" w:type="dxa"/>
            <w:tcBorders>
              <w:bottom w:val="single" w:color="auto" w:sz="6" w:space="0"/>
            </w:tcBorders>
            <w:vAlign w:val="center"/>
          </w:tcPr>
          <w:p w14:paraId="0F36E204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0.1689***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(0.0541)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N=826</w:t>
            </w:r>
          </w:p>
        </w:tc>
      </w:tr>
    </w:tbl>
    <w:p w14:paraId="6D953363">
      <w:pPr>
        <w:spacing w:before="40" w:after="160"/>
      </w:pPr>
      <w:r>
        <w:rPr>
          <w:rFonts w:ascii="Times New Roman" w:hAnsi="Times New Roman" w:eastAsia="Times New Roman"/>
          <w:sz w:val="16"/>
        </w:rPr>
        <w:t>Notes: Panels A and B report IHS debt-balance regressions after expressing debt in alternative units. Panel C uses natural-log debt amounts conditional on positive debt. Specifications follow Table 3 of the main text and use community-clustered standard errors. *** p&lt;0.01, ** p&lt;0.05, * p&lt;0.10.</w:t>
      </w:r>
    </w:p>
    <w:p w14:paraId="6220CE6D">
      <w:r>
        <w:br w:type="page"/>
      </w:r>
    </w:p>
    <w:p w14:paraId="5065C40C">
      <w:pPr>
        <w:spacing w:before="160" w:after="80"/>
      </w:pPr>
      <w:r>
        <w:rPr>
          <w:rFonts w:ascii="Times New Roman" w:hAnsi="Times New Roman" w:eastAsia="Times New Roman"/>
          <w:b/>
          <w:sz w:val="20"/>
        </w:rPr>
        <w:t>Table S2. Timing and Additional Marriage-Payment Robustness Checks</w:t>
      </w:r>
    </w:p>
    <w:tbl>
      <w:tblPr>
        <w:tblStyle w:val="3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7"/>
        <w:gridCol w:w="1987"/>
        <w:gridCol w:w="1987"/>
        <w:gridCol w:w="1987"/>
        <w:gridCol w:w="1987"/>
      </w:tblGrid>
      <w:tr w14:paraId="559AC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622C4F1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Specification</w:t>
            </w:r>
          </w:p>
        </w:tc>
        <w:tc>
          <w:tcPr>
            <w:tcW w:w="198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D050157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Weekly hours</w:t>
            </w:r>
          </w:p>
        </w:tc>
        <w:tc>
          <w:tcPr>
            <w:tcW w:w="198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2EC47A2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ln(weekly hours), workers</w:t>
            </w:r>
          </w:p>
        </w:tc>
        <w:tc>
          <w:tcPr>
            <w:tcW w:w="198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2178DD8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Excessive work (≥55h)</w:t>
            </w:r>
          </w:p>
        </w:tc>
        <w:tc>
          <w:tcPr>
            <w:tcW w:w="198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D370A5B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Excess hours above 55</w:t>
            </w:r>
          </w:p>
        </w:tc>
      </w:tr>
      <w:tr w14:paraId="35DF7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tcBorders>
              <w:top w:val="single" w:color="auto" w:sz="6" w:space="0"/>
            </w:tcBorders>
            <w:vAlign w:val="center"/>
          </w:tcPr>
          <w:p w14:paraId="33B0F056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Panel A. Timing sensitivity: parental labor supply</w:t>
            </w:r>
          </w:p>
        </w:tc>
        <w:tc>
          <w:tcPr>
            <w:tcW w:w="1987" w:type="dxa"/>
            <w:tcBorders>
              <w:top w:val="single" w:color="auto" w:sz="6" w:space="0"/>
            </w:tcBorders>
            <w:vAlign w:val="center"/>
          </w:tcPr>
          <w:p w14:paraId="48D52BF7">
            <w:pPr>
              <w:spacing w:before="0" w:after="0"/>
            </w:pPr>
          </w:p>
        </w:tc>
        <w:tc>
          <w:tcPr>
            <w:tcW w:w="1987" w:type="dxa"/>
            <w:tcBorders>
              <w:top w:val="single" w:color="auto" w:sz="6" w:space="0"/>
            </w:tcBorders>
            <w:vAlign w:val="center"/>
          </w:tcPr>
          <w:p w14:paraId="78034B20">
            <w:pPr>
              <w:spacing w:before="0" w:after="0"/>
            </w:pPr>
          </w:p>
        </w:tc>
        <w:tc>
          <w:tcPr>
            <w:tcW w:w="1987" w:type="dxa"/>
            <w:tcBorders>
              <w:top w:val="single" w:color="auto" w:sz="6" w:space="0"/>
            </w:tcBorders>
            <w:vAlign w:val="center"/>
          </w:tcPr>
          <w:p w14:paraId="75B88626">
            <w:pPr>
              <w:spacing w:before="0" w:after="0"/>
            </w:pPr>
          </w:p>
        </w:tc>
        <w:tc>
          <w:tcPr>
            <w:tcW w:w="1987" w:type="dxa"/>
            <w:tcBorders>
              <w:top w:val="single" w:color="auto" w:sz="6" w:space="0"/>
            </w:tcBorders>
            <w:vAlign w:val="center"/>
          </w:tcPr>
          <w:p w14:paraId="0C111CDF">
            <w:pPr>
              <w:spacing w:before="0" w:after="0"/>
            </w:pPr>
          </w:p>
        </w:tc>
      </w:tr>
      <w:tr w14:paraId="6B21F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vAlign w:val="center"/>
          </w:tcPr>
          <w:p w14:paraId="3F02C77C">
            <w:r>
              <w:rPr>
                <w:rFonts w:ascii="Times New Roman" w:hAnsi="Times New Roman"/>
                <w:sz w:val="18"/>
              </w:rPr>
              <w:t>Transfers for child marriages in 2008–2018</w:t>
            </w:r>
          </w:p>
        </w:tc>
        <w:tc>
          <w:tcPr>
            <w:tcW w:w="1987" w:type="dxa"/>
            <w:vAlign w:val="center"/>
          </w:tcPr>
          <w:p w14:paraId="05280607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0.2967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(0.3008)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N=4,132</w:t>
            </w:r>
          </w:p>
        </w:tc>
        <w:tc>
          <w:tcPr>
            <w:tcW w:w="1987" w:type="dxa"/>
            <w:vAlign w:val="center"/>
          </w:tcPr>
          <w:p w14:paraId="6A43197A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0.0290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(0.0208)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N=3,003</w:t>
            </w:r>
          </w:p>
        </w:tc>
        <w:tc>
          <w:tcPr>
            <w:tcW w:w="1987" w:type="dxa"/>
            <w:vAlign w:val="center"/>
          </w:tcPr>
          <w:p w14:paraId="3884E4C6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0.0071*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(0.0038)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N=4,132</w:t>
            </w:r>
          </w:p>
        </w:tc>
        <w:tc>
          <w:tcPr>
            <w:tcW w:w="1987" w:type="dxa"/>
            <w:vAlign w:val="center"/>
          </w:tcPr>
          <w:p w14:paraId="2A4AAA26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0.1230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(0.0828)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N=4,132</w:t>
            </w:r>
          </w:p>
        </w:tc>
      </w:tr>
      <w:tr w14:paraId="16D31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vAlign w:val="center"/>
          </w:tcPr>
          <w:p w14:paraId="0A528A03">
            <w:r>
              <w:rPr>
                <w:rFonts w:ascii="Times New Roman" w:hAnsi="Times New Roman"/>
                <w:sz w:val="18"/>
              </w:rPr>
              <w:t>Transfers for child marriages in 2013–2018</w:t>
            </w:r>
          </w:p>
        </w:tc>
        <w:tc>
          <w:tcPr>
            <w:tcW w:w="1987" w:type="dxa"/>
            <w:vAlign w:val="center"/>
          </w:tcPr>
          <w:p w14:paraId="5BD7A382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0.5630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(0.3526)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N=2,016</w:t>
            </w:r>
          </w:p>
        </w:tc>
        <w:tc>
          <w:tcPr>
            <w:tcW w:w="1987" w:type="dxa"/>
            <w:vAlign w:val="center"/>
          </w:tcPr>
          <w:p w14:paraId="250D2419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0.0490*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(0.0255)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N=1,465</w:t>
            </w:r>
          </w:p>
        </w:tc>
        <w:tc>
          <w:tcPr>
            <w:tcW w:w="1987" w:type="dxa"/>
            <w:vAlign w:val="center"/>
          </w:tcPr>
          <w:p w14:paraId="30513433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0.0106**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(0.0050)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N=2,016</w:t>
            </w:r>
          </w:p>
        </w:tc>
        <w:tc>
          <w:tcPr>
            <w:tcW w:w="1987" w:type="dxa"/>
            <w:vAlign w:val="center"/>
          </w:tcPr>
          <w:p w14:paraId="467C2492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0.1167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(0.0822)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N=2,016</w:t>
            </w:r>
          </w:p>
        </w:tc>
      </w:tr>
      <w:tr w14:paraId="20178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tcBorders>
              <w:bottom w:val="single" w:color="auto" w:sz="6" w:space="0"/>
            </w:tcBorders>
            <w:vAlign w:val="center"/>
          </w:tcPr>
          <w:p w14:paraId="504EDC09">
            <w:r>
              <w:rPr>
                <w:rFonts w:ascii="Times New Roman" w:hAnsi="Times New Roman"/>
                <w:sz w:val="18"/>
              </w:rPr>
              <w:t>Payment for most recent child marriage</w:t>
            </w:r>
          </w:p>
        </w:tc>
        <w:tc>
          <w:tcPr>
            <w:tcW w:w="1987" w:type="dxa"/>
            <w:tcBorders>
              <w:bottom w:val="single" w:color="auto" w:sz="6" w:space="0"/>
            </w:tcBorders>
            <w:vAlign w:val="center"/>
          </w:tcPr>
          <w:p w14:paraId="46A9902E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0.6586***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(0.2392)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N=6,101</w:t>
            </w:r>
          </w:p>
        </w:tc>
        <w:tc>
          <w:tcPr>
            <w:tcW w:w="1987" w:type="dxa"/>
            <w:tcBorders>
              <w:bottom w:val="single" w:color="auto" w:sz="6" w:space="0"/>
            </w:tcBorders>
            <w:vAlign w:val="center"/>
          </w:tcPr>
          <w:p w14:paraId="0CE6EB6F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0.0666***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(0.0164)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N=4,253</w:t>
            </w:r>
          </w:p>
        </w:tc>
        <w:tc>
          <w:tcPr>
            <w:tcW w:w="1987" w:type="dxa"/>
            <w:tcBorders>
              <w:bottom w:val="single" w:color="auto" w:sz="6" w:space="0"/>
            </w:tcBorders>
            <w:vAlign w:val="center"/>
          </w:tcPr>
          <w:p w14:paraId="5CAF9036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0.0075**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(0.0030)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N=6,101</w:t>
            </w:r>
          </w:p>
        </w:tc>
        <w:tc>
          <w:tcPr>
            <w:tcW w:w="1987" w:type="dxa"/>
            <w:tcBorders>
              <w:bottom w:val="single" w:color="auto" w:sz="6" w:space="0"/>
            </w:tcBorders>
            <w:vAlign w:val="center"/>
          </w:tcPr>
          <w:p w14:paraId="47D68EE9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0.1417**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(0.0707)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N=6,101</w:t>
            </w:r>
          </w:p>
        </w:tc>
      </w:tr>
    </w:tbl>
    <w:p w14:paraId="23FF20AE">
      <w:pPr>
        <w:spacing w:before="80"/>
      </w:pPr>
    </w:p>
    <w:tbl>
      <w:tblPr>
        <w:tblStyle w:val="3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7"/>
        <w:gridCol w:w="1987"/>
        <w:gridCol w:w="1987"/>
        <w:gridCol w:w="1987"/>
        <w:gridCol w:w="1987"/>
      </w:tblGrid>
      <w:tr w14:paraId="69F66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252E89C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Specification</w:t>
            </w:r>
          </w:p>
        </w:tc>
        <w:tc>
          <w:tcPr>
            <w:tcW w:w="198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9713A94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Any non-mortgage debt</w:t>
            </w:r>
          </w:p>
        </w:tc>
        <w:tc>
          <w:tcPr>
            <w:tcW w:w="198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6028FE5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Non-mortgage debt amount (IHS)</w:t>
            </w:r>
          </w:p>
        </w:tc>
        <w:tc>
          <w:tcPr>
            <w:tcW w:w="198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B039341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Any other borrowing</w:t>
            </w:r>
          </w:p>
        </w:tc>
        <w:tc>
          <w:tcPr>
            <w:tcW w:w="198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830A881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Other borrowing amount (IHS)</w:t>
            </w:r>
          </w:p>
        </w:tc>
      </w:tr>
      <w:tr w14:paraId="3C1C3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tcBorders>
              <w:top w:val="single" w:color="auto" w:sz="6" w:space="0"/>
            </w:tcBorders>
            <w:vAlign w:val="center"/>
          </w:tcPr>
          <w:p w14:paraId="509C4F6A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Panel B. Timing sensitivity: household financial strain</w:t>
            </w:r>
          </w:p>
        </w:tc>
        <w:tc>
          <w:tcPr>
            <w:tcW w:w="1987" w:type="dxa"/>
            <w:tcBorders>
              <w:top w:val="single" w:color="auto" w:sz="6" w:space="0"/>
            </w:tcBorders>
            <w:vAlign w:val="center"/>
          </w:tcPr>
          <w:p w14:paraId="1B3F8005">
            <w:pPr>
              <w:spacing w:before="0" w:after="0"/>
            </w:pPr>
          </w:p>
        </w:tc>
        <w:tc>
          <w:tcPr>
            <w:tcW w:w="1987" w:type="dxa"/>
            <w:tcBorders>
              <w:top w:val="single" w:color="auto" w:sz="6" w:space="0"/>
            </w:tcBorders>
            <w:vAlign w:val="center"/>
          </w:tcPr>
          <w:p w14:paraId="7628270F">
            <w:pPr>
              <w:spacing w:before="0" w:after="0"/>
            </w:pPr>
          </w:p>
        </w:tc>
        <w:tc>
          <w:tcPr>
            <w:tcW w:w="1987" w:type="dxa"/>
            <w:tcBorders>
              <w:top w:val="single" w:color="auto" w:sz="6" w:space="0"/>
            </w:tcBorders>
            <w:vAlign w:val="center"/>
          </w:tcPr>
          <w:p w14:paraId="0E4EC06B">
            <w:pPr>
              <w:spacing w:before="0" w:after="0"/>
            </w:pPr>
          </w:p>
        </w:tc>
        <w:tc>
          <w:tcPr>
            <w:tcW w:w="1987" w:type="dxa"/>
            <w:tcBorders>
              <w:top w:val="single" w:color="auto" w:sz="6" w:space="0"/>
            </w:tcBorders>
            <w:vAlign w:val="center"/>
          </w:tcPr>
          <w:p w14:paraId="10FA200C">
            <w:pPr>
              <w:spacing w:before="0" w:after="0"/>
            </w:pPr>
          </w:p>
        </w:tc>
      </w:tr>
      <w:tr w14:paraId="2C83D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vAlign w:val="center"/>
          </w:tcPr>
          <w:p w14:paraId="3D9C1BA1">
            <w:r>
              <w:rPr>
                <w:rFonts w:ascii="Times New Roman" w:hAnsi="Times New Roman"/>
                <w:sz w:val="18"/>
              </w:rPr>
              <w:t>Transfers for child marriages in 2008–2018</w:t>
            </w:r>
          </w:p>
        </w:tc>
        <w:tc>
          <w:tcPr>
            <w:tcW w:w="1987" w:type="dxa"/>
            <w:vAlign w:val="center"/>
          </w:tcPr>
          <w:p w14:paraId="0861AE3A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0.0167**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(0.0067)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N=2,388</w:t>
            </w:r>
          </w:p>
        </w:tc>
        <w:tc>
          <w:tcPr>
            <w:tcW w:w="1987" w:type="dxa"/>
            <w:vAlign w:val="center"/>
          </w:tcPr>
          <w:p w14:paraId="1ED33D99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0.0640***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(0.0185)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N=2,388</w:t>
            </w:r>
          </w:p>
        </w:tc>
        <w:tc>
          <w:tcPr>
            <w:tcW w:w="1987" w:type="dxa"/>
            <w:vAlign w:val="center"/>
          </w:tcPr>
          <w:p w14:paraId="7FEF28F0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0.0168***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(0.0063)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N=2,386</w:t>
            </w:r>
          </w:p>
        </w:tc>
        <w:tc>
          <w:tcPr>
            <w:tcW w:w="1987" w:type="dxa"/>
            <w:vAlign w:val="center"/>
          </w:tcPr>
          <w:p w14:paraId="7C11CA9E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0.0584***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(0.0165)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N=2,386</w:t>
            </w:r>
          </w:p>
        </w:tc>
      </w:tr>
      <w:tr w14:paraId="575BF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vAlign w:val="center"/>
          </w:tcPr>
          <w:p w14:paraId="52AFEDA5">
            <w:r>
              <w:rPr>
                <w:rFonts w:ascii="Times New Roman" w:hAnsi="Times New Roman"/>
                <w:sz w:val="18"/>
              </w:rPr>
              <w:t>Transfers for child marriages in 2013–2018</w:t>
            </w:r>
          </w:p>
        </w:tc>
        <w:tc>
          <w:tcPr>
            <w:tcW w:w="1987" w:type="dxa"/>
            <w:vAlign w:val="center"/>
          </w:tcPr>
          <w:p w14:paraId="34C7692D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0.0265***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(0.0089)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N=1,166</w:t>
            </w:r>
          </w:p>
        </w:tc>
        <w:tc>
          <w:tcPr>
            <w:tcW w:w="1987" w:type="dxa"/>
            <w:vAlign w:val="center"/>
          </w:tcPr>
          <w:p w14:paraId="67021F9C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0.0987***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(0.0272)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N=1,166</w:t>
            </w:r>
          </w:p>
        </w:tc>
        <w:tc>
          <w:tcPr>
            <w:tcW w:w="1987" w:type="dxa"/>
            <w:vAlign w:val="center"/>
          </w:tcPr>
          <w:p w14:paraId="4B591505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0.0250***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(0.0087)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N=1,165</w:t>
            </w:r>
          </w:p>
        </w:tc>
        <w:tc>
          <w:tcPr>
            <w:tcW w:w="1987" w:type="dxa"/>
            <w:vAlign w:val="center"/>
          </w:tcPr>
          <w:p w14:paraId="0490B529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0.0823***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(0.0253)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N=1,165</w:t>
            </w:r>
          </w:p>
        </w:tc>
      </w:tr>
      <w:tr w14:paraId="1800C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vAlign w:val="center"/>
          </w:tcPr>
          <w:p w14:paraId="7252A4EE">
            <w:r>
              <w:rPr>
                <w:rFonts w:ascii="Times New Roman" w:hAnsi="Times New Roman"/>
                <w:sz w:val="18"/>
              </w:rPr>
              <w:t>Payment for most recent child marriage</w:t>
            </w:r>
          </w:p>
        </w:tc>
        <w:tc>
          <w:tcPr>
            <w:tcW w:w="1987" w:type="dxa"/>
            <w:vAlign w:val="center"/>
          </w:tcPr>
          <w:p w14:paraId="2EE9EE1A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0.0144***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(0.0049)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N=3,623</w:t>
            </w:r>
          </w:p>
        </w:tc>
        <w:tc>
          <w:tcPr>
            <w:tcW w:w="1987" w:type="dxa"/>
            <w:vAlign w:val="center"/>
          </w:tcPr>
          <w:p w14:paraId="4AB800BD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0.0516***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(0.0132)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N=3,623</w:t>
            </w:r>
          </w:p>
        </w:tc>
        <w:tc>
          <w:tcPr>
            <w:tcW w:w="1987" w:type="dxa"/>
            <w:vAlign w:val="center"/>
          </w:tcPr>
          <w:p w14:paraId="27E8A438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0.0138***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(0.0046)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N=3,621</w:t>
            </w:r>
          </w:p>
        </w:tc>
        <w:tc>
          <w:tcPr>
            <w:tcW w:w="1987" w:type="dxa"/>
            <w:vAlign w:val="center"/>
          </w:tcPr>
          <w:p w14:paraId="7C517085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0.0463***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(0.0116)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N=3,621</w:t>
            </w:r>
          </w:p>
        </w:tc>
      </w:tr>
      <w:tr w14:paraId="01D48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tcBorders>
              <w:bottom w:val="single" w:color="auto" w:sz="6" w:space="0"/>
            </w:tcBorders>
            <w:vAlign w:val="center"/>
          </w:tcPr>
          <w:p w14:paraId="58657FAB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Specification</w:t>
            </w:r>
          </w:p>
        </w:tc>
        <w:tc>
          <w:tcPr>
            <w:tcW w:w="1987" w:type="dxa"/>
            <w:tcBorders>
              <w:bottom w:val="single" w:color="auto" w:sz="6" w:space="0"/>
            </w:tcBorders>
            <w:vAlign w:val="center"/>
          </w:tcPr>
          <w:p w14:paraId="4FB884E2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Weekly hours</w:t>
            </w:r>
          </w:p>
        </w:tc>
        <w:tc>
          <w:tcPr>
            <w:tcW w:w="1987" w:type="dxa"/>
            <w:tcBorders>
              <w:bottom w:val="single" w:color="auto" w:sz="6" w:space="0"/>
            </w:tcBorders>
            <w:vAlign w:val="center"/>
          </w:tcPr>
          <w:p w14:paraId="76BDDD6A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ln(weekly hours), workers</w:t>
            </w:r>
          </w:p>
        </w:tc>
        <w:tc>
          <w:tcPr>
            <w:tcW w:w="1987" w:type="dxa"/>
            <w:tcBorders>
              <w:bottom w:val="single" w:color="auto" w:sz="6" w:space="0"/>
            </w:tcBorders>
            <w:vAlign w:val="center"/>
          </w:tcPr>
          <w:p w14:paraId="0F370C43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Excessive work (≥55h)</w:t>
            </w:r>
          </w:p>
        </w:tc>
        <w:tc>
          <w:tcPr>
            <w:tcW w:w="1987" w:type="dxa"/>
            <w:tcBorders>
              <w:bottom w:val="single" w:color="auto" w:sz="6" w:space="0"/>
            </w:tcBorders>
            <w:vAlign w:val="center"/>
          </w:tcPr>
          <w:p w14:paraId="0CC3564C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Excess hours above 55</w:t>
            </w:r>
          </w:p>
        </w:tc>
      </w:tr>
      <w:tr w14:paraId="23BD6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tcBorders>
              <w:top w:val="single" w:color="auto" w:sz="6" w:space="0"/>
            </w:tcBorders>
            <w:vAlign w:val="center"/>
          </w:tcPr>
          <w:p w14:paraId="03A29CAD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Panel C. Total payments excluding households requiring housing-unit correction</w:t>
            </w:r>
          </w:p>
        </w:tc>
        <w:tc>
          <w:tcPr>
            <w:tcW w:w="1987" w:type="dxa"/>
            <w:tcBorders>
              <w:top w:val="single" w:color="auto" w:sz="6" w:space="0"/>
            </w:tcBorders>
            <w:vAlign w:val="center"/>
          </w:tcPr>
          <w:p w14:paraId="08FCC9AC">
            <w:pPr>
              <w:spacing w:before="0" w:after="0"/>
            </w:pPr>
          </w:p>
        </w:tc>
        <w:tc>
          <w:tcPr>
            <w:tcW w:w="1987" w:type="dxa"/>
            <w:tcBorders>
              <w:top w:val="single" w:color="auto" w:sz="6" w:space="0"/>
            </w:tcBorders>
            <w:vAlign w:val="center"/>
          </w:tcPr>
          <w:p w14:paraId="51D8092A">
            <w:pPr>
              <w:spacing w:before="0" w:after="0"/>
            </w:pPr>
          </w:p>
        </w:tc>
        <w:tc>
          <w:tcPr>
            <w:tcW w:w="1987" w:type="dxa"/>
            <w:tcBorders>
              <w:top w:val="single" w:color="auto" w:sz="6" w:space="0"/>
            </w:tcBorders>
            <w:vAlign w:val="center"/>
          </w:tcPr>
          <w:p w14:paraId="1856AD72">
            <w:pPr>
              <w:spacing w:before="0" w:after="0"/>
            </w:pPr>
          </w:p>
        </w:tc>
        <w:tc>
          <w:tcPr>
            <w:tcW w:w="1987" w:type="dxa"/>
            <w:tcBorders>
              <w:top w:val="single" w:color="auto" w:sz="6" w:space="0"/>
            </w:tcBorders>
            <w:vAlign w:val="center"/>
          </w:tcPr>
          <w:p w14:paraId="19E46B27">
            <w:pPr>
              <w:spacing w:before="0" w:after="0"/>
            </w:pPr>
          </w:p>
        </w:tc>
      </w:tr>
      <w:tr w14:paraId="67761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tcBorders>
              <w:bottom w:val="single" w:color="auto" w:sz="6" w:space="0"/>
            </w:tcBorders>
            <w:vAlign w:val="center"/>
          </w:tcPr>
          <w:p w14:paraId="755105DD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ln(Total marriage payments)</w:t>
            </w:r>
          </w:p>
        </w:tc>
        <w:tc>
          <w:tcPr>
            <w:tcW w:w="1987" w:type="dxa"/>
            <w:tcBorders>
              <w:bottom w:val="single" w:color="auto" w:sz="6" w:space="0"/>
            </w:tcBorders>
            <w:vAlign w:val="center"/>
          </w:tcPr>
          <w:p w14:paraId="0F719D50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0.3668*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(0.1965)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N=7,590</w:t>
            </w:r>
          </w:p>
        </w:tc>
        <w:tc>
          <w:tcPr>
            <w:tcW w:w="1987" w:type="dxa"/>
            <w:tcBorders>
              <w:bottom w:val="single" w:color="auto" w:sz="6" w:space="0"/>
            </w:tcBorders>
            <w:vAlign w:val="center"/>
          </w:tcPr>
          <w:p w14:paraId="100AC1EC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0.0351**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(0.0158)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N=5,260</w:t>
            </w:r>
          </w:p>
        </w:tc>
        <w:tc>
          <w:tcPr>
            <w:tcW w:w="1987" w:type="dxa"/>
            <w:tcBorders>
              <w:bottom w:val="single" w:color="auto" w:sz="6" w:space="0"/>
            </w:tcBorders>
            <w:vAlign w:val="center"/>
          </w:tcPr>
          <w:p w14:paraId="5A47B52B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0.0071***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(0.0023)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N=7,590</w:t>
            </w:r>
          </w:p>
        </w:tc>
        <w:tc>
          <w:tcPr>
            <w:tcW w:w="1987" w:type="dxa"/>
            <w:tcBorders>
              <w:bottom w:val="single" w:color="auto" w:sz="6" w:space="0"/>
            </w:tcBorders>
            <w:vAlign w:val="center"/>
          </w:tcPr>
          <w:p w14:paraId="3A3D71A2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0.0799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(0.0511)</w:t>
            </w:r>
            <w:r>
              <w:rPr>
                <w:rFonts w:ascii="Times New Roman" w:hAnsi="Times New Roman" w:eastAsia="Times New Roman"/>
                <w:b w:val="0"/>
                <w:sz w:val="16"/>
              </w:rPr>
              <w:br w:type="textWrapping"/>
            </w:r>
            <w:r>
              <w:rPr>
                <w:rFonts w:ascii="Times New Roman" w:hAnsi="Times New Roman" w:eastAsia="Times New Roman"/>
                <w:b w:val="0"/>
                <w:sz w:val="16"/>
              </w:rPr>
              <w:t>N=7,590</w:t>
            </w:r>
          </w:p>
        </w:tc>
      </w:tr>
    </w:tbl>
    <w:p w14:paraId="6FA24F7A">
      <w:pPr>
        <w:spacing w:before="40" w:after="160"/>
      </w:pPr>
      <w:r>
        <w:rPr>
          <w:rFonts w:ascii="Times New Roman" w:hAnsi="Times New Roman" w:eastAsia="Times New Roman"/>
          <w:sz w:val="16"/>
        </w:rPr>
        <w:t>Notes: Panels A and B reconstruct the transfer exposure over more recent marriage windows or use the payment associated with the most recent child marriage. Window-specific regressions control for the number of marriages in the relevant window; the most-recent-marriage specification additionally controls for years since that marriage and the total number of married children. Panel C removes all households whose housing amounts required the unit-correction rule. Other controls follow the corresponding main-text specifications. Community-clustered standard errors are in parentheses. *** p&lt;0.01, ** p&lt;0.05, * p&lt;0.10.</w:t>
      </w:r>
    </w:p>
    <w:p w14:paraId="7FCD8128">
      <w:r>
        <w:br w:type="page"/>
      </w:r>
    </w:p>
    <w:p w14:paraId="28397992">
      <w:pPr>
        <w:spacing w:before="160" w:after="80"/>
      </w:pPr>
      <w:r>
        <w:rPr>
          <w:rFonts w:ascii="Times New Roman" w:hAnsi="Times New Roman" w:eastAsia="Times New Roman"/>
          <w:b/>
          <w:sz w:val="20"/>
        </w:rPr>
        <w:t>Table S3. Follow-up Attrition, Alternative 2020 Labor Measures, and 2018–2020 Changes</w:t>
      </w:r>
    </w:p>
    <w:tbl>
      <w:tblPr>
        <w:tblStyle w:val="3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7"/>
        <w:gridCol w:w="1987"/>
        <w:gridCol w:w="1987"/>
        <w:gridCol w:w="1987"/>
        <w:gridCol w:w="1987"/>
      </w:tblGrid>
      <w:tr w14:paraId="25EFB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DA4E68A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Check</w:t>
            </w:r>
          </w:p>
        </w:tc>
        <w:tc>
          <w:tcPr>
            <w:tcW w:w="198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904B36A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Outcome / test</w:t>
            </w:r>
          </w:p>
        </w:tc>
        <w:tc>
          <w:tcPr>
            <w:tcW w:w="198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3E25633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Estimate</w:t>
            </w:r>
          </w:p>
        </w:tc>
        <w:tc>
          <w:tcPr>
            <w:tcW w:w="198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C9D4BAB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SE</w:t>
            </w:r>
          </w:p>
        </w:tc>
        <w:tc>
          <w:tcPr>
            <w:tcW w:w="198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23E02C1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N</w:t>
            </w:r>
          </w:p>
        </w:tc>
      </w:tr>
      <w:tr w14:paraId="0276E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tcBorders>
              <w:top w:val="single" w:color="auto" w:sz="6" w:space="0"/>
            </w:tcBorders>
            <w:vAlign w:val="center"/>
          </w:tcPr>
          <w:p w14:paraId="77EDD397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Follow-up retention</w:t>
            </w:r>
          </w:p>
        </w:tc>
        <w:tc>
          <w:tcPr>
            <w:tcW w:w="1987" w:type="dxa"/>
            <w:tcBorders>
              <w:top w:val="single" w:color="auto" w:sz="6" w:space="0"/>
            </w:tcBorders>
            <w:vAlign w:val="center"/>
          </w:tcPr>
          <w:p w14:paraId="17E44418">
            <w:pPr>
              <w:spacing w:before="0" w:after="0"/>
            </w:pPr>
          </w:p>
        </w:tc>
        <w:tc>
          <w:tcPr>
            <w:tcW w:w="1987" w:type="dxa"/>
            <w:tcBorders>
              <w:top w:val="single" w:color="auto" w:sz="6" w:space="0"/>
            </w:tcBorders>
            <w:vAlign w:val="center"/>
          </w:tcPr>
          <w:p w14:paraId="6873A0E1">
            <w:pPr>
              <w:spacing w:before="0" w:after="0"/>
            </w:pPr>
          </w:p>
        </w:tc>
        <w:tc>
          <w:tcPr>
            <w:tcW w:w="1987" w:type="dxa"/>
            <w:tcBorders>
              <w:top w:val="single" w:color="auto" w:sz="6" w:space="0"/>
            </w:tcBorders>
            <w:vAlign w:val="center"/>
          </w:tcPr>
          <w:p w14:paraId="35AD1906">
            <w:pPr>
              <w:spacing w:before="0" w:after="0"/>
            </w:pPr>
          </w:p>
        </w:tc>
        <w:tc>
          <w:tcPr>
            <w:tcW w:w="1987" w:type="dxa"/>
            <w:tcBorders>
              <w:top w:val="single" w:color="auto" w:sz="6" w:space="0"/>
            </w:tcBorders>
            <w:vAlign w:val="center"/>
          </w:tcPr>
          <w:p w14:paraId="36C3B5E4">
            <w:pPr>
              <w:spacing w:before="0" w:after="0"/>
            </w:pPr>
          </w:p>
        </w:tc>
      </w:tr>
      <w:tr w14:paraId="34EE3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vAlign w:val="center"/>
          </w:tcPr>
          <w:p w14:paraId="22EBFBE6">
            <w:pPr>
              <w:spacing w:before="0" w:after="0"/>
            </w:pPr>
          </w:p>
        </w:tc>
        <w:tc>
          <w:tcPr>
            <w:tcW w:w="1987" w:type="dxa"/>
            <w:vAlign w:val="center"/>
          </w:tcPr>
          <w:p w14:paraId="7C4D6269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Share of 2018 positive-transfer parent sample observed in 2020 work module</w:t>
            </w:r>
          </w:p>
        </w:tc>
        <w:tc>
          <w:tcPr>
            <w:tcW w:w="1987" w:type="dxa"/>
            <w:vAlign w:val="center"/>
          </w:tcPr>
          <w:p w14:paraId="0A044E72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0.9311</w:t>
            </w:r>
          </w:p>
        </w:tc>
        <w:tc>
          <w:tcPr>
            <w:tcW w:w="1987" w:type="dxa"/>
            <w:vAlign w:val="center"/>
          </w:tcPr>
          <w:p w14:paraId="6E2A5732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—</w:t>
            </w:r>
          </w:p>
        </w:tc>
        <w:tc>
          <w:tcPr>
            <w:tcW w:w="1987" w:type="dxa"/>
            <w:vAlign w:val="center"/>
          </w:tcPr>
          <w:p w14:paraId="23266F54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7,536</w:t>
            </w:r>
          </w:p>
        </w:tc>
      </w:tr>
      <w:tr w14:paraId="0CBA0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vAlign w:val="center"/>
          </w:tcPr>
          <w:p w14:paraId="25F41E35">
            <w:pPr>
              <w:spacing w:before="0" w:after="0"/>
            </w:pPr>
            <w:r>
              <w:rPr>
                <w:rFonts w:ascii="Times New Roman" w:hAnsi="Times New Roman" w:eastAsia="Times New Roman"/>
                <w:b/>
                <w:sz w:val="16"/>
              </w:rPr>
              <w:t>Follow-up attrition</w:t>
            </w:r>
          </w:p>
        </w:tc>
        <w:tc>
          <w:tcPr>
            <w:tcW w:w="1987" w:type="dxa"/>
            <w:vAlign w:val="center"/>
          </w:tcPr>
          <w:p w14:paraId="452DA1A2">
            <w:pPr>
              <w:spacing w:before="0" w:after="0"/>
            </w:pPr>
          </w:p>
        </w:tc>
        <w:tc>
          <w:tcPr>
            <w:tcW w:w="1987" w:type="dxa"/>
            <w:vAlign w:val="center"/>
          </w:tcPr>
          <w:p w14:paraId="6D9E834C">
            <w:pPr>
              <w:spacing w:before="0" w:after="0"/>
            </w:pPr>
          </w:p>
        </w:tc>
        <w:tc>
          <w:tcPr>
            <w:tcW w:w="1987" w:type="dxa"/>
            <w:vAlign w:val="center"/>
          </w:tcPr>
          <w:p w14:paraId="3F982F96">
            <w:pPr>
              <w:spacing w:before="0" w:after="0"/>
            </w:pPr>
          </w:p>
        </w:tc>
        <w:tc>
          <w:tcPr>
            <w:tcW w:w="1987" w:type="dxa"/>
            <w:vAlign w:val="center"/>
          </w:tcPr>
          <w:p w14:paraId="1E085889">
            <w:pPr>
              <w:spacing w:before="0" w:after="0"/>
            </w:pPr>
          </w:p>
        </w:tc>
      </w:tr>
      <w:tr w14:paraId="3B89F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vAlign w:val="center"/>
          </w:tcPr>
          <w:p w14:paraId="7721369F">
            <w:pPr>
              <w:spacing w:before="0" w:after="0"/>
            </w:pPr>
          </w:p>
        </w:tc>
        <w:tc>
          <w:tcPr>
            <w:tcW w:w="1987" w:type="dxa"/>
            <w:vAlign w:val="center"/>
          </w:tcPr>
          <w:p w14:paraId="3A010AB2">
            <w:r>
              <w:rPr>
                <w:rFonts w:ascii="Times New Roman" w:hAnsi="Times New Roman"/>
                <w:sz w:val="18"/>
              </w:rPr>
              <w:t>Association of ln(Cash transfer) with follow-up observation in 2020</w:t>
            </w:r>
          </w:p>
        </w:tc>
        <w:tc>
          <w:tcPr>
            <w:tcW w:w="1987" w:type="dxa"/>
            <w:vAlign w:val="center"/>
          </w:tcPr>
          <w:p w14:paraId="06B44EA2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0.0020</w:t>
            </w:r>
          </w:p>
        </w:tc>
        <w:tc>
          <w:tcPr>
            <w:tcW w:w="1987" w:type="dxa"/>
            <w:vAlign w:val="center"/>
          </w:tcPr>
          <w:p w14:paraId="29127966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(0.0029)</w:t>
            </w:r>
          </w:p>
        </w:tc>
        <w:tc>
          <w:tcPr>
            <w:tcW w:w="1987" w:type="dxa"/>
            <w:vAlign w:val="center"/>
          </w:tcPr>
          <w:p w14:paraId="06BBD329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7,536</w:t>
            </w:r>
          </w:p>
        </w:tc>
      </w:tr>
      <w:tr w14:paraId="06289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vAlign w:val="center"/>
          </w:tcPr>
          <w:p w14:paraId="414D1560">
            <w:r>
              <w:rPr>
                <w:rFonts w:ascii="Times New Roman" w:hAnsi="Times New Roman"/>
                <w:sz w:val="18"/>
              </w:rPr>
              <w:t>2020 labor including side jobs</w:t>
            </w:r>
          </w:p>
        </w:tc>
        <w:tc>
          <w:tcPr>
            <w:tcW w:w="1987" w:type="dxa"/>
            <w:vAlign w:val="center"/>
          </w:tcPr>
          <w:p w14:paraId="603EB9B8">
            <w:pPr>
              <w:spacing w:before="0" w:after="0"/>
            </w:pPr>
          </w:p>
        </w:tc>
        <w:tc>
          <w:tcPr>
            <w:tcW w:w="1987" w:type="dxa"/>
            <w:vAlign w:val="center"/>
          </w:tcPr>
          <w:p w14:paraId="6ABA6586">
            <w:pPr>
              <w:spacing w:before="0" w:after="0"/>
            </w:pPr>
          </w:p>
        </w:tc>
        <w:tc>
          <w:tcPr>
            <w:tcW w:w="1987" w:type="dxa"/>
            <w:vAlign w:val="center"/>
          </w:tcPr>
          <w:p w14:paraId="194FC396">
            <w:pPr>
              <w:spacing w:before="0" w:after="0"/>
            </w:pPr>
          </w:p>
        </w:tc>
        <w:tc>
          <w:tcPr>
            <w:tcW w:w="1987" w:type="dxa"/>
            <w:vAlign w:val="center"/>
          </w:tcPr>
          <w:p w14:paraId="6C91EC6E">
            <w:pPr>
              <w:spacing w:before="0" w:after="0"/>
            </w:pPr>
          </w:p>
        </w:tc>
      </w:tr>
      <w:tr w14:paraId="7ECED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vAlign w:val="center"/>
          </w:tcPr>
          <w:p w14:paraId="0B6D9F4B">
            <w:pPr>
              <w:spacing w:before="0" w:after="0"/>
            </w:pPr>
          </w:p>
        </w:tc>
        <w:tc>
          <w:tcPr>
            <w:tcW w:w="1987" w:type="dxa"/>
            <w:vAlign w:val="center"/>
          </w:tcPr>
          <w:p w14:paraId="457F7825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Weekly hours</w:t>
            </w:r>
          </w:p>
        </w:tc>
        <w:tc>
          <w:tcPr>
            <w:tcW w:w="1987" w:type="dxa"/>
            <w:vAlign w:val="center"/>
          </w:tcPr>
          <w:p w14:paraId="654F4D97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0.6858***</w:t>
            </w:r>
          </w:p>
        </w:tc>
        <w:tc>
          <w:tcPr>
            <w:tcW w:w="1987" w:type="dxa"/>
            <w:vAlign w:val="center"/>
          </w:tcPr>
          <w:p w14:paraId="365E18D3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(0.2323)</w:t>
            </w:r>
          </w:p>
        </w:tc>
        <w:tc>
          <w:tcPr>
            <w:tcW w:w="1987" w:type="dxa"/>
            <w:vAlign w:val="center"/>
          </w:tcPr>
          <w:p w14:paraId="6100E093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7,012</w:t>
            </w:r>
          </w:p>
        </w:tc>
      </w:tr>
      <w:tr w14:paraId="2C601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vAlign w:val="center"/>
          </w:tcPr>
          <w:p w14:paraId="51CBCB2A">
            <w:pPr>
              <w:spacing w:before="0" w:after="0"/>
            </w:pPr>
          </w:p>
        </w:tc>
        <w:tc>
          <w:tcPr>
            <w:tcW w:w="1987" w:type="dxa"/>
            <w:vAlign w:val="center"/>
          </w:tcPr>
          <w:p w14:paraId="5A570D65">
            <w:r>
              <w:rPr>
                <w:rFonts w:ascii="Times New Roman" w:hAnsi="Times New Roman"/>
                <w:sz w:val="18"/>
              </w:rPr>
              <w:t>ln(weekly hours), workers</w:t>
            </w:r>
          </w:p>
        </w:tc>
        <w:tc>
          <w:tcPr>
            <w:tcW w:w="1987" w:type="dxa"/>
            <w:vAlign w:val="center"/>
          </w:tcPr>
          <w:p w14:paraId="33BA5C4A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0.0441***</w:t>
            </w:r>
          </w:p>
        </w:tc>
        <w:tc>
          <w:tcPr>
            <w:tcW w:w="1987" w:type="dxa"/>
            <w:vAlign w:val="center"/>
          </w:tcPr>
          <w:p w14:paraId="5162DE5A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(0.0134)</w:t>
            </w:r>
          </w:p>
        </w:tc>
        <w:tc>
          <w:tcPr>
            <w:tcW w:w="1987" w:type="dxa"/>
            <w:vAlign w:val="center"/>
          </w:tcPr>
          <w:p w14:paraId="24BF17B7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5,211</w:t>
            </w:r>
          </w:p>
        </w:tc>
      </w:tr>
      <w:tr w14:paraId="480C9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vAlign w:val="center"/>
          </w:tcPr>
          <w:p w14:paraId="2E0325A3">
            <w:pPr>
              <w:spacing w:before="0" w:after="0"/>
            </w:pPr>
          </w:p>
        </w:tc>
        <w:tc>
          <w:tcPr>
            <w:tcW w:w="1987" w:type="dxa"/>
            <w:vAlign w:val="center"/>
          </w:tcPr>
          <w:p w14:paraId="7A07506B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Excessive work (≥55h)</w:t>
            </w:r>
          </w:p>
        </w:tc>
        <w:tc>
          <w:tcPr>
            <w:tcW w:w="1987" w:type="dxa"/>
            <w:vAlign w:val="center"/>
          </w:tcPr>
          <w:p w14:paraId="35839637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0.0082***</w:t>
            </w:r>
          </w:p>
        </w:tc>
        <w:tc>
          <w:tcPr>
            <w:tcW w:w="1987" w:type="dxa"/>
            <w:vAlign w:val="center"/>
          </w:tcPr>
          <w:p w14:paraId="01B465B0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(0.0031)</w:t>
            </w:r>
          </w:p>
        </w:tc>
        <w:tc>
          <w:tcPr>
            <w:tcW w:w="1987" w:type="dxa"/>
            <w:vAlign w:val="center"/>
          </w:tcPr>
          <w:p w14:paraId="630E10FC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7,012</w:t>
            </w:r>
          </w:p>
        </w:tc>
      </w:tr>
      <w:tr w14:paraId="57898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vAlign w:val="center"/>
          </w:tcPr>
          <w:p w14:paraId="0A5DEB39">
            <w:pPr>
              <w:spacing w:before="0" w:after="0"/>
            </w:pPr>
          </w:p>
        </w:tc>
        <w:tc>
          <w:tcPr>
            <w:tcW w:w="1987" w:type="dxa"/>
            <w:vAlign w:val="center"/>
          </w:tcPr>
          <w:p w14:paraId="3DF57EFF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Excess hours above 55</w:t>
            </w:r>
          </w:p>
        </w:tc>
        <w:tc>
          <w:tcPr>
            <w:tcW w:w="1987" w:type="dxa"/>
            <w:vAlign w:val="center"/>
          </w:tcPr>
          <w:p w14:paraId="4237CFCF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0.1514</w:t>
            </w:r>
          </w:p>
        </w:tc>
        <w:tc>
          <w:tcPr>
            <w:tcW w:w="1987" w:type="dxa"/>
            <w:vAlign w:val="center"/>
          </w:tcPr>
          <w:p w14:paraId="4214D4F8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(0.0930)</w:t>
            </w:r>
          </w:p>
        </w:tc>
        <w:tc>
          <w:tcPr>
            <w:tcW w:w="1987" w:type="dxa"/>
            <w:vAlign w:val="center"/>
          </w:tcPr>
          <w:p w14:paraId="364D6766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7,012</w:t>
            </w:r>
          </w:p>
        </w:tc>
      </w:tr>
      <w:tr w14:paraId="2B924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vAlign w:val="center"/>
          </w:tcPr>
          <w:p w14:paraId="1EC2F838">
            <w:r>
              <w:rPr>
                <w:rFonts w:ascii="Times New Roman" w:hAnsi="Times New Roman"/>
                <w:sz w:val="18"/>
              </w:rPr>
              <w:t>Change, 2018–2020</w:t>
            </w:r>
          </w:p>
        </w:tc>
        <w:tc>
          <w:tcPr>
            <w:tcW w:w="1987" w:type="dxa"/>
            <w:vAlign w:val="center"/>
          </w:tcPr>
          <w:p w14:paraId="2E9C0C99">
            <w:pPr>
              <w:spacing w:before="0" w:after="0"/>
            </w:pPr>
          </w:p>
        </w:tc>
        <w:tc>
          <w:tcPr>
            <w:tcW w:w="1987" w:type="dxa"/>
            <w:vAlign w:val="center"/>
          </w:tcPr>
          <w:p w14:paraId="1561DDEE">
            <w:pPr>
              <w:spacing w:before="0" w:after="0"/>
            </w:pPr>
          </w:p>
        </w:tc>
        <w:tc>
          <w:tcPr>
            <w:tcW w:w="1987" w:type="dxa"/>
            <w:vAlign w:val="center"/>
          </w:tcPr>
          <w:p w14:paraId="60A5ECD9">
            <w:pPr>
              <w:spacing w:before="0" w:after="0"/>
            </w:pPr>
          </w:p>
        </w:tc>
        <w:tc>
          <w:tcPr>
            <w:tcW w:w="1987" w:type="dxa"/>
            <w:vAlign w:val="center"/>
          </w:tcPr>
          <w:p w14:paraId="4ABFBBCB">
            <w:pPr>
              <w:spacing w:before="0" w:after="0"/>
            </w:pPr>
          </w:p>
        </w:tc>
      </w:tr>
      <w:tr w14:paraId="7B666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vAlign w:val="center"/>
          </w:tcPr>
          <w:p w14:paraId="3B11072E">
            <w:pPr>
              <w:spacing w:before="0" w:after="0"/>
            </w:pPr>
          </w:p>
        </w:tc>
        <w:tc>
          <w:tcPr>
            <w:tcW w:w="1987" w:type="dxa"/>
            <w:vAlign w:val="center"/>
          </w:tcPr>
          <w:p w14:paraId="286EB515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Weekly hours</w:t>
            </w:r>
          </w:p>
        </w:tc>
        <w:tc>
          <w:tcPr>
            <w:tcW w:w="1987" w:type="dxa"/>
            <w:vAlign w:val="center"/>
          </w:tcPr>
          <w:p w14:paraId="6A075204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-0.1264</w:t>
            </w:r>
          </w:p>
        </w:tc>
        <w:tc>
          <w:tcPr>
            <w:tcW w:w="1987" w:type="dxa"/>
            <w:vAlign w:val="center"/>
          </w:tcPr>
          <w:p w14:paraId="6F34A579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(0.2493)</w:t>
            </w:r>
          </w:p>
        </w:tc>
        <w:tc>
          <w:tcPr>
            <w:tcW w:w="1987" w:type="dxa"/>
            <w:vAlign w:val="center"/>
          </w:tcPr>
          <w:p w14:paraId="0DB9120E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7,008</w:t>
            </w:r>
          </w:p>
        </w:tc>
      </w:tr>
      <w:tr w14:paraId="369DF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vAlign w:val="center"/>
          </w:tcPr>
          <w:p w14:paraId="3AF77955">
            <w:pPr>
              <w:spacing w:before="0" w:after="0"/>
            </w:pPr>
          </w:p>
        </w:tc>
        <w:tc>
          <w:tcPr>
            <w:tcW w:w="1987" w:type="dxa"/>
            <w:vAlign w:val="center"/>
          </w:tcPr>
          <w:p w14:paraId="73C95F7B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Excessive work (≥55h)</w:t>
            </w:r>
          </w:p>
        </w:tc>
        <w:tc>
          <w:tcPr>
            <w:tcW w:w="1987" w:type="dxa"/>
            <w:vAlign w:val="center"/>
          </w:tcPr>
          <w:p w14:paraId="54FB1D19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-0.0020</w:t>
            </w:r>
          </w:p>
        </w:tc>
        <w:tc>
          <w:tcPr>
            <w:tcW w:w="1987" w:type="dxa"/>
            <w:vAlign w:val="center"/>
          </w:tcPr>
          <w:p w14:paraId="63429C8F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(0.0034)</w:t>
            </w:r>
          </w:p>
        </w:tc>
        <w:tc>
          <w:tcPr>
            <w:tcW w:w="1987" w:type="dxa"/>
            <w:vAlign w:val="center"/>
          </w:tcPr>
          <w:p w14:paraId="2A5FEB5C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7,008</w:t>
            </w:r>
          </w:p>
        </w:tc>
      </w:tr>
      <w:tr w14:paraId="2D1F6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7" w:type="dxa"/>
            <w:tcBorders>
              <w:bottom w:val="single" w:color="auto" w:sz="6" w:space="0"/>
            </w:tcBorders>
            <w:vAlign w:val="center"/>
          </w:tcPr>
          <w:p w14:paraId="08FF6ACD">
            <w:pPr>
              <w:spacing w:before="0" w:after="0"/>
            </w:pPr>
          </w:p>
        </w:tc>
        <w:tc>
          <w:tcPr>
            <w:tcW w:w="1987" w:type="dxa"/>
            <w:tcBorders>
              <w:bottom w:val="single" w:color="auto" w:sz="6" w:space="0"/>
            </w:tcBorders>
            <w:vAlign w:val="center"/>
          </w:tcPr>
          <w:p w14:paraId="6300164F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Excess hours above 55</w:t>
            </w:r>
          </w:p>
        </w:tc>
        <w:tc>
          <w:tcPr>
            <w:tcW w:w="1987" w:type="dxa"/>
            <w:tcBorders>
              <w:bottom w:val="single" w:color="auto" w:sz="6" w:space="0"/>
            </w:tcBorders>
            <w:vAlign w:val="center"/>
          </w:tcPr>
          <w:p w14:paraId="18578718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-0.0328</w:t>
            </w:r>
          </w:p>
        </w:tc>
        <w:tc>
          <w:tcPr>
            <w:tcW w:w="1987" w:type="dxa"/>
            <w:tcBorders>
              <w:bottom w:val="single" w:color="auto" w:sz="6" w:space="0"/>
            </w:tcBorders>
            <w:vAlign w:val="center"/>
          </w:tcPr>
          <w:p w14:paraId="796ABA45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(0.0891)</w:t>
            </w:r>
          </w:p>
        </w:tc>
        <w:tc>
          <w:tcPr>
            <w:tcW w:w="1987" w:type="dxa"/>
            <w:tcBorders>
              <w:bottom w:val="single" w:color="auto" w:sz="6" w:space="0"/>
            </w:tcBorders>
            <w:vAlign w:val="center"/>
          </w:tcPr>
          <w:p w14:paraId="71F0CD68">
            <w:pPr>
              <w:spacing w:before="0" w:after="0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7,008</w:t>
            </w:r>
          </w:p>
        </w:tc>
      </w:tr>
    </w:tbl>
    <w:p w14:paraId="6027A108">
      <w:pPr>
        <w:spacing w:before="40" w:after="160"/>
      </w:pPr>
      <w:r>
        <w:rPr>
          <w:rFonts w:ascii="Times New Roman" w:hAnsi="Times New Roman"/>
          <w:sz w:val="18"/>
        </w:rPr>
        <w:t>Notes: The retention row reports the share of the 2018 positive-transfer parent sample observed in the 2020 work module. The attrition regression uses follow-up status as the outcome. The alternative 2020 labor measure adds side-job hours. Change-score regressions use the 2020 outcome minus the corresponding 2018 outcome. Controls follow the 2020 main specification, and standard errors are clustered at the community level. *** p&lt;0.01, ** p&lt;0.05, * p&lt;0.10.</w:t>
      </w:r>
    </w:p>
    <w:sectPr>
      <w:footerReference r:id="rId5" w:type="default"/>
      <w:pgSz w:w="12240" w:h="15840"/>
      <w:pgMar w:top="1080" w:right="1152" w:bottom="1080" w:left="115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9632B6">
    <w:pPr>
      <w:pStyle w:val="24"/>
      <w:jc w:val="center"/>
    </w:pPr>
    <w:r>
      <w:rPr>
        <w:rFonts w:ascii="Times New Roman" w:hAnsi="Times New Roman" w:eastAsia="Times New Roman"/>
        <w:sz w:val="18"/>
      </w:rPr>
      <w:fldChar w:fldCharType="begin"/>
    </w:r>
    <w:r>
      <w:rPr>
        <w:rFonts w:ascii="Times New Roman" w:hAnsi="Times New Roman" w:eastAsia="Times New Roman"/>
        <w:sz w:val="18"/>
      </w:rPr>
      <w:instrText xml:space="preserve"> PAGE </w:instrText>
    </w:r>
    <w:r>
      <w:rPr>
        <w:rFonts w:ascii="Times New Roman" w:hAnsi="Times New Roman" w:eastAsia="Times New Roman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CC35881"/>
    <w:rsid w:val="7F64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295</Words>
  <Characters>1964</Characters>
  <Lines>0</Lines>
  <Paragraphs>0</Paragraphs>
  <TotalTime>1</TotalTime>
  <ScaleCrop>false</ScaleCrop>
  <LinksUpToDate>false</LinksUpToDate>
  <CharactersWithSpaces>2116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小鱼</dc:creator>
  <dc:description>generated by python-docx</dc:description>
  <cp:lastModifiedBy>小鱼</cp:lastModifiedBy>
  <dcterms:modified xsi:type="dcterms:W3CDTF">2026-08-19T01:37:32Z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eyJoZGlkIjoiMjE5ODdjNzY3MmQ1MDA3MDMxZGJiNzEwZjk3ZmIyMTgiLCJ1c2VySWQiOiIxODY3Mzk1NzIxIn0=</vt:lpwstr>
  </property>
  <property fmtid="{D5CDD505-2E9C-101B-9397-08002B2CF9AE}" pid="3" name="KSOProductBuildVer">
    <vt:lpwstr>2052-12.1.0.26895</vt:lpwstr>
  </property>
  <property fmtid="{D5CDD505-2E9C-101B-9397-08002B2CF9AE}" pid="4" name="ICV">
    <vt:lpwstr>94D1D191F3E540D990E8604DDB455C01_13</vt:lpwstr>
  </property>
</Properties>
</file>