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E9E33" w14:textId="77777777" w:rsidR="00A973CB" w:rsidRPr="002B43ED" w:rsidRDefault="00A973CB" w:rsidP="00A973CB">
      <w:pPr>
        <w:pStyle w:val="BodyText"/>
        <w:jc w:val="center"/>
        <w:rPr>
          <w:rFonts w:ascii="Times New Roman" w:hAnsi="Times New Roman" w:cs="Times New Roman"/>
        </w:rPr>
      </w:pPr>
      <w:r w:rsidRPr="002B43ED">
        <w:rPr>
          <w:rFonts w:ascii="Times New Roman" w:hAnsi="Times New Roman" w:cs="Times New Roman"/>
          <w:b/>
          <w:bCs/>
        </w:rPr>
        <w:t>Supplementary Material</w:t>
      </w:r>
    </w:p>
    <w:p w14:paraId="380802A3" w14:textId="77777777" w:rsidR="00A973CB" w:rsidRPr="00D90AFA" w:rsidRDefault="00A973CB" w:rsidP="00A973CB">
      <w:pPr>
        <w:pStyle w:val="Heading2"/>
        <w:jc w:val="both"/>
        <w:rPr>
          <w:rFonts w:ascii="Times New Roman" w:hAnsi="Times New Roman" w:cs="Times New Roman"/>
          <w:sz w:val="24"/>
          <w:szCs w:val="24"/>
        </w:rPr>
      </w:pPr>
      <w:bookmarkStart w:id="0" w:name="table-s1.-full-pointer-year-catalogue"/>
      <w:r w:rsidRPr="00D90AFA">
        <w:rPr>
          <w:rFonts w:ascii="Times New Roman" w:hAnsi="Times New Roman" w:cs="Times New Roman"/>
          <w:sz w:val="24"/>
          <w:szCs w:val="24"/>
        </w:rPr>
        <w:t>Table S1. Full Pointer Year Catalogue</w:t>
      </w:r>
    </w:p>
    <w:p w14:paraId="265A07A6" w14:textId="77777777" w:rsidR="00A973CB" w:rsidRPr="00D90AFA" w:rsidRDefault="00A973CB" w:rsidP="00A973CB">
      <w:pPr>
        <w:pStyle w:val="FirstParagraph"/>
        <w:jc w:val="both"/>
        <w:rPr>
          <w:rFonts w:ascii="Times New Roman" w:hAnsi="Times New Roman" w:cs="Times New Roman"/>
        </w:rPr>
      </w:pPr>
      <w:r w:rsidRPr="00D90AFA">
        <w:rPr>
          <w:rFonts w:ascii="Times New Roman" w:hAnsi="Times New Roman" w:cs="Times New Roman"/>
        </w:rPr>
        <w:t xml:space="preserve">All years in the Ziarat Master Chronology meeting the single, uniformly applied &gt; 70% negative pointer-year threshold used throughout the main text (Section 3.4). </w:t>
      </w:r>
    </w:p>
    <w:tbl>
      <w:tblPr>
        <w:tblStyle w:val="Table"/>
        <w:tblW w:w="4865" w:type="pct"/>
        <w:tblLook w:val="0020" w:firstRow="1" w:lastRow="0" w:firstColumn="0" w:lastColumn="0" w:noHBand="0" w:noVBand="0"/>
      </w:tblPr>
      <w:tblGrid>
        <w:gridCol w:w="1546"/>
        <w:gridCol w:w="2442"/>
        <w:gridCol w:w="2014"/>
        <w:gridCol w:w="3105"/>
      </w:tblGrid>
      <w:tr w:rsidR="00A973CB" w:rsidRPr="00D90AFA" w14:paraId="202036BC" w14:textId="77777777" w:rsidTr="00607925">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bottom w:val="single" w:sz="2" w:space="0" w:color="auto"/>
            </w:tcBorders>
          </w:tcPr>
          <w:p w14:paraId="66E43C60"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b/>
                <w:bCs/>
              </w:rPr>
              <w:t>Year (CE)</w:t>
            </w:r>
          </w:p>
        </w:tc>
        <w:tc>
          <w:tcPr>
            <w:tcW w:w="0" w:type="auto"/>
            <w:tcBorders>
              <w:top w:val="single" w:sz="4" w:space="0" w:color="auto"/>
              <w:bottom w:val="single" w:sz="2" w:space="0" w:color="auto"/>
            </w:tcBorders>
          </w:tcPr>
          <w:p w14:paraId="5CED1D3E"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b/>
                <w:bCs/>
              </w:rPr>
              <w:t>% Trees Affected</w:t>
            </w:r>
          </w:p>
        </w:tc>
        <w:tc>
          <w:tcPr>
            <w:tcW w:w="0" w:type="auto"/>
            <w:tcBorders>
              <w:top w:val="single" w:sz="4" w:space="0" w:color="auto"/>
              <w:bottom w:val="single" w:sz="2" w:space="0" w:color="auto"/>
            </w:tcBorders>
          </w:tcPr>
          <w:p w14:paraId="0F87C2B8"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b/>
                <w:bCs/>
              </w:rPr>
              <w:t>Sample Depth</w:t>
            </w:r>
          </w:p>
        </w:tc>
        <w:tc>
          <w:tcPr>
            <w:tcW w:w="0" w:type="auto"/>
            <w:tcBorders>
              <w:top w:val="single" w:sz="4" w:space="0" w:color="auto"/>
              <w:bottom w:val="single" w:sz="2" w:space="0" w:color="auto"/>
            </w:tcBorders>
          </w:tcPr>
          <w:p w14:paraId="6645D599"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b/>
                <w:bCs/>
              </w:rPr>
              <w:t>Above 70% threshold?</w:t>
            </w:r>
          </w:p>
        </w:tc>
      </w:tr>
      <w:tr w:rsidR="00A973CB" w:rsidRPr="00D90AFA" w14:paraId="22849C45" w14:textId="77777777" w:rsidTr="00607925">
        <w:tc>
          <w:tcPr>
            <w:tcW w:w="0" w:type="auto"/>
            <w:tcBorders>
              <w:top w:val="single" w:sz="2" w:space="0" w:color="auto"/>
            </w:tcBorders>
          </w:tcPr>
          <w:p w14:paraId="0EE09035"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1767</w:t>
            </w:r>
          </w:p>
        </w:tc>
        <w:tc>
          <w:tcPr>
            <w:tcW w:w="0" w:type="auto"/>
            <w:tcBorders>
              <w:top w:val="single" w:sz="2" w:space="0" w:color="auto"/>
            </w:tcBorders>
          </w:tcPr>
          <w:p w14:paraId="580906C9"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92.9</w:t>
            </w:r>
          </w:p>
        </w:tc>
        <w:tc>
          <w:tcPr>
            <w:tcW w:w="0" w:type="auto"/>
            <w:tcBorders>
              <w:top w:val="single" w:sz="2" w:space="0" w:color="auto"/>
            </w:tcBorders>
          </w:tcPr>
          <w:p w14:paraId="6D563C6F"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14</w:t>
            </w:r>
          </w:p>
        </w:tc>
        <w:tc>
          <w:tcPr>
            <w:tcW w:w="0" w:type="auto"/>
            <w:tcBorders>
              <w:top w:val="single" w:sz="2" w:space="0" w:color="auto"/>
            </w:tcBorders>
          </w:tcPr>
          <w:p w14:paraId="2059725A"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Yes</w:t>
            </w:r>
          </w:p>
        </w:tc>
      </w:tr>
      <w:tr w:rsidR="00A973CB" w:rsidRPr="00D90AFA" w14:paraId="146E511F" w14:textId="77777777" w:rsidTr="00607925">
        <w:tc>
          <w:tcPr>
            <w:tcW w:w="0" w:type="auto"/>
          </w:tcPr>
          <w:p w14:paraId="546BD809"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1801</w:t>
            </w:r>
          </w:p>
        </w:tc>
        <w:tc>
          <w:tcPr>
            <w:tcW w:w="0" w:type="auto"/>
          </w:tcPr>
          <w:p w14:paraId="484BAA5C"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92.0</w:t>
            </w:r>
          </w:p>
        </w:tc>
        <w:tc>
          <w:tcPr>
            <w:tcW w:w="0" w:type="auto"/>
          </w:tcPr>
          <w:p w14:paraId="19D36424"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25</w:t>
            </w:r>
          </w:p>
        </w:tc>
        <w:tc>
          <w:tcPr>
            <w:tcW w:w="0" w:type="auto"/>
          </w:tcPr>
          <w:p w14:paraId="5DB56EF3"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Yes</w:t>
            </w:r>
          </w:p>
        </w:tc>
      </w:tr>
      <w:tr w:rsidR="00A973CB" w:rsidRPr="00D90AFA" w14:paraId="2B1EE6ED" w14:textId="77777777" w:rsidTr="00607925">
        <w:tc>
          <w:tcPr>
            <w:tcW w:w="0" w:type="auto"/>
          </w:tcPr>
          <w:p w14:paraId="672ADADD"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1761</w:t>
            </w:r>
          </w:p>
        </w:tc>
        <w:tc>
          <w:tcPr>
            <w:tcW w:w="0" w:type="auto"/>
          </w:tcPr>
          <w:p w14:paraId="721B50DC"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91.7</w:t>
            </w:r>
          </w:p>
        </w:tc>
        <w:tc>
          <w:tcPr>
            <w:tcW w:w="0" w:type="auto"/>
          </w:tcPr>
          <w:p w14:paraId="1CF9FC70"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12</w:t>
            </w:r>
          </w:p>
        </w:tc>
        <w:tc>
          <w:tcPr>
            <w:tcW w:w="0" w:type="auto"/>
          </w:tcPr>
          <w:p w14:paraId="3D56198C"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Yes</w:t>
            </w:r>
          </w:p>
        </w:tc>
      </w:tr>
      <w:tr w:rsidR="00A973CB" w:rsidRPr="00D90AFA" w14:paraId="507EF80D" w14:textId="77777777" w:rsidTr="00607925">
        <w:tc>
          <w:tcPr>
            <w:tcW w:w="0" w:type="auto"/>
          </w:tcPr>
          <w:p w14:paraId="5B8DEE7C"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1808</w:t>
            </w:r>
          </w:p>
        </w:tc>
        <w:tc>
          <w:tcPr>
            <w:tcW w:w="0" w:type="auto"/>
          </w:tcPr>
          <w:p w14:paraId="6F02E376"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88.5</w:t>
            </w:r>
          </w:p>
        </w:tc>
        <w:tc>
          <w:tcPr>
            <w:tcW w:w="0" w:type="auto"/>
          </w:tcPr>
          <w:p w14:paraId="5CDD0C98"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26</w:t>
            </w:r>
          </w:p>
        </w:tc>
        <w:tc>
          <w:tcPr>
            <w:tcW w:w="0" w:type="auto"/>
          </w:tcPr>
          <w:p w14:paraId="2738FE42"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Yes</w:t>
            </w:r>
          </w:p>
        </w:tc>
      </w:tr>
      <w:tr w:rsidR="00A973CB" w:rsidRPr="00D90AFA" w14:paraId="6C16F12E" w14:textId="77777777" w:rsidTr="00607925">
        <w:tc>
          <w:tcPr>
            <w:tcW w:w="0" w:type="auto"/>
          </w:tcPr>
          <w:p w14:paraId="31FEEEE7"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1803</w:t>
            </w:r>
          </w:p>
        </w:tc>
        <w:tc>
          <w:tcPr>
            <w:tcW w:w="0" w:type="auto"/>
          </w:tcPr>
          <w:p w14:paraId="1C1FE824"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88.0</w:t>
            </w:r>
          </w:p>
        </w:tc>
        <w:tc>
          <w:tcPr>
            <w:tcW w:w="0" w:type="auto"/>
          </w:tcPr>
          <w:p w14:paraId="0F1966DA"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25</w:t>
            </w:r>
          </w:p>
        </w:tc>
        <w:tc>
          <w:tcPr>
            <w:tcW w:w="0" w:type="auto"/>
          </w:tcPr>
          <w:p w14:paraId="5C8B6E65"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Yes</w:t>
            </w:r>
          </w:p>
        </w:tc>
      </w:tr>
      <w:tr w:rsidR="00A973CB" w:rsidRPr="00D90AFA" w14:paraId="11FB686A" w14:textId="77777777" w:rsidTr="00607925">
        <w:tc>
          <w:tcPr>
            <w:tcW w:w="0" w:type="auto"/>
          </w:tcPr>
          <w:p w14:paraId="472F5F68"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1910</w:t>
            </w:r>
          </w:p>
        </w:tc>
        <w:tc>
          <w:tcPr>
            <w:tcW w:w="0" w:type="auto"/>
          </w:tcPr>
          <w:p w14:paraId="7F6BEF9F"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87.1</w:t>
            </w:r>
          </w:p>
        </w:tc>
        <w:tc>
          <w:tcPr>
            <w:tcW w:w="0" w:type="auto"/>
          </w:tcPr>
          <w:p w14:paraId="6AD4949B"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70</w:t>
            </w:r>
          </w:p>
        </w:tc>
        <w:tc>
          <w:tcPr>
            <w:tcW w:w="0" w:type="auto"/>
          </w:tcPr>
          <w:p w14:paraId="7855E33C"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Yes</w:t>
            </w:r>
          </w:p>
        </w:tc>
      </w:tr>
      <w:tr w:rsidR="00A973CB" w:rsidRPr="00D90AFA" w14:paraId="132508E0" w14:textId="77777777" w:rsidTr="00607925">
        <w:tc>
          <w:tcPr>
            <w:tcW w:w="0" w:type="auto"/>
          </w:tcPr>
          <w:p w14:paraId="74E16878"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1820</w:t>
            </w:r>
          </w:p>
        </w:tc>
        <w:tc>
          <w:tcPr>
            <w:tcW w:w="0" w:type="auto"/>
          </w:tcPr>
          <w:p w14:paraId="0671CC1E"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79.3</w:t>
            </w:r>
          </w:p>
        </w:tc>
        <w:tc>
          <w:tcPr>
            <w:tcW w:w="0" w:type="auto"/>
          </w:tcPr>
          <w:p w14:paraId="56B04C93"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29</w:t>
            </w:r>
          </w:p>
        </w:tc>
        <w:tc>
          <w:tcPr>
            <w:tcW w:w="0" w:type="auto"/>
          </w:tcPr>
          <w:p w14:paraId="44768DA7"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Yes</w:t>
            </w:r>
          </w:p>
        </w:tc>
      </w:tr>
      <w:tr w:rsidR="00A973CB" w:rsidRPr="00D90AFA" w14:paraId="651E0533" w14:textId="77777777" w:rsidTr="00607925">
        <w:tc>
          <w:tcPr>
            <w:tcW w:w="0" w:type="auto"/>
          </w:tcPr>
          <w:p w14:paraId="0ED23E9D"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1929</w:t>
            </w:r>
          </w:p>
        </w:tc>
        <w:tc>
          <w:tcPr>
            <w:tcW w:w="0" w:type="auto"/>
          </w:tcPr>
          <w:p w14:paraId="32B8BA38"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77.8</w:t>
            </w:r>
          </w:p>
        </w:tc>
        <w:tc>
          <w:tcPr>
            <w:tcW w:w="0" w:type="auto"/>
          </w:tcPr>
          <w:p w14:paraId="73CCBE1F"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81</w:t>
            </w:r>
          </w:p>
        </w:tc>
        <w:tc>
          <w:tcPr>
            <w:tcW w:w="0" w:type="auto"/>
          </w:tcPr>
          <w:p w14:paraId="10A6ABEB"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Yes</w:t>
            </w:r>
          </w:p>
        </w:tc>
      </w:tr>
      <w:tr w:rsidR="00A973CB" w:rsidRPr="00D90AFA" w14:paraId="4B203AB3" w14:textId="77777777" w:rsidTr="00607925">
        <w:tc>
          <w:tcPr>
            <w:tcW w:w="0" w:type="auto"/>
          </w:tcPr>
          <w:p w14:paraId="4BBA6386"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1919</w:t>
            </w:r>
          </w:p>
        </w:tc>
        <w:tc>
          <w:tcPr>
            <w:tcW w:w="0" w:type="auto"/>
          </w:tcPr>
          <w:p w14:paraId="4888D808"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77.3</w:t>
            </w:r>
          </w:p>
        </w:tc>
        <w:tc>
          <w:tcPr>
            <w:tcW w:w="0" w:type="auto"/>
          </w:tcPr>
          <w:p w14:paraId="44D48844"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75</w:t>
            </w:r>
          </w:p>
        </w:tc>
        <w:tc>
          <w:tcPr>
            <w:tcW w:w="0" w:type="auto"/>
          </w:tcPr>
          <w:p w14:paraId="287C7EFB"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Yes</w:t>
            </w:r>
          </w:p>
        </w:tc>
      </w:tr>
      <w:tr w:rsidR="00A973CB" w:rsidRPr="00D90AFA" w14:paraId="52B6C175" w14:textId="77777777" w:rsidTr="00607925">
        <w:tc>
          <w:tcPr>
            <w:tcW w:w="0" w:type="auto"/>
          </w:tcPr>
          <w:p w14:paraId="2E78C4DD"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1827</w:t>
            </w:r>
          </w:p>
        </w:tc>
        <w:tc>
          <w:tcPr>
            <w:tcW w:w="0" w:type="auto"/>
          </w:tcPr>
          <w:p w14:paraId="6A2511F9"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75.8</w:t>
            </w:r>
          </w:p>
        </w:tc>
        <w:tc>
          <w:tcPr>
            <w:tcW w:w="0" w:type="auto"/>
          </w:tcPr>
          <w:p w14:paraId="2B2F666F"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33</w:t>
            </w:r>
          </w:p>
        </w:tc>
        <w:tc>
          <w:tcPr>
            <w:tcW w:w="0" w:type="auto"/>
          </w:tcPr>
          <w:p w14:paraId="54797628"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Yes</w:t>
            </w:r>
          </w:p>
        </w:tc>
      </w:tr>
      <w:tr w:rsidR="00A973CB" w:rsidRPr="00D90AFA" w14:paraId="0D213D1C" w14:textId="77777777" w:rsidTr="00607925">
        <w:tc>
          <w:tcPr>
            <w:tcW w:w="0" w:type="auto"/>
          </w:tcPr>
          <w:p w14:paraId="4828990B"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2010</w:t>
            </w:r>
          </w:p>
        </w:tc>
        <w:tc>
          <w:tcPr>
            <w:tcW w:w="0" w:type="auto"/>
          </w:tcPr>
          <w:p w14:paraId="58841848"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73.3</w:t>
            </w:r>
          </w:p>
        </w:tc>
        <w:tc>
          <w:tcPr>
            <w:tcW w:w="0" w:type="auto"/>
          </w:tcPr>
          <w:p w14:paraId="5EA46177"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101</w:t>
            </w:r>
          </w:p>
        </w:tc>
        <w:tc>
          <w:tcPr>
            <w:tcW w:w="0" w:type="auto"/>
          </w:tcPr>
          <w:p w14:paraId="633BEDDE"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Yes</w:t>
            </w:r>
          </w:p>
        </w:tc>
      </w:tr>
      <w:tr w:rsidR="00A973CB" w:rsidRPr="00D90AFA" w14:paraId="13C7B9B7" w14:textId="77777777" w:rsidTr="00607925">
        <w:tc>
          <w:tcPr>
            <w:tcW w:w="0" w:type="auto"/>
          </w:tcPr>
          <w:p w14:paraId="4F321E62"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1776</w:t>
            </w:r>
          </w:p>
        </w:tc>
        <w:tc>
          <w:tcPr>
            <w:tcW w:w="0" w:type="auto"/>
          </w:tcPr>
          <w:p w14:paraId="50C46CD1"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70.6</w:t>
            </w:r>
          </w:p>
        </w:tc>
        <w:tc>
          <w:tcPr>
            <w:tcW w:w="0" w:type="auto"/>
          </w:tcPr>
          <w:p w14:paraId="1A8F7840"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17</w:t>
            </w:r>
          </w:p>
        </w:tc>
        <w:tc>
          <w:tcPr>
            <w:tcW w:w="0" w:type="auto"/>
          </w:tcPr>
          <w:p w14:paraId="0D04FF6D"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Yes</w:t>
            </w:r>
          </w:p>
        </w:tc>
      </w:tr>
      <w:tr w:rsidR="00A973CB" w:rsidRPr="00D90AFA" w14:paraId="7E7B1153" w14:textId="77777777" w:rsidTr="00607925">
        <w:tc>
          <w:tcPr>
            <w:tcW w:w="0" w:type="auto"/>
            <w:tcBorders>
              <w:bottom w:val="single" w:sz="4" w:space="0" w:color="auto"/>
            </w:tcBorders>
          </w:tcPr>
          <w:p w14:paraId="702C4F09"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1831</w:t>
            </w:r>
          </w:p>
        </w:tc>
        <w:tc>
          <w:tcPr>
            <w:tcW w:w="0" w:type="auto"/>
            <w:tcBorders>
              <w:bottom w:val="single" w:sz="4" w:space="0" w:color="auto"/>
            </w:tcBorders>
          </w:tcPr>
          <w:p w14:paraId="6EE0F6E4"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70.6</w:t>
            </w:r>
          </w:p>
        </w:tc>
        <w:tc>
          <w:tcPr>
            <w:tcW w:w="0" w:type="auto"/>
            <w:tcBorders>
              <w:bottom w:val="single" w:sz="4" w:space="0" w:color="auto"/>
            </w:tcBorders>
          </w:tcPr>
          <w:p w14:paraId="476C74F3"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34</w:t>
            </w:r>
          </w:p>
        </w:tc>
        <w:tc>
          <w:tcPr>
            <w:tcW w:w="0" w:type="auto"/>
            <w:tcBorders>
              <w:bottom w:val="single" w:sz="4" w:space="0" w:color="auto"/>
            </w:tcBorders>
          </w:tcPr>
          <w:p w14:paraId="26CF6C50" w14:textId="77777777" w:rsidR="00A973CB" w:rsidRPr="00D90AFA" w:rsidRDefault="00A973CB" w:rsidP="00607925">
            <w:pPr>
              <w:pStyle w:val="Compact"/>
              <w:jc w:val="both"/>
              <w:rPr>
                <w:rFonts w:ascii="Times New Roman" w:hAnsi="Times New Roman" w:cs="Times New Roman"/>
              </w:rPr>
            </w:pPr>
            <w:r w:rsidRPr="00D90AFA">
              <w:rPr>
                <w:rFonts w:ascii="Times New Roman" w:hAnsi="Times New Roman" w:cs="Times New Roman"/>
              </w:rPr>
              <w:t>Yes</w:t>
            </w:r>
          </w:p>
        </w:tc>
      </w:tr>
    </w:tbl>
    <w:p w14:paraId="52549C4E" w14:textId="77777777" w:rsidR="00A973CB" w:rsidRPr="00D90AFA" w:rsidRDefault="00A973CB" w:rsidP="00A973CB">
      <w:pPr>
        <w:pStyle w:val="BodyText"/>
        <w:jc w:val="both"/>
        <w:rPr>
          <w:rFonts w:ascii="Times New Roman" w:hAnsi="Times New Roman" w:cs="Times New Roman"/>
        </w:rPr>
      </w:pPr>
      <w:r w:rsidRPr="00D90AFA">
        <w:rPr>
          <w:rFonts w:ascii="Times New Roman" w:hAnsi="Times New Roman" w:cs="Times New Roman"/>
          <w:noProof/>
        </w:rPr>
        <w:drawing>
          <wp:inline distT="0" distB="0" distL="0" distR="0" wp14:anchorId="477B16E0" wp14:editId="5829761A">
            <wp:extent cx="5852160" cy="3449782"/>
            <wp:effectExtent l="0" t="0" r="0" b="0"/>
            <wp:docPr id="62" name="Picture"/>
            <wp:cNvGraphicFramePr/>
            <a:graphic xmlns:a="http://schemas.openxmlformats.org/drawingml/2006/main">
              <a:graphicData uri="http://schemas.openxmlformats.org/drawingml/2006/picture">
                <pic:pic xmlns:pic="http://schemas.openxmlformats.org/drawingml/2006/picture">
                  <pic:nvPicPr>
                    <pic:cNvPr id="63" name="Picture" descr="media/media/image7.png"/>
                    <pic:cNvPicPr>
                      <a:picLocks noChangeAspect="1" noChangeArrowheads="1"/>
                    </pic:cNvPicPr>
                  </pic:nvPicPr>
                  <pic:blipFill>
                    <a:blip r:embed="rId5"/>
                    <a:stretch>
                      <a:fillRect/>
                    </a:stretch>
                  </pic:blipFill>
                  <pic:spPr bwMode="auto">
                    <a:xfrm>
                      <a:off x="0" y="0"/>
                      <a:ext cx="5857796" cy="3453104"/>
                    </a:xfrm>
                    <a:prstGeom prst="rect">
                      <a:avLst/>
                    </a:prstGeom>
                    <a:noFill/>
                    <a:ln w="9525">
                      <a:noFill/>
                      <a:headEnd/>
                      <a:tailEnd/>
                    </a:ln>
                  </pic:spPr>
                </pic:pic>
              </a:graphicData>
            </a:graphic>
          </wp:inline>
        </w:drawing>
      </w:r>
    </w:p>
    <w:p w14:paraId="12FD3F9E" w14:textId="77777777" w:rsidR="00A973CB" w:rsidRPr="002B43ED" w:rsidRDefault="00A973CB" w:rsidP="00A973CB">
      <w:pPr>
        <w:pStyle w:val="BodyText"/>
        <w:jc w:val="both"/>
        <w:rPr>
          <w:rFonts w:ascii="Times New Roman" w:hAnsi="Times New Roman" w:cs="Times New Roman"/>
          <w:sz w:val="20"/>
          <w:szCs w:val="20"/>
        </w:rPr>
      </w:pPr>
      <w:r w:rsidRPr="002B43ED">
        <w:rPr>
          <w:rFonts w:ascii="Times New Roman" w:hAnsi="Times New Roman" w:cs="Times New Roman"/>
          <w:b/>
          <w:bCs/>
          <w:sz w:val="20"/>
          <w:szCs w:val="20"/>
        </w:rPr>
        <w:lastRenderedPageBreak/>
        <w:t>Figure S1.</w:t>
      </w:r>
      <w:r w:rsidRPr="002B43ED">
        <w:rPr>
          <w:rFonts w:ascii="Times New Roman" w:hAnsi="Times New Roman" w:cs="Times New Roman"/>
          <w:sz w:val="20"/>
          <w:szCs w:val="20"/>
        </w:rPr>
        <w:t xml:space="preserve"> Distribution comparison of actual versus reconstructed May mean temperature during the calibration period (1950–2022 CE). Kernel density estimates show that the reconstruction captures the modal temperature range reasonably well but produces a narrower, more sharply peaked distribution than the instrumental record and underestimates density in the extreme warm tail (&gt; 25°C). This is the expected signature of linear-regression variance attenuation in single-site dendroclimatic models (Cook et al., 1994; Cook et al., 1999) and is discussed critically, including its implications for interpreting modern-warmth claims, in Sections 4.3 and 5.2 of the main text.</w:t>
      </w:r>
    </w:p>
    <w:p w14:paraId="187E5DBA" w14:textId="77777777" w:rsidR="00A973CB" w:rsidRDefault="00A973CB" w:rsidP="00A973CB">
      <w:pPr>
        <w:pStyle w:val="BodyText"/>
        <w:jc w:val="both"/>
        <w:rPr>
          <w:rFonts w:ascii="Times New Roman" w:hAnsi="Times New Roman" w:cs="Times New Roman"/>
          <w:b/>
          <w:bCs/>
        </w:rPr>
      </w:pPr>
      <w:r w:rsidRPr="00D90AFA">
        <w:rPr>
          <w:rFonts w:ascii="Times New Roman" w:hAnsi="Times New Roman" w:cs="Times New Roman"/>
          <w:noProof/>
        </w:rPr>
        <w:drawing>
          <wp:inline distT="0" distB="0" distL="0" distR="0" wp14:anchorId="49A49E68" wp14:editId="4B5DE940">
            <wp:extent cx="5868785" cy="2876203"/>
            <wp:effectExtent l="0" t="0" r="0" b="0"/>
            <wp:docPr id="65" name="Picture"/>
            <wp:cNvGraphicFramePr/>
            <a:graphic xmlns:a="http://schemas.openxmlformats.org/drawingml/2006/main">
              <a:graphicData uri="http://schemas.openxmlformats.org/drawingml/2006/picture">
                <pic:pic xmlns:pic="http://schemas.openxmlformats.org/drawingml/2006/picture">
                  <pic:nvPicPr>
                    <pic:cNvPr id="66" name="Picture" descr="media/media/image8.png"/>
                    <pic:cNvPicPr>
                      <a:picLocks noChangeAspect="1" noChangeArrowheads="1"/>
                    </pic:cNvPicPr>
                  </pic:nvPicPr>
                  <pic:blipFill>
                    <a:blip r:embed="rId6"/>
                    <a:stretch>
                      <a:fillRect/>
                    </a:stretch>
                  </pic:blipFill>
                  <pic:spPr bwMode="auto">
                    <a:xfrm>
                      <a:off x="0" y="0"/>
                      <a:ext cx="5875642" cy="2879563"/>
                    </a:xfrm>
                    <a:prstGeom prst="rect">
                      <a:avLst/>
                    </a:prstGeom>
                    <a:noFill/>
                    <a:ln w="9525">
                      <a:noFill/>
                      <a:headEnd/>
                      <a:tailEnd/>
                    </a:ln>
                  </pic:spPr>
                </pic:pic>
              </a:graphicData>
            </a:graphic>
          </wp:inline>
        </w:drawing>
      </w:r>
    </w:p>
    <w:p w14:paraId="42DE6D6E" w14:textId="77777777" w:rsidR="00A973CB" w:rsidRPr="002B43ED" w:rsidRDefault="00A973CB" w:rsidP="00A973CB">
      <w:pPr>
        <w:pStyle w:val="BodyText"/>
        <w:jc w:val="both"/>
        <w:rPr>
          <w:rFonts w:ascii="Times New Roman" w:hAnsi="Times New Roman" w:cs="Times New Roman"/>
          <w:sz w:val="20"/>
          <w:szCs w:val="20"/>
        </w:rPr>
      </w:pPr>
      <w:r w:rsidRPr="002B43ED">
        <w:rPr>
          <w:rFonts w:ascii="Times New Roman" w:hAnsi="Times New Roman" w:cs="Times New Roman"/>
          <w:b/>
          <w:bCs/>
          <w:sz w:val="20"/>
          <w:szCs w:val="20"/>
        </w:rPr>
        <w:t>Figure S2.</w:t>
      </w:r>
      <w:r w:rsidRPr="002B43ED">
        <w:rPr>
          <w:rFonts w:ascii="Times New Roman" w:hAnsi="Times New Roman" w:cs="Times New Roman"/>
          <w:sz w:val="20"/>
          <w:szCs w:val="20"/>
        </w:rPr>
        <w:t xml:space="preserve"> Temporal stability of the climate-growth relationship. Points show the 31-year sliding-window Pearson correlation </w:t>
      </w:r>
      <w:r w:rsidRPr="002B43ED">
        <w:rPr>
          <w:rFonts w:ascii="Times New Roman" w:hAnsi="Times New Roman" w:cs="Times New Roman"/>
          <w:i/>
          <w:iCs/>
          <w:sz w:val="20"/>
          <w:szCs w:val="20"/>
        </w:rPr>
        <w:t>(r)</w:t>
      </w:r>
      <w:r w:rsidRPr="002B43ED">
        <w:rPr>
          <w:rFonts w:ascii="Times New Roman" w:hAnsi="Times New Roman" w:cs="Times New Roman"/>
          <w:sz w:val="20"/>
          <w:szCs w:val="20"/>
        </w:rPr>
        <w:t xml:space="preserve"> between the </w:t>
      </w:r>
      <w:r w:rsidRPr="002B43ED">
        <w:rPr>
          <w:rFonts w:ascii="Times New Roman" w:hAnsi="Times New Roman" w:cs="Times New Roman"/>
          <w:i/>
          <w:iCs/>
          <w:sz w:val="20"/>
          <w:szCs w:val="20"/>
        </w:rPr>
        <w:t>Juniperus excelsa</w:t>
      </w:r>
      <w:r w:rsidRPr="002B43ED">
        <w:rPr>
          <w:rFonts w:ascii="Times New Roman" w:hAnsi="Times New Roman" w:cs="Times New Roman"/>
          <w:sz w:val="20"/>
          <w:szCs w:val="20"/>
        </w:rPr>
        <w:t xml:space="preserve"> master chronology and CRU TS4.07 May mean temperature, centered on the year given on the x-axis, over the continuous instrumental period (1950–2022). The shaded band indicates the region where correlations do not reach the </w:t>
      </w:r>
      <w:r w:rsidRPr="002B43ED">
        <w:rPr>
          <w:rFonts w:ascii="Times New Roman" w:hAnsi="Times New Roman" w:cs="Times New Roman"/>
          <w:i/>
          <w:iCs/>
          <w:sz w:val="20"/>
          <w:szCs w:val="20"/>
        </w:rPr>
        <w:t>p</w:t>
      </w:r>
      <w:r w:rsidRPr="002B43ED">
        <w:rPr>
          <w:rFonts w:ascii="Times New Roman" w:hAnsi="Times New Roman" w:cs="Times New Roman"/>
          <w:sz w:val="20"/>
          <w:szCs w:val="20"/>
        </w:rPr>
        <w:t>&lt;0.05 significance threshold. Correlations are weak and inconsistent for windows centered before the mid-1970s, strengthen sharply for windows centered from the mid-to-late 1970s onward, and reach r ≈ −0.55 to −0.66 for most windows centered from the mid-1980s through the 2000s. As discussed in Section 4.5 of the main text, we interpret this most parsimoniously as a warming-driven physiological threshold response, while noting that chronic anthropogenic disturbance over the same period is a plausible, non-exclusive compounding factor that this analysis alone cannot exclude.</w:t>
      </w:r>
    </w:p>
    <w:p w14:paraId="6A18EC06" w14:textId="77777777" w:rsidR="00A973CB" w:rsidRDefault="00A973CB" w:rsidP="00A973CB">
      <w:pPr>
        <w:pStyle w:val="BodyText"/>
        <w:jc w:val="both"/>
        <w:rPr>
          <w:rFonts w:ascii="Times New Roman" w:hAnsi="Times New Roman" w:cs="Times New Roman"/>
          <w:b/>
          <w:bCs/>
        </w:rPr>
      </w:pPr>
      <w:r w:rsidRPr="00D90AFA">
        <w:rPr>
          <w:rFonts w:ascii="Times New Roman" w:hAnsi="Times New Roman" w:cs="Times New Roman"/>
          <w:noProof/>
        </w:rPr>
        <w:drawing>
          <wp:inline distT="0" distB="0" distL="0" distR="0" wp14:anchorId="6CCA248C" wp14:editId="21E90912">
            <wp:extent cx="5810596" cy="2385753"/>
            <wp:effectExtent l="0" t="0" r="0" b="0"/>
            <wp:docPr id="68" name="Picture"/>
            <wp:cNvGraphicFramePr/>
            <a:graphic xmlns:a="http://schemas.openxmlformats.org/drawingml/2006/main">
              <a:graphicData uri="http://schemas.openxmlformats.org/drawingml/2006/picture">
                <pic:pic xmlns:pic="http://schemas.openxmlformats.org/drawingml/2006/picture">
                  <pic:nvPicPr>
                    <pic:cNvPr id="69" name="Picture" descr="media/media/image9.png"/>
                    <pic:cNvPicPr>
                      <a:picLocks noChangeAspect="1" noChangeArrowheads="1"/>
                    </pic:cNvPicPr>
                  </pic:nvPicPr>
                  <pic:blipFill>
                    <a:blip r:embed="rId7"/>
                    <a:stretch>
                      <a:fillRect/>
                    </a:stretch>
                  </pic:blipFill>
                  <pic:spPr bwMode="auto">
                    <a:xfrm>
                      <a:off x="0" y="0"/>
                      <a:ext cx="5819534" cy="2389423"/>
                    </a:xfrm>
                    <a:prstGeom prst="rect">
                      <a:avLst/>
                    </a:prstGeom>
                    <a:noFill/>
                    <a:ln w="9525">
                      <a:noFill/>
                      <a:headEnd/>
                      <a:tailEnd/>
                    </a:ln>
                  </pic:spPr>
                </pic:pic>
              </a:graphicData>
            </a:graphic>
          </wp:inline>
        </w:drawing>
      </w:r>
    </w:p>
    <w:p w14:paraId="5923A4EE" w14:textId="77777777" w:rsidR="00A973CB" w:rsidRPr="002B43ED" w:rsidRDefault="00A973CB" w:rsidP="00A973CB">
      <w:pPr>
        <w:pStyle w:val="BodyText"/>
        <w:jc w:val="both"/>
        <w:rPr>
          <w:rFonts w:ascii="Times New Roman" w:hAnsi="Times New Roman" w:cs="Times New Roman"/>
          <w:sz w:val="20"/>
          <w:szCs w:val="20"/>
        </w:rPr>
      </w:pPr>
      <w:r w:rsidRPr="002B43ED">
        <w:rPr>
          <w:rFonts w:ascii="Times New Roman" w:hAnsi="Times New Roman" w:cs="Times New Roman"/>
          <w:b/>
          <w:bCs/>
          <w:sz w:val="20"/>
          <w:szCs w:val="20"/>
        </w:rPr>
        <w:t>Figure S3.</w:t>
      </w:r>
      <w:r w:rsidRPr="002B43ED">
        <w:rPr>
          <w:rFonts w:ascii="Times New Roman" w:hAnsi="Times New Roman" w:cs="Times New Roman"/>
          <w:sz w:val="20"/>
          <w:szCs w:val="20"/>
        </w:rPr>
        <w:t xml:space="preserve"> Full-length Ziarat May temperature reconstruction, 1523–2023 CE. The shaded band (1523–c.1700 CE) marks the exploratory, EPS &lt; 0.85 interval in which sample depth falls below the 10–15-series threshold required for </w:t>
      </w:r>
      <w:r w:rsidRPr="002B43ED">
        <w:rPr>
          <w:rFonts w:ascii="Times New Roman" w:hAnsi="Times New Roman" w:cs="Times New Roman"/>
          <w:sz w:val="20"/>
          <w:szCs w:val="20"/>
        </w:rPr>
        <w:lastRenderedPageBreak/>
        <w:t>reliable paleoclimate interpretation (as low as a single tree before c. 1650 CE; Fig. 3b); no quantitative climatic conclusion in the main text is drawn from this shaded interval. The unshaded 1700–2023 CE portion is the robust record presented as Fig. 5 in the main text. This figure is provided so that the full multi-century pattern remains visible and available for comparison with other regional records, while keeping the distinction between exploratory and robust intervals explicit</w:t>
      </w:r>
      <w:bookmarkEnd w:id="0"/>
      <w:r>
        <w:rPr>
          <w:rFonts w:ascii="Times New Roman" w:hAnsi="Times New Roman" w:cs="Times New Roman"/>
          <w:sz w:val="20"/>
          <w:szCs w:val="20"/>
        </w:rPr>
        <w:t>.</w:t>
      </w:r>
    </w:p>
    <w:p w14:paraId="0223D7C1" w14:textId="77777777" w:rsidR="00E81627" w:rsidRDefault="00E81627"/>
    <w:sectPr w:rsidR="00E81627" w:rsidSect="00A973C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503"/>
    <w:rsid w:val="001F005A"/>
    <w:rsid w:val="004A2819"/>
    <w:rsid w:val="00757019"/>
    <w:rsid w:val="00757DB8"/>
    <w:rsid w:val="00764DBC"/>
    <w:rsid w:val="00A973CB"/>
    <w:rsid w:val="00C34658"/>
    <w:rsid w:val="00D66503"/>
    <w:rsid w:val="00E816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E9812"/>
  <w15:chartTrackingRefBased/>
  <w15:docId w15:val="{22193CC4-E76D-4954-8A5B-FE9F75B60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73CB"/>
    <w:pPr>
      <w:spacing w:after="200" w:line="240" w:lineRule="auto"/>
    </w:pPr>
    <w:rPr>
      <w:kern w:val="0"/>
      <w14:ligatures w14:val="none"/>
    </w:rPr>
  </w:style>
  <w:style w:type="paragraph" w:styleId="Heading1">
    <w:name w:val="heading 1"/>
    <w:basedOn w:val="Normal"/>
    <w:next w:val="Normal"/>
    <w:link w:val="Heading1Char"/>
    <w:uiPriority w:val="9"/>
    <w:qFormat/>
    <w:rsid w:val="00D6650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D6650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6650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66503"/>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66503"/>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66503"/>
    <w:pPr>
      <w:keepNext/>
      <w:keepLines/>
      <w:spacing w:before="40" w:after="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66503"/>
    <w:pPr>
      <w:keepNext/>
      <w:keepLines/>
      <w:spacing w:before="40" w:after="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66503"/>
    <w:pPr>
      <w:keepNext/>
      <w:keepLines/>
      <w:spacing w:after="0"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66503"/>
    <w:pPr>
      <w:keepNext/>
      <w:keepLines/>
      <w:spacing w:after="0"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65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65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65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65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65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65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65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65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6503"/>
    <w:rPr>
      <w:rFonts w:eastAsiaTheme="majorEastAsia" w:cstheme="majorBidi"/>
      <w:color w:val="272727" w:themeColor="text1" w:themeTint="D8"/>
    </w:rPr>
  </w:style>
  <w:style w:type="paragraph" w:styleId="Title">
    <w:name w:val="Title"/>
    <w:basedOn w:val="Normal"/>
    <w:next w:val="Normal"/>
    <w:link w:val="TitleChar"/>
    <w:uiPriority w:val="10"/>
    <w:qFormat/>
    <w:rsid w:val="00D6650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665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650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665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6503"/>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D66503"/>
    <w:rPr>
      <w:i/>
      <w:iCs/>
      <w:color w:val="404040" w:themeColor="text1" w:themeTint="BF"/>
    </w:rPr>
  </w:style>
  <w:style w:type="paragraph" w:styleId="ListParagraph">
    <w:name w:val="List Paragraph"/>
    <w:basedOn w:val="Normal"/>
    <w:uiPriority w:val="34"/>
    <w:qFormat/>
    <w:rsid w:val="00D66503"/>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D66503"/>
    <w:rPr>
      <w:i/>
      <w:iCs/>
      <w:color w:val="0F4761" w:themeColor="accent1" w:themeShade="BF"/>
    </w:rPr>
  </w:style>
  <w:style w:type="paragraph" w:styleId="IntenseQuote">
    <w:name w:val="Intense Quote"/>
    <w:basedOn w:val="Normal"/>
    <w:next w:val="Normal"/>
    <w:link w:val="IntenseQuoteChar"/>
    <w:uiPriority w:val="30"/>
    <w:qFormat/>
    <w:rsid w:val="00D6650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66503"/>
    <w:rPr>
      <w:i/>
      <w:iCs/>
      <w:color w:val="0F4761" w:themeColor="accent1" w:themeShade="BF"/>
    </w:rPr>
  </w:style>
  <w:style w:type="character" w:styleId="IntenseReference">
    <w:name w:val="Intense Reference"/>
    <w:basedOn w:val="DefaultParagraphFont"/>
    <w:uiPriority w:val="32"/>
    <w:qFormat/>
    <w:rsid w:val="00D66503"/>
    <w:rPr>
      <w:b/>
      <w:bCs/>
      <w:smallCaps/>
      <w:color w:val="0F4761" w:themeColor="accent1" w:themeShade="BF"/>
      <w:spacing w:val="5"/>
    </w:rPr>
  </w:style>
  <w:style w:type="paragraph" w:styleId="BodyText">
    <w:name w:val="Body Text"/>
    <w:basedOn w:val="Normal"/>
    <w:link w:val="BodyTextChar"/>
    <w:qFormat/>
    <w:rsid w:val="00A973CB"/>
    <w:pPr>
      <w:spacing w:before="180" w:after="180"/>
    </w:pPr>
  </w:style>
  <w:style w:type="character" w:customStyle="1" w:styleId="BodyTextChar">
    <w:name w:val="Body Text Char"/>
    <w:basedOn w:val="DefaultParagraphFont"/>
    <w:link w:val="BodyText"/>
    <w:rsid w:val="00A973CB"/>
    <w:rPr>
      <w:kern w:val="0"/>
      <w14:ligatures w14:val="none"/>
    </w:rPr>
  </w:style>
  <w:style w:type="paragraph" w:customStyle="1" w:styleId="FirstParagraph">
    <w:name w:val="First Paragraph"/>
    <w:basedOn w:val="BodyText"/>
    <w:next w:val="BodyText"/>
    <w:qFormat/>
    <w:rsid w:val="00A973CB"/>
  </w:style>
  <w:style w:type="paragraph" w:customStyle="1" w:styleId="Compact">
    <w:name w:val="Compact"/>
    <w:basedOn w:val="BodyText"/>
    <w:qFormat/>
    <w:rsid w:val="00A973CB"/>
    <w:pPr>
      <w:spacing w:before="36" w:after="36"/>
    </w:pPr>
  </w:style>
  <w:style w:type="table" w:customStyle="1" w:styleId="Table">
    <w:name w:val="Table"/>
    <w:semiHidden/>
    <w:unhideWhenUsed/>
    <w:qFormat/>
    <w:rsid w:val="00A973CB"/>
    <w:pPr>
      <w:spacing w:after="200" w:line="240" w:lineRule="auto"/>
    </w:pPr>
    <w:rPr>
      <w:kern w:val="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1ACC4-AD27-496B-B5A8-3BEE096BC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Mehvish Majeed</dc:creator>
  <cp:keywords/>
  <dc:description/>
  <cp:lastModifiedBy>Mehvish Majeed</cp:lastModifiedBy>
  <cp:revision>4</cp:revision>
  <dcterms:created xsi:type="dcterms:W3CDTF">2026-07-04T22:05:00Z</dcterms:created>
  <dcterms:modified xsi:type="dcterms:W3CDTF">2026-08-14T22:45:00Z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62dea56f-4d78-4de6-b16a-cbd42f3d93ad</vt:lpwstr>
  </property>
</Properties>
</file>