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38805">
      <w:pPr>
        <w:spacing w:line="480" w:lineRule="auto"/>
        <w:jc w:val="center"/>
        <w:rPr>
          <w:rFonts w:ascii="Times New Roman" w:hAnsi="Times New Roman" w:eastAsia="宋体"/>
          <w:b/>
          <w:bCs/>
          <w:sz w:val="24"/>
          <w:szCs w:val="24"/>
        </w:rPr>
      </w:pPr>
      <w:r>
        <w:rPr>
          <w:rFonts w:ascii="Times New Roman" w:hAnsi="Times New Roman" w:eastAsia="宋体"/>
          <w:b/>
          <w:bCs/>
          <w:sz w:val="24"/>
          <w:szCs w:val="24"/>
        </w:rPr>
        <w:t>Supplementary Information for:</w:t>
      </w:r>
    </w:p>
    <w:p w14:paraId="1C27A6D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left"/>
        <w:textAlignment w:val="auto"/>
        <w:rPr>
          <w:rFonts w:hint="eastAsia" w:ascii="Times New Roman" w:hAnsi="Times New Roman" w:cs="Times New Roman" w:eastAsia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b/>
          <w:bCs/>
          <w:kern w:val="2"/>
          <w:sz w:val="28"/>
          <w:szCs w:val="28"/>
          <w:lang w:val="en-US" w:eastAsia="zh-CN" w:bidi="ar-SA"/>
        </w:rPr>
        <w:t>Increasing coldward shift of karst vegetation carbon sink driven by climate warming</w:t>
      </w:r>
    </w:p>
    <w:p w14:paraId="666C2BB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left"/>
        <w:textAlignment w:val="auto"/>
        <w:rPr>
          <w:rFonts w:hint="eastAsia" w:ascii="Times New Roman" w:hAnsi="Times New Roman" w:cs="Times New Roman" w:eastAsiaTheme="minorEastAsia"/>
          <w:b/>
          <w:bCs/>
          <w:kern w:val="2"/>
          <w:sz w:val="28"/>
          <w:szCs w:val="28"/>
          <w:lang w:val="en-US" w:eastAsia="zh-CN" w:bidi="ar-SA"/>
        </w:rPr>
      </w:pPr>
    </w:p>
    <w:p w14:paraId="74A40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宋体"/>
          <w:b/>
          <w:bCs/>
          <w:szCs w:val="21"/>
          <w:lang w:val="en-US" w:eastAsia="zh-CN"/>
        </w:rPr>
        <w:t>Supplementary</w:t>
      </w:r>
      <w:r>
        <w:rPr>
          <w:rFonts w:hint="eastAsia" w:ascii="Times New Roman" w:hAnsi="Times New Roman" w:eastAsia="宋体"/>
          <w:b/>
          <w:bCs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/>
          <w:b/>
          <w:bCs/>
          <w:szCs w:val="21"/>
          <w:lang w:val="en-GB" w:eastAsia="zh-CN"/>
        </w:rPr>
        <w:t>Table S1</w:t>
      </w:r>
      <w:r>
        <w:rPr>
          <w:rFonts w:hint="eastAsia" w:ascii="Times New Roman" w:hAnsi="Times New Roman" w:eastAsia="宋体"/>
          <w:b/>
          <w:bCs/>
          <w:szCs w:val="21"/>
          <w:lang w:val="en-US" w:eastAsia="zh-CN"/>
        </w:rPr>
        <w:t xml:space="preserve">. </w:t>
      </w:r>
      <w:r>
        <w:rPr>
          <w:rFonts w:hint="default" w:ascii="Times New Roman" w:hAnsi="Times New Roman" w:eastAsia="宋体"/>
          <w:b w:val="0"/>
          <w:bCs w:val="0"/>
          <w:szCs w:val="21"/>
          <w:lang w:val="en-GB" w:eastAsia="zh-CN"/>
        </w:rPr>
        <w:t>Fit indices of structural equation models across different warm–cold dimensions</w:t>
      </w:r>
      <w:r>
        <w:rPr>
          <w:rFonts w:hint="eastAsia" w:ascii="Times New Roman" w:hAnsi="Times New Roman" w:eastAsia="宋体"/>
          <w:b w:val="0"/>
          <w:bCs w:val="0"/>
          <w:szCs w:val="21"/>
          <w:lang w:val="en-US" w:eastAsia="zh-CN"/>
        </w:rPr>
        <w:t>.</w:t>
      </w:r>
    </w:p>
    <w:p w14:paraId="588D4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eastAsia="宋体"/>
          <w:b/>
          <w:bCs/>
          <w:szCs w:val="21"/>
          <w:lang w:val="en-US" w:eastAsia="zh-CN"/>
        </w:rPr>
        <w:t>Supplementary</w:t>
      </w:r>
      <w:r>
        <w:rPr>
          <w:rFonts w:hint="eastAsia" w:ascii="Times New Roman" w:hAnsi="Times New Roman" w:eastAsia="宋体"/>
          <w:b/>
          <w:bCs/>
          <w:szCs w:val="21"/>
          <w:lang w:val="en-US" w:eastAsia="zh-CN"/>
        </w:rPr>
        <w:t xml:space="preserve"> Table S2.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Direct, indirect, and total effects of climate factors on NPP across different dimensions.</w:t>
      </w:r>
    </w:p>
    <w:p w14:paraId="25804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 w:val="0"/>
          <w:bCs w:val="0"/>
          <w:szCs w:val="21"/>
          <w:lang w:val="en-US" w:eastAsia="zh-CN"/>
        </w:rPr>
      </w:pPr>
      <w:r>
        <w:rPr>
          <w:rFonts w:ascii="Times New Roman" w:hAnsi="Times New Roman" w:eastAsia="宋体"/>
          <w:b/>
          <w:bCs/>
          <w:szCs w:val="21"/>
        </w:rPr>
        <w:t xml:space="preserve">Supplementary </w:t>
      </w:r>
      <w:r>
        <w:rPr>
          <w:rFonts w:hint="default" w:ascii="Times New Roman" w:hAnsi="Times New Roman" w:eastAsia="宋体"/>
          <w:b/>
          <w:bCs/>
          <w:szCs w:val="21"/>
          <w:lang w:val="en-US" w:eastAsia="zh-CN"/>
        </w:rPr>
        <w:t>Fig</w:t>
      </w:r>
      <w:r>
        <w:rPr>
          <w:rFonts w:hint="eastAsia" w:ascii="Times New Roman" w:hAnsi="Times New Roman" w:eastAsia="宋体"/>
          <w:b/>
          <w:bCs/>
          <w:szCs w:val="21"/>
          <w:lang w:val="en-US" w:eastAsia="zh-CN"/>
        </w:rPr>
        <w:t>. S1</w:t>
      </w:r>
      <w:r>
        <w:rPr>
          <w:rFonts w:ascii="Times New Roman" w:hAnsi="Times New Roman" w:eastAsia="宋体"/>
          <w:b/>
          <w:bCs/>
          <w:szCs w:val="21"/>
        </w:rPr>
        <w:t>.</w:t>
      </w:r>
      <w:r>
        <w:rPr>
          <w:rFonts w:hint="eastAsia" w:ascii="Times New Roman" w:hAnsi="Times New Roman" w:eastAsia="宋体"/>
          <w:b/>
          <w:bCs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szCs w:val="21"/>
          <w:lang w:val="en-US" w:eastAsia="zh-CN"/>
        </w:rPr>
        <w:t>Spatial trends of annual precipitation and temperature under historical and future climate scenarios.</w:t>
      </w:r>
    </w:p>
    <w:p w14:paraId="09DFE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b w:val="0"/>
          <w:bCs w:val="0"/>
          <w:szCs w:val="21"/>
          <w:lang w:val="en-US" w:eastAsia="zh-CN"/>
        </w:rPr>
      </w:pPr>
      <w:r>
        <w:rPr>
          <w:rFonts w:ascii="Times New Roman" w:hAnsi="Times New Roman" w:eastAsia="宋体"/>
          <w:b/>
          <w:bCs/>
          <w:szCs w:val="21"/>
        </w:rPr>
        <w:t>Supplementary</w:t>
      </w:r>
      <w:r>
        <w:rPr>
          <w:rFonts w:hint="eastAsia" w:ascii="Times New Roman" w:hAnsi="Times New Roman" w:eastAsia="宋体"/>
          <w:b/>
          <w:bCs/>
          <w:szCs w:val="21"/>
          <w:lang w:val="en-US" w:eastAsia="zh-CN"/>
        </w:rPr>
        <w:t xml:space="preserve"> Fig. S2.</w:t>
      </w:r>
      <w:r>
        <w:rPr>
          <w:rFonts w:hint="eastAsia" w:ascii="Times New Roman" w:hAnsi="Times New Roman" w:eastAsia="宋体"/>
          <w:b w:val="0"/>
          <w:bCs w:val="0"/>
          <w:szCs w:val="21"/>
          <w:lang w:val="en-US" w:eastAsia="zh-CN"/>
        </w:rPr>
        <w:t xml:space="preserve"> Spatial distribution of slope-aspect classes in the karst trough valley.</w:t>
      </w:r>
    </w:p>
    <w:p w14:paraId="27BA1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ascii="Times New Roman" w:hAnsi="Times New Roman" w:eastAsia="宋体"/>
          <w:b/>
          <w:bCs/>
          <w:szCs w:val="21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Fig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. S3</w:t>
      </w:r>
      <w:r>
        <w:rPr>
          <w:rFonts w:ascii="Times New Roman" w:hAnsi="Times New Roman" w:eastAsia="宋体"/>
          <w:b/>
          <w:bCs/>
          <w:szCs w:val="21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Spatial patterns of environmental factors during 2000–2020.</w:t>
      </w:r>
    </w:p>
    <w:p w14:paraId="357FA534">
      <w:pPr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br w:type="page"/>
      </w:r>
      <w:bookmarkStart w:id="0" w:name="_GoBack"/>
      <w:bookmarkEnd w:id="0"/>
    </w:p>
    <w:p w14:paraId="310C9E1E">
      <w:pPr>
        <w:jc w:val="both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eastAsia="Helvetica" w:cs="Times New Roman"/>
          <w:b/>
          <w:bCs/>
          <w:color w:val="000000"/>
          <w:kern w:val="2"/>
          <w:sz w:val="24"/>
          <w:szCs w:val="22"/>
          <w:lang w:val="en-GB" w:eastAsia="zh-CN" w:bidi="ar-SA"/>
        </w:rPr>
        <w:t>Table S1</w:t>
      </w:r>
      <w:r>
        <w:rPr>
          <w:rFonts w:hint="eastAsia" w:eastAsia="Helvetica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  <w:t>.</w:t>
      </w:r>
      <w:r>
        <w:rPr>
          <w:rFonts w:hint="eastAsia" w:eastAsia="Helvetica" w:cs="Times New Roman"/>
          <w:b w:val="0"/>
          <w:bCs w:val="0"/>
          <w:color w:val="000000"/>
          <w:kern w:val="2"/>
          <w:sz w:val="24"/>
          <w:szCs w:val="22"/>
          <w:lang w:val="en-US" w:eastAsia="zh-CN" w:bidi="ar-SA"/>
        </w:rPr>
        <w:t xml:space="preserve"> </w:t>
      </w:r>
      <w:r>
        <w:rPr>
          <w:rFonts w:hint="default" w:ascii="Times New Roman" w:hAnsi="Times New Roman" w:eastAsia="Helvetica" w:cs="Times New Roman"/>
          <w:b w:val="0"/>
          <w:bCs w:val="0"/>
          <w:color w:val="000000"/>
          <w:kern w:val="2"/>
          <w:sz w:val="24"/>
          <w:szCs w:val="22"/>
          <w:lang w:val="en-GB" w:eastAsia="zh-CN" w:bidi="ar-SA"/>
        </w:rPr>
        <w:t>Fit indices of structural equation models across different warm–cold dimensions</w:t>
      </w:r>
      <w:r>
        <w:rPr>
          <w:rFonts w:hint="eastAsia" w:eastAsia="Helvetica" w:cs="Times New Roman"/>
          <w:b w:val="0"/>
          <w:bCs w:val="0"/>
          <w:color w:val="000000"/>
          <w:kern w:val="2"/>
          <w:sz w:val="24"/>
          <w:szCs w:val="22"/>
          <w:lang w:val="en-US" w:eastAsia="zh-CN" w:bidi="ar-SA"/>
        </w:rPr>
        <w:t>.</w:t>
      </w:r>
    </w:p>
    <w:tbl>
      <w:tblPr>
        <w:tblStyle w:val="6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1413"/>
        <w:gridCol w:w="833"/>
        <w:gridCol w:w="833"/>
        <w:gridCol w:w="996"/>
        <w:gridCol w:w="1083"/>
        <w:gridCol w:w="969"/>
      </w:tblGrid>
      <w:tr w14:paraId="0D999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361CE5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Model</w:t>
            </w:r>
          </w:p>
        </w:tc>
        <w:tc>
          <w:tcPr>
            <w:tcW w:w="84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F20FD6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CMIN/DF</w:t>
            </w:r>
          </w:p>
        </w:tc>
        <w:tc>
          <w:tcPr>
            <w:tcW w:w="50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007EEA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GFI</w:t>
            </w:r>
          </w:p>
        </w:tc>
        <w:tc>
          <w:tcPr>
            <w:tcW w:w="50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FA4C24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IFI</w:t>
            </w:r>
          </w:p>
        </w:tc>
        <w:tc>
          <w:tcPr>
            <w:tcW w:w="58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1E5D8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AIC</w:t>
            </w:r>
          </w:p>
        </w:tc>
        <w:tc>
          <w:tcPr>
            <w:tcW w:w="58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5393A0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RMSEA</w:t>
            </w:r>
          </w:p>
        </w:tc>
        <w:tc>
          <w:tcPr>
            <w:tcW w:w="58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24BB7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SRMR</w:t>
            </w:r>
          </w:p>
        </w:tc>
      </w:tr>
      <w:tr w14:paraId="58AA3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3A8B26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Sunny slope NPP</w:t>
            </w:r>
          </w:p>
        </w:tc>
        <w:tc>
          <w:tcPr>
            <w:tcW w:w="840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AC7D7D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1.59</w:t>
            </w:r>
          </w:p>
        </w:tc>
        <w:tc>
          <w:tcPr>
            <w:tcW w:w="500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9617C6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0.96</w:t>
            </w:r>
          </w:p>
        </w:tc>
        <w:tc>
          <w:tcPr>
            <w:tcW w:w="500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E9E6A9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0.96</w:t>
            </w:r>
          </w:p>
        </w:tc>
        <w:tc>
          <w:tcPr>
            <w:tcW w:w="580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48B8B1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216.65</w:t>
            </w:r>
          </w:p>
        </w:tc>
        <w:tc>
          <w:tcPr>
            <w:tcW w:w="580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842C6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0.17</w:t>
            </w:r>
          </w:p>
        </w:tc>
        <w:tc>
          <w:tcPr>
            <w:tcW w:w="580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BC28DF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0.09</w:t>
            </w:r>
          </w:p>
        </w:tc>
      </w:tr>
      <w:tr w14:paraId="10309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pct"/>
            <w:shd w:val="clear" w:color="auto" w:fill="auto"/>
            <w:vAlign w:val="center"/>
          </w:tcPr>
          <w:p w14:paraId="139416B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Shady slope NPP</w:t>
            </w:r>
          </w:p>
        </w:tc>
        <w:tc>
          <w:tcPr>
            <w:tcW w:w="840" w:type="pct"/>
            <w:shd w:val="clear" w:color="auto" w:fill="auto"/>
            <w:vAlign w:val="center"/>
          </w:tcPr>
          <w:p w14:paraId="3449CD4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1.76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5B05404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0.95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614B9AD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0.94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70573E1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222.35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2F819D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0.19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4FD5ABA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0.09</w:t>
            </w:r>
          </w:p>
        </w:tc>
      </w:tr>
      <w:tr w14:paraId="40581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pct"/>
            <w:shd w:val="clear" w:color="auto" w:fill="auto"/>
            <w:vAlign w:val="center"/>
          </w:tcPr>
          <w:p w14:paraId="7E57360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Aboveground NPP</w:t>
            </w:r>
          </w:p>
        </w:tc>
        <w:tc>
          <w:tcPr>
            <w:tcW w:w="840" w:type="pct"/>
            <w:shd w:val="clear" w:color="auto" w:fill="auto"/>
            <w:vAlign w:val="center"/>
          </w:tcPr>
          <w:p w14:paraId="25FB78C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0.80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0783827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0.95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3E80A6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1.01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3142F5D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1143.83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755D0C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0.00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750760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0.08</w:t>
            </w:r>
          </w:p>
        </w:tc>
      </w:tr>
      <w:tr w14:paraId="5F593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pct"/>
            <w:shd w:val="clear" w:color="auto" w:fill="auto"/>
            <w:vAlign w:val="center"/>
          </w:tcPr>
          <w:p w14:paraId="1DD145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Belowground NPP</w:t>
            </w:r>
          </w:p>
        </w:tc>
        <w:tc>
          <w:tcPr>
            <w:tcW w:w="840" w:type="pct"/>
            <w:shd w:val="clear" w:color="auto" w:fill="auto"/>
            <w:vAlign w:val="center"/>
          </w:tcPr>
          <w:p w14:paraId="3106C2F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0.34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1FBD2B7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0.98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7FF4E4B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1.03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5D1BAA3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1250.55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61F52A2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0.00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65C66E2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0.04</w:t>
            </w:r>
          </w:p>
        </w:tc>
      </w:tr>
      <w:tr w14:paraId="2A3F2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pct"/>
            <w:shd w:val="clear" w:color="auto" w:fill="auto"/>
            <w:vAlign w:val="center"/>
          </w:tcPr>
          <w:p w14:paraId="3B8CD2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High elevation NPP</w:t>
            </w:r>
          </w:p>
        </w:tc>
        <w:tc>
          <w:tcPr>
            <w:tcW w:w="840" w:type="pct"/>
            <w:shd w:val="clear" w:color="auto" w:fill="auto"/>
            <w:vAlign w:val="center"/>
          </w:tcPr>
          <w:p w14:paraId="28F1A7F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5.53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15DC3A1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0.74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19D7014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0.66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1B7EA58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288.72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3E93CC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0.46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0900C5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0.23</w:t>
            </w:r>
          </w:p>
        </w:tc>
      </w:tr>
      <w:tr w14:paraId="0FC65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215C5C5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Low elevation NPP</w:t>
            </w:r>
          </w:p>
        </w:tc>
        <w:tc>
          <w:tcPr>
            <w:tcW w:w="840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D387E8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6.21</w:t>
            </w:r>
          </w:p>
        </w:tc>
        <w:tc>
          <w:tcPr>
            <w:tcW w:w="500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2BFB3AE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0.71</w:t>
            </w:r>
          </w:p>
        </w:tc>
        <w:tc>
          <w:tcPr>
            <w:tcW w:w="500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769D0E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0.84</w:t>
            </w:r>
          </w:p>
        </w:tc>
        <w:tc>
          <w:tcPr>
            <w:tcW w:w="580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D82B6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198.93</w:t>
            </w:r>
          </w:p>
        </w:tc>
        <w:tc>
          <w:tcPr>
            <w:tcW w:w="580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2062C8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0.50</w:t>
            </w:r>
          </w:p>
        </w:tc>
        <w:tc>
          <w:tcPr>
            <w:tcW w:w="580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0C7D9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0.31</w:t>
            </w:r>
          </w:p>
        </w:tc>
      </w:tr>
    </w:tbl>
    <w:p w14:paraId="73B6B67F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br w:type="page"/>
      </w:r>
    </w:p>
    <w:p w14:paraId="33C9F1D9">
      <w:pPr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Helvetica" w:cs="Times New Roman"/>
          <w:b/>
          <w:bCs/>
          <w:color w:val="000000"/>
          <w:kern w:val="2"/>
          <w:sz w:val="24"/>
          <w:szCs w:val="22"/>
          <w:lang w:val="en-GB" w:eastAsia="zh-CN" w:bidi="ar-SA"/>
        </w:rPr>
        <w:t>Table S</w:t>
      </w:r>
      <w:r>
        <w:rPr>
          <w:rFonts w:hint="eastAsia" w:ascii="Times New Roman" w:hAnsi="Times New Roman" w:eastAsia="Helvetica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  <w:t>2</w:t>
      </w:r>
      <w:r>
        <w:rPr>
          <w:rFonts w:hint="eastAsia" w:eastAsia="Helvetica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  <w:t>.</w:t>
      </w:r>
      <w:r>
        <w:rPr>
          <w:rFonts w:hint="eastAsia" w:eastAsia="Helvetica" w:cs="Times New Roman"/>
          <w:b w:val="0"/>
          <w:bCs w:val="0"/>
          <w:color w:val="000000"/>
          <w:kern w:val="2"/>
          <w:sz w:val="24"/>
          <w:szCs w:val="22"/>
          <w:lang w:val="en-US" w:eastAsia="zh-CN" w:bidi="ar-SA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Direct, indirect, and total effects of climate factors on NPP across different dimensions.</w:t>
      </w:r>
    </w:p>
    <w:tbl>
      <w:tblPr>
        <w:tblStyle w:val="5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1004"/>
        <w:gridCol w:w="1082"/>
        <w:gridCol w:w="1422"/>
        <w:gridCol w:w="1082"/>
        <w:gridCol w:w="1082"/>
        <w:gridCol w:w="1422"/>
      </w:tblGrid>
      <w:tr w14:paraId="39DA2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47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AB4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factor</w:t>
            </w: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C5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Direct</w:t>
            </w:r>
          </w:p>
          <w:p w14:paraId="310A5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ffects</w:t>
            </w:r>
          </w:p>
        </w:tc>
        <w:tc>
          <w:tcPr>
            <w:tcW w:w="6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74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Indirect</w:t>
            </w:r>
          </w:p>
          <w:p w14:paraId="2E351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ffects</w:t>
            </w:r>
          </w:p>
        </w:tc>
        <w:tc>
          <w:tcPr>
            <w:tcW w:w="692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B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Total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ffects</w:t>
            </w: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61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Direct</w:t>
            </w:r>
          </w:p>
          <w:p w14:paraId="65B2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ffects</w:t>
            </w:r>
          </w:p>
        </w:tc>
        <w:tc>
          <w:tcPr>
            <w:tcW w:w="6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D8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Indirect</w:t>
            </w:r>
          </w:p>
          <w:p w14:paraId="672B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ffects</w:t>
            </w:r>
          </w:p>
        </w:tc>
        <w:tc>
          <w:tcPr>
            <w:tcW w:w="6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50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Total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ffects</w:t>
            </w:r>
          </w:p>
        </w:tc>
      </w:tr>
      <w:tr w14:paraId="52A3E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4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F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Slope aspect</w:t>
            </w:r>
          </w:p>
        </w:tc>
        <w:tc>
          <w:tcPr>
            <w:tcW w:w="2076" w:type="pct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69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Sunny slope</w:t>
            </w:r>
          </w:p>
        </w:tc>
        <w:tc>
          <w:tcPr>
            <w:tcW w:w="2076" w:type="pct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D4FF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Shady slope</w:t>
            </w:r>
          </w:p>
        </w:tc>
      </w:tr>
      <w:tr w14:paraId="2EE01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905F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7F00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C9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single" w:color="000000" w:sz="8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4041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0.08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6D9F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69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2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A0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0.15</w:t>
            </w:r>
          </w:p>
        </w:tc>
      </w:tr>
      <w:tr w14:paraId="21107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FE57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92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-0.07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3B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0.07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BC65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76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-0.01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DA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31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</w:tr>
      <w:tr w14:paraId="10FDA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F26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12C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0.54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96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0E31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0.81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135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0.58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5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3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0.82</w:t>
            </w:r>
          </w:p>
        </w:tc>
      </w:tr>
      <w:tr w14:paraId="05656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8DB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ESM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B143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0.35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E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E3A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0.35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BD9C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0.30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D6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D3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0.30</w:t>
            </w:r>
          </w:p>
        </w:tc>
      </w:tr>
      <w:tr w14:paraId="77AFB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47" w:type="pc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85D0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SR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298F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-0.06</w:t>
            </w:r>
          </w:p>
        </w:tc>
        <w:tc>
          <w:tcPr>
            <w:tcW w:w="69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CFAB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8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-0.06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61C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-0.01</w:t>
            </w:r>
          </w:p>
        </w:tc>
        <w:tc>
          <w:tcPr>
            <w:tcW w:w="69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5F8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280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-0.01</w:t>
            </w:r>
          </w:p>
        </w:tc>
      </w:tr>
      <w:tr w14:paraId="7D2EE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47" w:type="pc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E40FA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Elevation</w:t>
            </w:r>
          </w:p>
        </w:tc>
        <w:tc>
          <w:tcPr>
            <w:tcW w:w="2076" w:type="pct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CB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Low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elevation</w:t>
            </w:r>
          </w:p>
        </w:tc>
        <w:tc>
          <w:tcPr>
            <w:tcW w:w="2076" w:type="pct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95E2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High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elevation</w:t>
            </w:r>
          </w:p>
        </w:tc>
      </w:tr>
      <w:tr w14:paraId="6BFEB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8DDC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05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-0.03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E9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single" w:color="000000" w:sz="8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03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-0.04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F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-0.03</w:t>
            </w:r>
          </w:p>
        </w:tc>
        <w:tc>
          <w:tcPr>
            <w:tcW w:w="69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83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0.05</w:t>
            </w:r>
          </w:p>
        </w:tc>
        <w:tc>
          <w:tcPr>
            <w:tcW w:w="69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24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0.02</w:t>
            </w:r>
          </w:p>
        </w:tc>
      </w:tr>
      <w:tr w14:paraId="7F6B0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94E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C4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-0.01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33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5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-0.01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D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9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0.14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7F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0.14</w:t>
            </w:r>
          </w:p>
        </w:tc>
      </w:tr>
      <w:tr w14:paraId="648EC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1DC2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25A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03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-0.03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5C4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0C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0.57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56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0.13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2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0.70</w:t>
            </w:r>
          </w:p>
        </w:tc>
      </w:tr>
      <w:tr w14:paraId="65186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E5E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80A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1.00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4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-0.01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3BC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0.99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91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85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E6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0.19</w:t>
            </w:r>
          </w:p>
        </w:tc>
      </w:tr>
      <w:tr w14:paraId="77FA8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47" w:type="pc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CE78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ESM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1201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-0.03</w:t>
            </w:r>
          </w:p>
        </w:tc>
        <w:tc>
          <w:tcPr>
            <w:tcW w:w="69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74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8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-0.03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87E0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69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F9E6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7452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0.28</w:t>
            </w:r>
          </w:p>
        </w:tc>
      </w:tr>
      <w:tr w14:paraId="36678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47" w:type="pc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6BA60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Spatial</w:t>
            </w:r>
          </w:p>
        </w:tc>
        <w:tc>
          <w:tcPr>
            <w:tcW w:w="2076" w:type="pct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95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Aboveground</w:t>
            </w:r>
          </w:p>
        </w:tc>
        <w:tc>
          <w:tcPr>
            <w:tcW w:w="2076" w:type="pct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4AD2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Belowground</w:t>
            </w:r>
          </w:p>
        </w:tc>
      </w:tr>
      <w:tr w14:paraId="3B263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3C41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B708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0.11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4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692" w:type="pct"/>
            <w:tcBorders>
              <w:top w:val="single" w:color="000000" w:sz="8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14AF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90DC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2D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E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</w:tr>
      <w:tr w14:paraId="13931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7493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T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F15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-0.01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06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0.11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B791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0.10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86AE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F2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9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</w:tr>
      <w:tr w14:paraId="531C6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2D73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3008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0.59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E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0.24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8F2C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0.82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F30C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0.55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B1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AF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0.74</w:t>
            </w:r>
          </w:p>
        </w:tc>
      </w:tr>
      <w:tr w14:paraId="291D8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E954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CO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DF75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2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E734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0.00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FC5E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0.17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E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-0.04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3F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0.13</w:t>
            </w:r>
          </w:p>
        </w:tc>
      </w:tr>
      <w:tr w14:paraId="06D0F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751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ESM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90E2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0A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B14D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0.28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9BB9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0.22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2A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FA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0.22</w:t>
            </w:r>
          </w:p>
        </w:tc>
      </w:tr>
      <w:tr w14:paraId="4F563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C4B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SR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9D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-0.08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A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0.02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BD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-0.06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7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-0.06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4B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-0.07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E5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-0.13</w:t>
            </w:r>
          </w:p>
        </w:tc>
      </w:tr>
      <w:tr w14:paraId="4CB74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47" w:type="pc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6347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ST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A054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E459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E23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692" w:type="pct"/>
            <w:tcBorders>
              <w:top w:val="nil"/>
              <w:left w:val="single" w:color="auto" w:sz="4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DD4C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0.15</w:t>
            </w:r>
          </w:p>
        </w:tc>
        <w:tc>
          <w:tcPr>
            <w:tcW w:w="69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53AE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69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E79F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0.16</w:t>
            </w:r>
          </w:p>
        </w:tc>
      </w:tr>
    </w:tbl>
    <w:p w14:paraId="0111DD68">
      <w:pPr>
        <w:jc w:val="center"/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br w:type="textWrapping"/>
      </w:r>
      <w:r>
        <w:drawing>
          <wp:inline distT="0" distB="0" distL="114300" distR="114300">
            <wp:extent cx="4039870" cy="7326630"/>
            <wp:effectExtent l="0" t="0" r="17780" b="7620"/>
            <wp:docPr id="3" name="图片 2" descr="E:/阳坡阴坡/返修/FigS1.jpgFig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E:/阳坡阴坡/返修/FigS1.jpgFigS1"/>
                    <pic:cNvPicPr>
                      <a:picLocks noChangeAspect="1"/>
                    </pic:cNvPicPr>
                  </pic:nvPicPr>
                  <pic:blipFill>
                    <a:blip r:embed="rId4"/>
                    <a:srcRect l="33" r="33"/>
                    <a:stretch>
                      <a:fillRect/>
                    </a:stretch>
                  </pic:blipFill>
                  <pic:spPr>
                    <a:xfrm>
                      <a:off x="0" y="0"/>
                      <a:ext cx="4039870" cy="7326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48D0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Fig. S1.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Spatial trends of annual precipitation and temperature under historical and future climate scenarios. (a) Annual precipitation trend during 2000</w:t>
      </w:r>
      <w:r>
        <w:rPr>
          <w:rFonts w:hint="default" w:ascii="Times New Roman" w:hAnsi="Times New Roman" w:eastAsia="宋体" w:cs="Times New Roman"/>
          <w:sz w:val="24"/>
          <w:szCs w:val="24"/>
        </w:rPr>
        <w:t>–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2020; (b) precipitation trend under SSP119 during 2021</w:t>
      </w:r>
      <w:r>
        <w:rPr>
          <w:rFonts w:hint="default" w:ascii="Times New Roman" w:hAnsi="Times New Roman" w:eastAsia="宋体" w:cs="Times New Roman"/>
          <w:sz w:val="24"/>
          <w:szCs w:val="24"/>
        </w:rPr>
        <w:t>–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2100; (c) precipitation trend under SSP245; (d) precipitation trend under SSP585; (e) annual mean temperature trend during 2000</w:t>
      </w:r>
      <w:r>
        <w:rPr>
          <w:rFonts w:hint="default" w:ascii="Times New Roman" w:hAnsi="Times New Roman" w:eastAsia="宋体" w:cs="Times New Roman"/>
          <w:sz w:val="24"/>
          <w:szCs w:val="24"/>
        </w:rPr>
        <w:t>–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2020; (f) temperature trend under SSP119 during 2021</w:t>
      </w:r>
      <w:r>
        <w:rPr>
          <w:rFonts w:hint="default" w:ascii="Times New Roman" w:hAnsi="Times New Roman" w:eastAsia="宋体" w:cs="Times New Roman"/>
          <w:sz w:val="24"/>
          <w:szCs w:val="24"/>
        </w:rPr>
        <w:t>–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2100; (g) temperature trend under SSP245; (h) temperature trend under SSP585.</w:t>
      </w:r>
    </w:p>
    <w:p w14:paraId="69DAA3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2665730" cy="2472055"/>
            <wp:effectExtent l="0" t="0" r="1270" b="4445"/>
            <wp:docPr id="2" name="图片 2" descr="Fig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573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894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Fig. S2.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Spatial distribution of slope-aspect classes in the karst trough valley.</w:t>
      </w:r>
    </w:p>
    <w:p w14:paraId="5E284532">
      <w:pPr>
        <w:jc w:val="center"/>
        <w:rPr>
          <w:rFonts w:hint="eastAsia" w:ascii="Times New Roman" w:hAnsi="Times New Roman" w:cs="Times New Roman"/>
          <w:b w:val="0"/>
          <w:b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drawing>
          <wp:inline distT="0" distB="0" distL="114300" distR="114300">
            <wp:extent cx="5265420" cy="7079615"/>
            <wp:effectExtent l="0" t="0" r="11430" b="6985"/>
            <wp:docPr id="4" name="图片 4" descr="E:/阳坡阴坡/返修/FigS2.jpgFig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:/阳坡阴坡/返修/FigS2.jpgFigS2"/>
                    <pic:cNvPicPr>
                      <a:picLocks noChangeAspect="1"/>
                    </pic:cNvPicPr>
                  </pic:nvPicPr>
                  <pic:blipFill>
                    <a:blip r:embed="rId6"/>
                    <a:srcRect l="4" r="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07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2A8BF">
      <w:p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Fig. S3.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Spatial patterns of environmental factors during 2000–2020. (a) Trend in soil CO₂ partial pressure; (b) trend in atmospheric CO₂ concentration; (c) trend in solar radiation; (d) trend in soil temperature; (e) trend in effective soil moisture; and (f) spatial distribution of soil depth.</w:t>
      </w:r>
    </w:p>
    <w:p w14:paraId="37646BF1">
      <w:pPr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F175A"/>
    <w:rsid w:val="01815C76"/>
    <w:rsid w:val="01BC0C53"/>
    <w:rsid w:val="01C51C6F"/>
    <w:rsid w:val="02E67FCE"/>
    <w:rsid w:val="03C50687"/>
    <w:rsid w:val="04AE3125"/>
    <w:rsid w:val="05571DBF"/>
    <w:rsid w:val="05A54A82"/>
    <w:rsid w:val="06D172E8"/>
    <w:rsid w:val="078B414B"/>
    <w:rsid w:val="084A1910"/>
    <w:rsid w:val="0881185D"/>
    <w:rsid w:val="08C54B98"/>
    <w:rsid w:val="08DB3629"/>
    <w:rsid w:val="0A7315F2"/>
    <w:rsid w:val="0B096A09"/>
    <w:rsid w:val="0B7D7199"/>
    <w:rsid w:val="0C3C39B6"/>
    <w:rsid w:val="0CB836CE"/>
    <w:rsid w:val="0D040B35"/>
    <w:rsid w:val="0D9D029B"/>
    <w:rsid w:val="0E263547"/>
    <w:rsid w:val="0F5838E9"/>
    <w:rsid w:val="0FC30926"/>
    <w:rsid w:val="105156C8"/>
    <w:rsid w:val="11AC4591"/>
    <w:rsid w:val="123B3422"/>
    <w:rsid w:val="12971BF6"/>
    <w:rsid w:val="13855EF2"/>
    <w:rsid w:val="144D38D4"/>
    <w:rsid w:val="14D8706A"/>
    <w:rsid w:val="14DD5247"/>
    <w:rsid w:val="14FC0F79"/>
    <w:rsid w:val="14FC1EE6"/>
    <w:rsid w:val="15502866"/>
    <w:rsid w:val="162E0E0D"/>
    <w:rsid w:val="16442095"/>
    <w:rsid w:val="165C3D37"/>
    <w:rsid w:val="17780248"/>
    <w:rsid w:val="1857752E"/>
    <w:rsid w:val="18EE62E8"/>
    <w:rsid w:val="194003D2"/>
    <w:rsid w:val="1A073245"/>
    <w:rsid w:val="1A293CB1"/>
    <w:rsid w:val="1A4E5633"/>
    <w:rsid w:val="1A5A74B0"/>
    <w:rsid w:val="1B172033"/>
    <w:rsid w:val="1CF647AD"/>
    <w:rsid w:val="1D4B5609"/>
    <w:rsid w:val="1DBA12AF"/>
    <w:rsid w:val="1DEF370A"/>
    <w:rsid w:val="1E2046A9"/>
    <w:rsid w:val="1F302869"/>
    <w:rsid w:val="20E97AC1"/>
    <w:rsid w:val="21B73BF2"/>
    <w:rsid w:val="21EE1107"/>
    <w:rsid w:val="21F26352"/>
    <w:rsid w:val="239F27F5"/>
    <w:rsid w:val="256A4F48"/>
    <w:rsid w:val="26872737"/>
    <w:rsid w:val="27565CAD"/>
    <w:rsid w:val="28B47776"/>
    <w:rsid w:val="29332A28"/>
    <w:rsid w:val="2A221C8D"/>
    <w:rsid w:val="2ABB7238"/>
    <w:rsid w:val="2B480820"/>
    <w:rsid w:val="2BA72A52"/>
    <w:rsid w:val="2C11436F"/>
    <w:rsid w:val="2E514EF7"/>
    <w:rsid w:val="2EA764FF"/>
    <w:rsid w:val="2F4735C2"/>
    <w:rsid w:val="2FBC24BF"/>
    <w:rsid w:val="300466C5"/>
    <w:rsid w:val="308570DA"/>
    <w:rsid w:val="30B13E30"/>
    <w:rsid w:val="30C73CC0"/>
    <w:rsid w:val="31B2197A"/>
    <w:rsid w:val="31BD58A5"/>
    <w:rsid w:val="32E7407C"/>
    <w:rsid w:val="338059CE"/>
    <w:rsid w:val="339E023F"/>
    <w:rsid w:val="34757B91"/>
    <w:rsid w:val="35944EA3"/>
    <w:rsid w:val="35AC34AF"/>
    <w:rsid w:val="35F93F25"/>
    <w:rsid w:val="362353CB"/>
    <w:rsid w:val="36DE7346"/>
    <w:rsid w:val="37166CDE"/>
    <w:rsid w:val="376E6B1A"/>
    <w:rsid w:val="37922808"/>
    <w:rsid w:val="383D7ED9"/>
    <w:rsid w:val="38B4633C"/>
    <w:rsid w:val="38B83715"/>
    <w:rsid w:val="3B050B2B"/>
    <w:rsid w:val="3B581673"/>
    <w:rsid w:val="3C4527D7"/>
    <w:rsid w:val="3D7451DF"/>
    <w:rsid w:val="3EF5151F"/>
    <w:rsid w:val="3FCF35B3"/>
    <w:rsid w:val="403446AC"/>
    <w:rsid w:val="406225EF"/>
    <w:rsid w:val="40ED05C9"/>
    <w:rsid w:val="4239722D"/>
    <w:rsid w:val="45121D55"/>
    <w:rsid w:val="451300DB"/>
    <w:rsid w:val="45C36283"/>
    <w:rsid w:val="46C155A5"/>
    <w:rsid w:val="485C4F51"/>
    <w:rsid w:val="490D2991"/>
    <w:rsid w:val="49465201"/>
    <w:rsid w:val="499447D9"/>
    <w:rsid w:val="49D2118A"/>
    <w:rsid w:val="4A0A386F"/>
    <w:rsid w:val="4AA76173"/>
    <w:rsid w:val="4B094672"/>
    <w:rsid w:val="4B6573BA"/>
    <w:rsid w:val="4B8B4870"/>
    <w:rsid w:val="4C1C66ED"/>
    <w:rsid w:val="4C977A56"/>
    <w:rsid w:val="4CA355AE"/>
    <w:rsid w:val="4D285A5C"/>
    <w:rsid w:val="4DD361A6"/>
    <w:rsid w:val="4E037B64"/>
    <w:rsid w:val="4F4B67AE"/>
    <w:rsid w:val="4F7505EE"/>
    <w:rsid w:val="50194560"/>
    <w:rsid w:val="502A3BD8"/>
    <w:rsid w:val="50A15412"/>
    <w:rsid w:val="513F05E2"/>
    <w:rsid w:val="517145F8"/>
    <w:rsid w:val="518554F9"/>
    <w:rsid w:val="53531CDF"/>
    <w:rsid w:val="54C3004D"/>
    <w:rsid w:val="55E52F68"/>
    <w:rsid w:val="569F175A"/>
    <w:rsid w:val="573810C7"/>
    <w:rsid w:val="57A95C68"/>
    <w:rsid w:val="58FD63DA"/>
    <w:rsid w:val="590D5897"/>
    <w:rsid w:val="5AE34FA5"/>
    <w:rsid w:val="5B2600B2"/>
    <w:rsid w:val="5C246E5C"/>
    <w:rsid w:val="5C736AC7"/>
    <w:rsid w:val="5DFB139F"/>
    <w:rsid w:val="5E590968"/>
    <w:rsid w:val="5F575DE9"/>
    <w:rsid w:val="5F990328"/>
    <w:rsid w:val="628570B0"/>
    <w:rsid w:val="628E1C9B"/>
    <w:rsid w:val="63170298"/>
    <w:rsid w:val="6494737C"/>
    <w:rsid w:val="64C5396E"/>
    <w:rsid w:val="65136487"/>
    <w:rsid w:val="655A0B79"/>
    <w:rsid w:val="66C33EDD"/>
    <w:rsid w:val="67220C03"/>
    <w:rsid w:val="6751773B"/>
    <w:rsid w:val="692C3978"/>
    <w:rsid w:val="695225D9"/>
    <w:rsid w:val="69F30B0B"/>
    <w:rsid w:val="6A497C7F"/>
    <w:rsid w:val="6A7948AF"/>
    <w:rsid w:val="6B4F21E3"/>
    <w:rsid w:val="6BC24763"/>
    <w:rsid w:val="6C972DCB"/>
    <w:rsid w:val="6D512242"/>
    <w:rsid w:val="6E0307C8"/>
    <w:rsid w:val="6F1C12E5"/>
    <w:rsid w:val="7164006A"/>
    <w:rsid w:val="73585D8B"/>
    <w:rsid w:val="73954989"/>
    <w:rsid w:val="73D81A82"/>
    <w:rsid w:val="74CB6013"/>
    <w:rsid w:val="75B84705"/>
    <w:rsid w:val="77B41E1D"/>
    <w:rsid w:val="78F85E95"/>
    <w:rsid w:val="79A46DF8"/>
    <w:rsid w:val="79F077C1"/>
    <w:rsid w:val="7A40508F"/>
    <w:rsid w:val="7A74026E"/>
    <w:rsid w:val="7AE90865"/>
    <w:rsid w:val="7B683F5C"/>
    <w:rsid w:val="7F6C4C41"/>
    <w:rsid w:val="7FC8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 2"/>
    <w:basedOn w:val="2"/>
    <w:qFormat/>
    <w:uiPriority w:val="0"/>
    <w:pPr>
      <w:ind w:firstLine="420"/>
    </w:pPr>
    <w:rPr>
      <w:rFonts w:ascii="Calibri" w:hAnsi="Calibri" w:eastAsia="宋体" w:cs="Times New Roman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434</Words>
  <Characters>2289</Characters>
  <Lines>0</Lines>
  <Paragraphs>0</Paragraphs>
  <TotalTime>0</TotalTime>
  <ScaleCrop>false</ScaleCrop>
  <LinksUpToDate>false</LinksUpToDate>
  <CharactersWithSpaces>2523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2025-06-23T07:20:00Z</dcterms:created>
  <dc:creator>影落丶</dc:creator>
  <cp:lastModifiedBy>影落丶</cp:lastModifiedBy>
  <dcterms:modified xsi:type="dcterms:W3CDTF">2026-08-18T15:55:15Z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D34F7C957EDC45AD993D5306CF99CF8C_13</vt:lpwstr>
  </property>
  <property fmtid="{D5CDD505-2E9C-101B-9397-08002B2CF9AE}" pid="4" name="KSOTemplateDocerSaveRecord">
    <vt:lpwstr>eyJoZGlkIjoiMzRkYmMxMzg2NzVmZWYwZjQyN2JmZmU4YjZiMDFiMDUiLCJ1c2VySWQiOiI1OTM0NDMxMzMifQ==</vt:lpwstr>
  </property>
</Properties>
</file>