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sz w:val="30"/>
        </w:rPr>
        <w:t>Supplementary File 3. Updated CINeMA assessment of primary outcome networks</w:t>
      </w:r>
    </w:p>
    <w:p>
      <w:r>
        <w:rPr>
          <w:i/>
          <w:sz w:val="18"/>
        </w:rPr>
        <w:t>Summary: Recalculated CINeMA assessment of certainty for continence at 1, 3, and 12 months and overall positive surgical margins using the validated 2026 NMA output. File type: DOCX.</w:t>
      </w:r>
    </w:p>
    <w:p>
      <w:pPr>
        <w:spacing w:before="280" w:after="100"/>
      </w:pPr>
      <w:r>
        <w:rPr>
          <w:rFonts w:ascii="Calibri" w:hAnsi="Calibri"/>
          <w:b/>
          <w:sz w:val="26"/>
        </w:rPr>
        <w:t>Methods and decision rules</w:t>
      </w:r>
    </w:p>
    <w:p>
      <w:r>
        <w:t>CINeMA was reassessed after the validated NMA rerun for the four analyzable primary networks. The six domains were within-study bias, reporting bias, indirectness, imprecision, heterogeneity, and incoherence. The original completed risk-of-bias assessment identified one low-risk and three some-concerns randomized studies and 27 serious-risk plus four critical-risk nonrandomized studies; the primary networks were dominated by the latter. Thus, within-study bias was rated as a major concern for every comparison.</w:t>
      </w:r>
    </w:p>
    <w:p>
      <w:r>
        <w:t>For imprecision, 95% confidence intervals were compared with the prespecified OR equivalence range of 0.80–1.25. For heterogeneity, 95% prediction intervals were calculated from each NMA estimate and tau-squared and compared with the same range. Comparisons involving the heterogeneous ultra-sparing/preservation node received some concerns for indirectness. Reporting-bias judgements used Egger tests where at least 10 studies were available, with a conservative some-concerns rating in the absence of a statistical signal. Incoherence used the design-by-treatment test and node splitting. Overall ratings considered domains jointly, consistent with CINeMA guidance (ref. 12).</w:t>
      </w:r>
    </w:p>
    <w:p>
      <w:r>
        <w:t>Potency, biochemical recurrence, time to continence, and stage-specific positive surgical margins were not reassessed because they were not meta-analysed in the validated dataset. The complete calculation table and decision basis are available in Supplementary Data 4; reproducibility code is provided as Supplementary Code 2.</w:t>
      </w:r>
    </w:p>
    <w:p>
      <w:pPr>
        <w:spacing w:before="280" w:after="100"/>
      </w:pPr>
      <w:r>
        <w:rPr>
          <w:rFonts w:ascii="Calibri" w:hAnsi="Calibri"/>
          <w:b/>
          <w:sz w:val="26"/>
        </w:rPr>
        <w:t>Table S3.1. CINeMA domain judgements and overall confidence</w:t>
      </w:r>
    </w:p>
    <w:tbl>
      <w:tblPr>
        <w:tblStyle w:val="TableGrid"/>
        <w:tblW w:type="dxa" w:w="11950"/>
        <w:tblLayout w:type="fixed"/>
        <w:tblLook w:firstColumn="1" w:firstRow="1" w:lastColumn="0" w:lastRow="0" w:noHBand="0" w:noVBand="1" w:val="04A0"/>
        <w:tblInd w:w="120" w:type="dxa"/>
      </w:tblPr>
      <w:tblGrid>
        <w:gridCol w:w="2850"/>
        <w:gridCol w:w="1500"/>
        <w:gridCol w:w="1450"/>
        <w:gridCol w:w="1250"/>
        <w:gridCol w:w="1250"/>
        <w:gridCol w:w="1250"/>
        <w:gridCol w:w="1100"/>
        <w:gridCol w:w="1300"/>
      </w:tblGrid>
      <w:tr>
        <w:tc>
          <w:tcPr>
            <w:tcW w:type="dxa" w:w="285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Outcome and comparison</w:t>
            </w:r>
          </w:p>
        </w:tc>
        <w:tc>
          <w:tcPr>
            <w:tcW w:type="dxa" w:w="150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Within-study bias</w:t>
            </w:r>
          </w:p>
        </w:tc>
        <w:tc>
          <w:tcPr>
            <w:tcW w:type="dxa" w:w="145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Reporting bias</w:t>
            </w:r>
          </w:p>
        </w:tc>
        <w:tc>
          <w:tcPr>
            <w:tcW w:type="dxa" w:w="125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Indirectness</w:t>
            </w:r>
          </w:p>
        </w:tc>
        <w:tc>
          <w:tcPr>
            <w:tcW w:type="dxa" w:w="125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Imprecision</w:t>
            </w:r>
          </w:p>
        </w:tc>
        <w:tc>
          <w:tcPr>
            <w:tcW w:type="dxa" w:w="125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Heterogeneity</w:t>
            </w:r>
          </w:p>
        </w:tc>
        <w:tc>
          <w:tcPr>
            <w:tcW w:type="dxa" w:w="110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Incoherence</w:t>
            </w:r>
          </w:p>
        </w:tc>
        <w:tc>
          <w:tcPr>
            <w:tcW w:type="dxa" w:w="130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Overall confidence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 month</w:t>
              <w:br/>
              <w:t>Retzius vs Conventional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25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25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 month</w:t>
              <w:br/>
              <w:t>Ultra vs Conventional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 month</w:t>
              <w:br/>
              <w:t>Retzius vs Ultra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3 months</w:t>
              <w:br/>
              <w:t>Retzius vs Conventional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25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25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25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3 months</w:t>
              <w:br/>
              <w:t>Ultra vs Conventional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3 months</w:t>
              <w:br/>
              <w:t>Retzius vs Ultra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12 months</w:t>
              <w:br/>
              <w:t>Retzius vs Conventional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25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25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2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12 months</w:t>
              <w:br/>
              <w:t>Ultra vs Conventional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2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12 months</w:t>
              <w:br/>
              <w:t>Retzius vs Ultra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2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Overall positive surgical margins</w:t>
              <w:br/>
              <w:t>Retzius vs Conventional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Overall positive surgical margins</w:t>
              <w:br/>
              <w:t>Ultra vs Conventional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2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  <w:tr>
        <w:tc>
          <w:tcPr>
            <w:tcW w:type="dxa" w:w="2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Overall positive surgical margins</w:t>
              <w:br/>
              <w:t>Retzius vs Ultra</w:t>
            </w:r>
          </w:p>
        </w:tc>
        <w:tc>
          <w:tcPr>
            <w:tcW w:type="dxa" w:w="15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4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FF2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Some concerns</w:t>
            </w:r>
          </w:p>
        </w:tc>
        <w:tc>
          <w:tcPr>
            <w:tcW w:type="dxa" w:w="125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Major concerns</w:t>
            </w:r>
          </w:p>
        </w:tc>
        <w:tc>
          <w:tcPr>
            <w:tcW w:type="dxa" w:w="1100"/>
            <w:vAlign w:val="center"/>
            <w:shd w:fill="E2F0D9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No concerns</w:t>
            </w:r>
          </w:p>
        </w:tc>
        <w:tc>
          <w:tcPr>
            <w:tcW w:type="dxa" w:w="1300"/>
            <w:vAlign w:val="center"/>
            <w:shd w:fill="F4CCCC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Very low</w:t>
            </w:r>
          </w:p>
        </w:tc>
      </w:tr>
    </w:tbl>
    <w:p>
      <w:r>
        <w:t>Colour key: green, no concerns; yellow, some concerns; red, major concerns or very-low confidence. All 12 primary network comparisons were rated very low because major concerns for within-study bias were present throughout, with additional limitations varying by outcome.</w:t>
      </w:r>
    </w:p>
    <w:p>
      <w:r>
        <w:br w:type="page"/>
      </w:r>
    </w:p>
    <w:p>
      <w:pPr>
        <w:spacing w:before="280" w:after="100"/>
      </w:pPr>
      <w:r>
        <w:rPr>
          <w:rFonts w:ascii="Calibri" w:hAnsi="Calibri"/>
          <w:b/>
          <w:sz w:val="26"/>
        </w:rPr>
        <w:t>Table S3.2. Statistical inputs used for CINeMA judgements</w:t>
      </w:r>
    </w:p>
    <w:tbl>
      <w:tblPr>
        <w:tblStyle w:val="TableGrid"/>
        <w:tblW w:type="dxa" w:w="11050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850"/>
        <w:gridCol w:w="2000"/>
        <w:gridCol w:w="1850"/>
        <w:gridCol w:w="700"/>
        <w:gridCol w:w="750"/>
        <w:gridCol w:w="1200"/>
        <w:gridCol w:w="700"/>
      </w:tblGrid>
      <w:tr>
        <w:tc>
          <w:tcPr>
            <w:tcW w:type="dxa" w:w="300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Outcome and comparison</w:t>
            </w:r>
          </w:p>
        </w:tc>
        <w:tc>
          <w:tcPr>
            <w:tcW w:type="dxa" w:w="85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Direct studies</w:t>
            </w:r>
          </w:p>
        </w:tc>
        <w:tc>
          <w:tcPr>
            <w:tcW w:type="dxa" w:w="200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NMA OR (95% CI)</w:t>
            </w:r>
          </w:p>
        </w:tc>
        <w:tc>
          <w:tcPr>
            <w:tcW w:type="dxa" w:w="185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95% prediction interval</w:t>
            </w:r>
          </w:p>
        </w:tc>
        <w:tc>
          <w:tcPr>
            <w:tcW w:type="dxa" w:w="70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I2, %</w:t>
            </w:r>
          </w:p>
        </w:tc>
        <w:tc>
          <w:tcPr>
            <w:tcW w:type="dxa" w:w="75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Global P</w:t>
            </w:r>
          </w:p>
        </w:tc>
        <w:tc>
          <w:tcPr>
            <w:tcW w:type="dxa" w:w="120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Minimum node-splitting P</w:t>
            </w:r>
          </w:p>
        </w:tc>
        <w:tc>
          <w:tcPr>
            <w:tcW w:type="dxa" w:w="700"/>
            <w:vAlign w:val="center"/>
            <w:shd w:fill="D9EAF7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4"/>
              </w:rPr>
              <w:t>Egger P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 month</w:t>
              <w:br/>
              <w:t>Retzius vs Conventional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13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4.29 (3.16–5.82)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2.18–8.45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31.2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0.307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0.325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0.406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 month</w:t>
              <w:br/>
              <w:t>Ultra vs Conventional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3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2.08 (1.20–3.60)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0.92–4.71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31.2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0.307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0.325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0.406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 month</w:t>
              <w:br/>
              <w:t>Retzius vs Ultra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2.06 (1.15–3.70)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0.89–4.78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31.2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0.307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0.325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0.406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3 months</w:t>
              <w:br/>
              <w:t>Retzius vs Conventional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16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4.57 (3.10–6.72)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1.42–14.63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64.6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0.827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0.792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0.008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3 months</w:t>
              <w:br/>
              <w:t>Ultra vs Conventional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5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2.23 (1.21–4.10)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0.63–7.83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64.6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0.827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0.792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0.008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3 months</w:t>
              <w:br/>
              <w:t>Retzius vs Ultra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2.05 (1.04–4.05)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0.56–7.46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64.6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0.827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0.792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0.008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12 months</w:t>
              <w:br/>
              <w:t>Retzius vs Conventional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10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2.95 (1.56–5.59)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0.59–14.69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56.8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0.523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0.976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0.017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12 months</w:t>
              <w:br/>
              <w:t>Ultra vs Conventional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3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2.24 (0.79–6.36)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0.37–13.62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56.8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0.523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0.976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0.017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Urinary continence at 12 months</w:t>
              <w:br/>
              <w:t>Retzius vs Ultra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1.32 (0.43–4.02)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0.21–8.36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56.8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0.523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0.976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0.017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Overall positive surgical margins</w:t>
              <w:br/>
              <w:t>Retzius vs Conventional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21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1.26 (1.04–1.53)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0.82–1.92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17.9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0.219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0.164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0.652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Overall positive surgical margins</w:t>
              <w:br/>
              <w:t>Ultra vs Conventional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8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1.00 (0.74–1.36)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0.62–1.63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17.9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0.219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0.164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0.652</w:t>
            </w:r>
          </w:p>
        </w:tc>
      </w:tr>
      <w:tr>
        <w:tc>
          <w:tcPr>
            <w:tcW w:type="dxa" w:w="3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Overall positive surgical margins</w:t>
              <w:br/>
              <w:t>Retzius vs Ultra</w:t>
            </w:r>
          </w:p>
        </w:tc>
        <w:tc>
          <w:tcPr>
            <w:tcW w:type="dxa" w:w="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2</w:t>
            </w:r>
          </w:p>
        </w:tc>
        <w:tc>
          <w:tcPr>
            <w:tcW w:type="dxa" w:w="20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1.25 (0.89–1.76)</w:t>
            </w:r>
          </w:p>
        </w:tc>
        <w:tc>
          <w:tcPr>
            <w:tcW w:type="dxa" w:w="18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0.75–2.09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17.9</w:t>
            </w:r>
          </w:p>
        </w:tc>
        <w:tc>
          <w:tcPr>
            <w:tcW w:type="dxa" w:w="75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0.219</w:t>
            </w:r>
          </w:p>
        </w:tc>
        <w:tc>
          <w:tcPr>
            <w:tcW w:type="dxa" w:w="12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0.164</w:t>
            </w:r>
          </w:p>
        </w:tc>
        <w:tc>
          <w:tcPr>
            <w:tcW w:type="dxa" w:w="700"/>
            <w:vAlign w:val="center"/>
            <w:shd w:fill="FFFFFF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4"/>
              </w:rPr>
              <w:t>0.652</w:t>
            </w:r>
          </w:p>
        </w:tc>
      </w:tr>
    </w:tbl>
    <w:p>
      <w:r>
        <w:t>OR, odds ratio; CI, confidence interval; I2, statistical heterogeneity. The global P value is the design-by-treatment interaction test. Prediction intervals are calculated from the random-effects NMA estimate and tau-squared. The same outcome-level global, node-splitting, and Egger test applies to each comparison in that network.</w:t>
      </w:r>
    </w:p>
    <w:p>
      <w:r>
        <w:t>Interpretation: there was no statistically detectable global or local incoherence in these four primary networks. However, absence of statistical incoherence does not overcome the major concerns from within-study bias, the small direct ultra-sparing evidence base, and outcome-specific imprecision or heterogeneity.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792" w:bottom="792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 xml:space="preserve">Retzius-sparing prostatectomy network meta-analysis |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sz w:val="16"/>
      </w:rPr>
      <w:t>Supplementary File 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