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sz w:val="32"/>
        </w:rPr>
        <w:t>Supplementary File 2. Individual-study results and NMA diagnostics</w:t>
      </w:r>
    </w:p>
    <w:p>
      <w:r>
        <w:rPr>
          <w:i/>
          <w:sz w:val="18"/>
        </w:rPr>
        <w:t>Summary: Study-level direct effects, global and local inconsistency assessments, and quality-control reporting for the network meta-analysis. Full editable data are provided in Supplementary Data 1. File type: DOCX.</w:t>
      </w:r>
    </w:p>
    <w:p>
      <w:pPr>
        <w:spacing w:before="280" w:after="100"/>
      </w:pPr>
      <w:r>
        <w:rPr>
          <w:rFonts w:ascii="Calibri" w:hAnsi="Calibri"/>
          <w:b/>
          <w:sz w:val="26"/>
        </w:rPr>
        <w:t>Data and statistical diagnostics</w:t>
      </w:r>
    </w:p>
    <w:p>
      <w:r>
        <w:t>Supplementary Data 1 provides the arm-level data used for each model, direct study-level odds ratios or mean differences with 95% confidence intervals, and the complete diagnostic output. Binary outcomes were analysed as odds ratios with a continuity correction of 0.5 only for comparisons containing a zero cell. Continuous outcomes were analysed as mean differences. Random-effects network models used restricted maximum likelihood estimation and conventional RARP as the reference treatment.</w:t>
      </w:r>
    </w:p>
    <w:p>
      <w:r>
        <w:t>Agreement between direct and indirect evidence was assessed globally with the design-by-treatment interaction and locally with node splitting. Global tests were estimable for 12 of 15 outcomes. Inconsistency was detected for console time (P&lt;0.001) and length of stay (P=0.024); the other testable outcome networks had P&gt;0.05. Node splitting was estimable for 36 comparisons across 12 outcomes and found no statistically detectable local inconsistency (minimum P=0.159).</w:t>
      </w:r>
    </w:p>
    <w:p>
      <w:pPr>
        <w:spacing w:before="280" w:after="100"/>
      </w:pPr>
      <w:r>
        <w:rPr>
          <w:rFonts w:ascii="Calibri" w:hAnsi="Calibri"/>
          <w:b/>
          <w:sz w:val="26"/>
        </w:rPr>
        <w:t>Table S2.1. Global inconsistency diagnostics</w:t>
      </w:r>
    </w:p>
    <w:tbl>
      <w:tblPr>
        <w:tblStyle w:val="TableGrid"/>
        <w:tblW w:type="dxa" w:w="11500"/>
        <w:tblLayout w:type="fixed"/>
        <w:tblLook w:firstColumn="1" w:firstRow="1" w:lastColumn="0" w:lastRow="0" w:noHBand="0" w:noVBand="1" w:val="04A0"/>
        <w:tblInd w:w="120" w:type="dxa"/>
      </w:tblPr>
      <w:tblGrid>
        <w:gridCol w:w="5600"/>
        <w:gridCol w:w="900"/>
        <w:gridCol w:w="900"/>
        <w:gridCol w:w="2500"/>
        <w:gridCol w:w="600"/>
        <w:gridCol w:w="1000"/>
      </w:tblGrid>
      <w:tr>
        <w:tc>
          <w:tcPr>
            <w:tcW w:type="dxa" w:w="5600"/>
            <w:vAlign w:val="center"/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/>
                <w:b/>
                <w:sz w:val="15"/>
              </w:rPr>
              <w:t>Outcome</w:t>
            </w:r>
          </w:p>
        </w:tc>
        <w:tc>
          <w:tcPr>
            <w:tcW w:type="dxa" w:w="900"/>
            <w:vAlign w:val="center"/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/>
                <w:b/>
                <w:sz w:val="15"/>
              </w:rPr>
              <w:t>Studies</w:t>
            </w:r>
          </w:p>
        </w:tc>
        <w:tc>
          <w:tcPr>
            <w:tcW w:type="dxa" w:w="900"/>
            <w:vAlign w:val="center"/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/>
                <w:b/>
                <w:sz w:val="15"/>
              </w:rPr>
              <w:t>I2, %</w:t>
            </w:r>
          </w:p>
        </w:tc>
        <w:tc>
          <w:tcPr>
            <w:tcW w:type="dxa" w:w="2500"/>
            <w:vAlign w:val="center"/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/>
                <w:b/>
                <w:sz w:val="15"/>
              </w:rPr>
              <w:t>Q between designs</w:t>
            </w:r>
          </w:p>
        </w:tc>
        <w:tc>
          <w:tcPr>
            <w:tcW w:type="dxa" w:w="600"/>
            <w:vAlign w:val="center"/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/>
                <w:b/>
                <w:sz w:val="15"/>
              </w:rPr>
              <w:t>df</w:t>
            </w:r>
          </w:p>
        </w:tc>
        <w:tc>
          <w:tcPr>
            <w:tcW w:type="dxa" w:w="1000"/>
            <w:vAlign w:val="center"/>
            <w:shd w:fill="E8EEF5"/>
          </w:tcPr>
          <w:p>
            <w:pPr>
              <w:spacing w:after="0" w:line="240" w:lineRule="auto"/>
            </w:pPr>
            <w:r>
              <w:rPr>
                <w:rFonts w:ascii="Calibri" w:hAnsi="Calibri"/>
                <w:b/>
                <w:sz w:val="15"/>
              </w:rPr>
              <w:t>P value</w:t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Urinary continence at 1 month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17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31.2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1.04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0.307</w:t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Urinary continence at 3 months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22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64.6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0.05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0.827</w:t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Urinary continence at 12 months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14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56.8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0.41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0.523</w:t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Overall positive surgical margins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29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17.9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4.43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3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0.219</w:t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Overall complications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21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1.7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6.77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3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0.080</w:t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Clavien-Dindo grade I-II complications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7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0.0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0.00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Clavien-Dindo grade &gt;=III complications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7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11.9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0.00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Operative time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22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90.8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2.58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0.108</w:t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Estimated blood loss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20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80.5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1.73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0.188</w:t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Immediate urinary continence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12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23.2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1.79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0.181</w:t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Urinary continence at 2 weeks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4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91.9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0.00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Urinary continence at 6 months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17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59.8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0.77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0.379</w:t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Blood transfusion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8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0.0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0.63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0.429</w:t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Console time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10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97.1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94.08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&lt;0.001</w:t>
            </w:r>
          </w:p>
        </w:tc>
      </w:tr>
      <w:tr>
        <w:tc>
          <w:tcPr>
            <w:tcW w:type="dxa" w:w="5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Length of hospital stay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5</w:t>
            </w:r>
          </w:p>
        </w:tc>
        <w:tc>
          <w:tcPr>
            <w:tcW w:type="dxa" w:w="9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61.7</w:t>
            </w:r>
          </w:p>
        </w:tc>
        <w:tc>
          <w:tcPr>
            <w:tcW w:type="dxa" w:w="25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5.08</w:t>
            </w:r>
          </w:p>
        </w:tc>
        <w:tc>
          <w:tcPr>
            <w:tcW w:type="dxa" w:w="6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1000"/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  <w:t>0.024</w:t>
            </w:r>
          </w:p>
        </w:tc>
      </w:tr>
    </w:tbl>
    <w:p>
      <w:pPr>
        <w:spacing w:before="80" w:after="80"/>
      </w:pPr>
      <w:r>
        <w:rPr>
          <w:i/>
          <w:sz w:val="16"/>
        </w:rPr>
        <w:t>I2, statistical heterogeneity. A blank P value indicates that the between-design component was not estimable.</w:t>
      </w:r>
    </w:p>
    <w:p>
      <w:pPr>
        <w:spacing w:before="280" w:after="100"/>
      </w:pPr>
      <w:r>
        <w:rPr>
          <w:rFonts w:ascii="Calibri" w:hAnsi="Calibri"/>
          <w:b/>
          <w:sz w:val="26"/>
        </w:rPr>
        <w:t>Individual-study results and quality control</w:t>
      </w:r>
    </w:p>
    <w:p>
      <w:r>
        <w:t>The Binary Effects and Continuous Effects sheets in Supplementary Data 1 report the simple arm-level data and direct effect estimate with 95% confidence interval for every included study comparison. The Binary Arms and Continuous Arms sheets retain each parsed value, source row, and model-inclusion status.</w:t>
      </w:r>
    </w:p>
    <w:p>
      <w:r>
        <w:t>The original extraction dataset was not altered. The validated analysis input and an itemized correction log are supplied as Supplementary Data 2 and Supplementary Data 3. The QC Flags sheet records 29 low-priority and 24 moderate-priority flags. Potency, biochemical recurrence, time to continence, and stage-specific margins were not meta-analysed because reporting was insufficiently harmonized. The global inconsistency signals should be considered when interpreting console-time and length-of-stay estimates.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792" w:bottom="792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sz w:val="16"/>
      </w:rPr>
      <w:t xml:space="preserve">Retzius-sparing prostatectomy network meta-analysis |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sz w:val="16"/>
      </w:rPr>
      <w:t>Supplementary File 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64" w:lineRule="auto"/>
    </w:pPr>
    <w:rPr>
      <w:rFonts w:ascii="Calibri" w:hAnsi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