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DCF8" w14:textId="77777777" w:rsidR="009273A8" w:rsidRDefault="009273A8" w:rsidP="009273A8">
      <w:pPr>
        <w:pStyle w:val="Heading2"/>
        <w:spacing w:before="360" w:after="140"/>
      </w:pPr>
      <w:bookmarkStart w:id="0" w:name="online-resources"/>
      <w:r>
        <w:rPr>
          <w:rFonts w:ascii="Times New Roman" w:eastAsia="Times New Roman" w:hAnsi="Times New Roman" w:cs="Times New Roman"/>
          <w:b/>
          <w:bCs/>
          <w:color w:val="000000"/>
          <w:sz w:val="26"/>
          <w:szCs w:val="26"/>
        </w:rPr>
        <w:t>Online Resources</w:t>
      </w:r>
      <w:bookmarkEnd w:id="0"/>
    </w:p>
    <w:p w14:paraId="387800F1" w14:textId="77777777" w:rsidR="009273A8" w:rsidRDefault="009273A8" w:rsidP="009273A8">
      <w:pPr>
        <w:pStyle w:val="FirstParagraph"/>
        <w:spacing w:before="0" w:after="120"/>
      </w:pPr>
      <w:r>
        <w:t>Supplementary material is supplied as three files. Each carries the article title, the journal name, the author names, and the affiliation and e-mail address of the corresponding author, as required.</w:t>
      </w:r>
    </w:p>
    <w:p w14:paraId="6EC8F823" w14:textId="77777777" w:rsidR="009273A8" w:rsidRDefault="009273A8" w:rsidP="009273A8">
      <w:pPr>
        <w:pStyle w:val="BodyText"/>
        <w:spacing w:before="0" w:after="120"/>
      </w:pPr>
      <w:r>
        <w:t>Online Resource 1 (</w:t>
      </w:r>
      <w:r>
        <w:rPr>
          <w:rStyle w:val="VerbatimChar"/>
        </w:rPr>
        <w:t>ESM_1.pdf</w:t>
      </w:r>
      <w:r>
        <w:t>) Supplementary figures S1–S7 with their captions</w:t>
      </w:r>
    </w:p>
    <w:p w14:paraId="2EE447B5" w14:textId="77777777" w:rsidR="009273A8" w:rsidRDefault="009273A8" w:rsidP="009273A8">
      <w:pPr>
        <w:pStyle w:val="BodyText"/>
        <w:spacing w:before="0" w:after="120"/>
      </w:pPr>
      <w:r>
        <w:t>Online Resource 2 (</w:t>
      </w:r>
      <w:r>
        <w:rPr>
          <w:rStyle w:val="VerbatimChar"/>
        </w:rPr>
        <w:t>ESM_2.xlsx</w:t>
      </w:r>
      <w:r>
        <w:t>) Supplementary tables S1–S34, one worksheet per table, each with its caption</w:t>
      </w:r>
    </w:p>
    <w:p w14:paraId="069FC14D" w14:textId="77777777" w:rsidR="009273A8" w:rsidRDefault="009273A8" w:rsidP="009273A8">
      <w:pPr>
        <w:pStyle w:val="BodyText"/>
        <w:spacing w:before="0" w:after="120"/>
      </w:pPr>
      <w:r>
        <w:t>Online Resource 3 (</w:t>
      </w:r>
      <w:r>
        <w:rPr>
          <w:rStyle w:val="VerbatimChar"/>
        </w:rPr>
        <w:t>ESM_3.fasta</w:t>
      </w:r>
      <w:r>
        <w:t xml:space="preserve">) </w:t>
      </w:r>
      <w:r>
        <w:rPr>
          <w:i/>
        </w:rPr>
        <w:t>TEF1-α</w:t>
      </w:r>
      <w:r>
        <w:t xml:space="preserve"> and </w:t>
      </w:r>
      <w:r>
        <w:rPr>
          <w:i/>
        </w:rPr>
        <w:t>RPB2</w:t>
      </w:r>
      <w:r>
        <w:t xml:space="preserve"> barcode sequences of the fifteen isolates in FASTA format, thirty sequences in all; each header gives the locus, the strain and the assembly coordinates from which the sequence was extracted.</w:t>
      </w:r>
    </w:p>
    <w:p w14:paraId="39C75295" w14:textId="77777777" w:rsidR="009273A8" w:rsidRDefault="009273A8" w:rsidP="009273A8">
      <w:pPr>
        <w:pStyle w:val="Heading3"/>
        <w:spacing w:before="280" w:after="120"/>
      </w:pPr>
      <w:bookmarkStart w:id="1" w:name="X6b1113797566948672bc62612197e1484c05d3a"/>
      <w:r>
        <w:rPr>
          <w:rFonts w:ascii="Times New Roman" w:eastAsia="Times New Roman" w:hAnsi="Times New Roman" w:cs="Times New Roman"/>
          <w:b/>
          <w:bCs/>
          <w:color w:val="000000"/>
          <w:sz w:val="24"/>
          <w:szCs w:val="24"/>
        </w:rPr>
        <w:t>Captions of the supplementary figures (Online Resource 1)</w:t>
      </w:r>
      <w:bookmarkEnd w:id="1"/>
    </w:p>
    <w:p w14:paraId="2EB7ED08" w14:textId="77777777" w:rsidR="009273A8" w:rsidRDefault="009273A8" w:rsidP="009273A8">
      <w:pPr>
        <w:pStyle w:val="FirstParagraph"/>
        <w:spacing w:before="0" w:after="120"/>
      </w:pPr>
      <w:r>
        <w:rPr>
          <w:b/>
        </w:rPr>
        <w:t>Fig. S1</w:t>
      </w:r>
      <w:r>
        <w:t xml:space="preserve"> Principal coordinates analysis of the Fol-cluster supermatrix. PCoA of amino-acid identity distances computed from the same 4,464-locus supermatrix as Fig. 2 (n = 150 genomes: the 135 distinct public genomes plus the 15 isolates from Türkiye). PC1 explains 58.5%, PC2 14.1% and PC3 7.1% of the variance. Points are coloured by the lineage recovered in Fig. 2, never by the laboratory pathogenicity label, which is confounded with host of isolation (Section 4.5). (</w:t>
      </w:r>
      <w:r>
        <w:rPr>
          <w:b/>
        </w:rPr>
        <w:t>a</w:t>
      </w:r>
      <w:r>
        <w:t>) PC1 versus PC2 over the full range: PC1 is almost entirely the FO-A3/FO-A1 axis, so the remaining 148 genomes collapse onto one line; the separation is a result and is therefore drawn to scale. The dashed rectangle marks the region magnified in (b). (</w:t>
      </w:r>
      <w:r>
        <w:rPr>
          <w:b/>
        </w:rPr>
        <w:t>b</w:t>
      </w:r>
      <w:r>
        <w:t xml:space="preserve">) PC1 versus PC2 over the dense region, with the 13 remaining isolates from Türkiye labelled. FO-6 is resolved here at PC1 = +0.0265, on the opposite side of zero from all 135 public genomes (−0.0070 to −0.0033) and from the 12 confirmed </w:t>
      </w:r>
      <w:r>
        <w:rPr>
          <w:i/>
        </w:rPr>
        <w:t>F. oxysporum</w:t>
      </w:r>
      <w:r>
        <w:t xml:space="preserve"> isolates from Türkiye (−0.0062 to −0.0027); it is marked and its species reassignment is given in Section 3.3. (</w:t>
      </w:r>
      <w:r>
        <w:rPr>
          <w:b/>
        </w:rPr>
        <w:t>c</w:t>
      </w:r>
      <w:r>
        <w:t xml:space="preserve">) PC2 versus PC3 for the same 13 isolates, where the structure among the </w:t>
      </w:r>
      <w:r>
        <w:rPr>
          <w:i/>
        </w:rPr>
        <w:t>F. oxysporum</w:t>
      </w:r>
      <w:r>
        <w:t xml:space="preserve"> isolates resolves. The coordinate file holds 150 of the 152 tree tips; the two absentees are exactly the superseded duplicate accessions GCA_000733055.2 and GCA_001703025.1, so the PCoA was already de-duplicated and no re-run was required</w:t>
      </w:r>
    </w:p>
    <w:p w14:paraId="610D09A5" w14:textId="77777777" w:rsidR="009273A8" w:rsidRDefault="009273A8" w:rsidP="009273A8">
      <w:pPr>
        <w:pStyle w:val="BodyText"/>
        <w:spacing w:before="0" w:after="120"/>
      </w:pPr>
      <w:r>
        <w:rPr>
          <w:b/>
        </w:rPr>
        <w:t>Fig. S2</w:t>
      </w:r>
      <w:r>
        <w:t xml:space="preserve"> Genotype principal component analysis of the 12 deeply sequenced isolates. PCA of the filtered joint-call genotype matrix. Of 13,913,835 records in the callable-region VCF, 731,390 sites were polymorphic among the 12 isolates (700,918 single-nucleotide variants and 30,472 indels) and these are the sites the PCA uses; monomorphic records contribute an all-zero column after per-variant centring and are dropped without any effect on the eigenvalues or eigenvectors. This is not the same quantity as the 702,353 non-reference single-nucleotide variants reported in Section 3.8, which counts every filtered record including those at which all 12 isolates share the same non-reference genotype. Missing genotypes are row-mean imputed and variants are centred before singular-value decomposition, exactly as in </w:t>
      </w:r>
      <w:r>
        <w:rPr>
          <w:rStyle w:val="VerbatimChar"/>
        </w:rPr>
        <w:t>variant_calling/pca.py</w:t>
      </w:r>
      <w:r>
        <w:t>. (</w:t>
      </w:r>
      <w:r>
        <w:rPr>
          <w:b/>
        </w:rPr>
        <w:t>a</w:t>
      </w:r>
      <w:r>
        <w:t xml:space="preserve">) PC1 (76.46% of variance) versus PC2 (9.88%), coloured by phylogenomic lineage, with a magnified inset over the five f. sp. </w:t>
      </w:r>
      <w:r>
        <w:rPr>
          <w:i/>
        </w:rPr>
        <w:t>lycopersici</w:t>
      </w:r>
      <w:r>
        <w:t>-clade isolates, which are mutually near-identical at the core-genome level and would otherwise overplot as a single mark. (</w:t>
      </w:r>
      <w:r>
        <w:rPr>
          <w:b/>
        </w:rPr>
        <w:t>b</w:t>
      </w:r>
      <w:r>
        <w:t xml:space="preserve">) Scree plot of the variance explained by each principal component. The three isolates excluded for low mapped depth against Fol4287 are FO-A3 (6.3×), FO-A1 (6.2×) and FO-6 (10.4×): the same three isolates that the two-locus barcoding of Section 2.4 subsequently placed outside </w:t>
      </w:r>
      <w:r>
        <w:rPr>
          <w:i/>
        </w:rPr>
        <w:t>F. oxysporum</w:t>
      </w:r>
      <w:r>
        <w:t xml:space="preserve">, and, at true sequencing depths of 72.5×, 71.7× and 114.8×, not low-coverage libraries (Section 3.1; Online Resource 2, Table S19). The depth threshold of ≥ 49× and the species assignment select identical sets of twelve isolates, so this figure required no re-run after the reassignment and the 12 isolates shown are exactly the 12 confirmed </w:t>
      </w:r>
      <w:r>
        <w:rPr>
          <w:i/>
        </w:rPr>
        <w:t>F. oxysporum</w:t>
      </w:r>
      <w:r>
        <w:t xml:space="preserve"> isolates analysed throughout Sections 3.4–3.8</w:t>
      </w:r>
    </w:p>
    <w:p w14:paraId="4C37F28E" w14:textId="77777777" w:rsidR="009273A8" w:rsidRDefault="009273A8" w:rsidP="009273A8">
      <w:pPr>
        <w:pStyle w:val="BodyText"/>
        <w:spacing w:before="0" w:after="120"/>
      </w:pPr>
      <w:r>
        <w:rPr>
          <w:b/>
        </w:rPr>
        <w:t>Fig. S3</w:t>
      </w:r>
      <w:r>
        <w:t xml:space="preserve"> Carbohydrate-active enzyme (CAZyme) repertoire of the 15 isolates from Türkiye. dbCAN v13 </w:t>
      </w:r>
      <w:r>
        <w:rPr>
          <w:rStyle w:val="VerbatimChar"/>
        </w:rPr>
        <w:t>hmmscan</w:t>
      </w:r>
      <w:r>
        <w:t xml:space="preserve"> annotation (</w:t>
      </w:r>
      <w:r>
        <w:rPr>
          <w:rStyle w:val="VerbatimChar"/>
        </w:rPr>
        <w:t>--domE 1e-3</w:t>
      </w:r>
      <w:r>
        <w:t>) of the predicted proteomes; isolates are ordered by lineage and then by strain code. (</w:t>
      </w:r>
      <w:r>
        <w:rPr>
          <w:b/>
        </w:rPr>
        <w:t>a</w:t>
      </w:r>
      <w:r>
        <w:t>) Class composition as a percentage of CAZyme domain occurrences, in the six CAZy classes. (</w:t>
      </w:r>
      <w:r>
        <w:rPr>
          <w:b/>
        </w:rPr>
        <w:t>b</w:t>
      </w:r>
      <w:r>
        <w:t>) Totals under both counting conventions, plotted side by side because they differ by roughly six-fold and are easily conflated: domain occurrences (2,587–6,942 across the 15 isolates) and non-redundant CAZymes, that is, proteins carrying at least one CAZy domain (524–1,186). Class sums in (a) and (b) reconcile with Online Resource 2, Table S32 for every isolate. (</w:t>
      </w:r>
      <w:r>
        <w:rPr>
          <w:b/>
        </w:rPr>
        <w:t>c</w:t>
      </w:r>
      <w:r>
        <w:t xml:space="preserve">) Heat map of the 34 most abundant of the 636 dbCAN families detected, on a log₁₀(count + 1) scale. Panel (c) is built from the per-sample dbCAN family tables. FO-A3, FO-A1 and FO-6 are shaded and asterisked in every panel: none is </w:t>
      </w:r>
      <w:r>
        <w:rPr>
          <w:i/>
        </w:rPr>
        <w:t>F. oxysporum</w:t>
      </w:r>
      <w:r>
        <w:t xml:space="preserve"> (Section 3.3), so their counts are Liftoff annotation-transfer artefacts and not biology (Sections 2.8 and 4.3). The class-composition percentages quoted in Section 3.6 are computed over the 12 confirmed </w:t>
      </w:r>
      <w:r>
        <w:rPr>
          <w:i/>
        </w:rPr>
        <w:t>F. oxysporum</w:t>
      </w:r>
      <w:r>
        <w:t xml:space="preserve"> isolates only</w:t>
      </w:r>
    </w:p>
    <w:p w14:paraId="196115D8" w14:textId="77777777" w:rsidR="009273A8" w:rsidRDefault="009273A8" w:rsidP="009273A8">
      <w:pPr>
        <w:pStyle w:val="BodyText"/>
        <w:spacing w:before="0" w:after="120"/>
      </w:pPr>
      <w:r>
        <w:rPr>
          <w:b/>
        </w:rPr>
        <w:lastRenderedPageBreak/>
        <w:t>Fig. S4</w:t>
      </w:r>
      <w:r>
        <w:t xml:space="preserve"> Chromosomal distribution of secreted proteins. Each secreted protein is assigned to the Fol4287 sequence carrying its orthologue; this is a reference coordinate, identical in provenance for all 15 isolates, and not a de novo assembly position. (</w:t>
      </w:r>
      <w:r>
        <w:rPr>
          <w:b/>
        </w:rPr>
        <w:t>a</w:t>
      </w:r>
      <w:r>
        <w:t>) Secreted proteins per 1,000 Fol4287 reference gene models on the same sequence. Normalisation is necessary because raw counts are confounded on both axes; a column is tall largely because that chromosome carries more reference gene models. (</w:t>
      </w:r>
      <w:r>
        <w:rPr>
          <w:b/>
        </w:rPr>
        <w:t>b</w:t>
      </w:r>
      <w:r>
        <w:t>) The same matrix as raw counts, for transparency. Accessory chromosomes 3, 6, 14 and 15 are marked. The “Unpl.” column reports secreted proteins whose Fol4287 orthologue lies on an unplaced scaffold (</w:t>
      </w:r>
      <w:r>
        <w:rPr>
          <w:rStyle w:val="VerbatimChar"/>
        </w:rPr>
        <w:t>NW_*</w:t>
      </w:r>
      <w:r>
        <w:t xml:space="preserve">): 694 of the 17,083 secreted-protein records across the 15 isolates, 76 distinct proteins, 10–61 records per isolate. With that column included, all 15 row sums reconcile exactly with the per-isolate secretome sizes in Online Resource 2, Table S30. FO-A3, FO-A1 and FO-6 are outlined in red and daggered; none is </w:t>
      </w:r>
      <w:r>
        <w:rPr>
          <w:i/>
        </w:rPr>
        <w:t>F. oxysporum</w:t>
      </w:r>
      <w:r>
        <w:t xml:space="preserve"> (Section 3.3), so their secretome sizes are Liftoff annotation-transfer artefacts (Sections 2.8 and 4.3). All 15 isolates are retained in this figure so that the artefact is visible; the 17,083 records it totals are the 15-isolate total, of which 15,343 belong to the 12 confirmed isolates</w:t>
      </w:r>
    </w:p>
    <w:p w14:paraId="3C8FB44B" w14:textId="77777777" w:rsidR="009273A8" w:rsidRDefault="009273A8" w:rsidP="009273A8">
      <w:pPr>
        <w:pStyle w:val="BodyText"/>
        <w:spacing w:before="0" w:after="120"/>
      </w:pPr>
      <w:r>
        <w:rPr>
          <w:b/>
        </w:rPr>
        <w:t>Fig. S5</w:t>
      </w:r>
      <w:r>
        <w:t xml:space="preserve"> Two-locus species assignment of the 15 isolates from Türkiye. (</w:t>
      </w:r>
      <w:r>
        <w:rPr>
          <w:b/>
        </w:rPr>
        <w:t>a</w:t>
      </w:r>
      <w:r>
        <w:t xml:space="preserve">) Nucleotide identity of each isolate to </w:t>
      </w:r>
      <w:r>
        <w:rPr>
          <w:i/>
        </w:rPr>
        <w:t>F. oxysporum</w:t>
      </w:r>
      <w:r>
        <w:t xml:space="preserve"> f. sp. </w:t>
      </w:r>
      <w:r>
        <w:rPr>
          <w:i/>
        </w:rPr>
        <w:t>lycopersici</w:t>
      </w:r>
      <w:r>
        <w:t xml:space="preserve"> 4287 at the 771 bp </w:t>
      </w:r>
      <w:r>
        <w:rPr>
          <w:i/>
        </w:rPr>
        <w:t>TEF1-α</w:t>
      </w:r>
      <w:r>
        <w:t xml:space="preserve"> barcode region and at the 4,201 bp </w:t>
      </w:r>
      <w:r>
        <w:rPr>
          <w:i/>
        </w:rPr>
        <w:t>RPB2</w:t>
      </w:r>
      <w:r>
        <w:t xml:space="preserve"> locus, computed over alignment columns at which neither sequence carries a gap or an N. The three isolates reassigned outside </w:t>
      </w:r>
      <w:r>
        <w:rPr>
          <w:i/>
        </w:rPr>
        <w:t>F. oxysporum</w:t>
      </w:r>
      <w:r>
        <w:t xml:space="preserve"> are coloured and bold-labelled. Reference lines mark 99% and 95% identity. (</w:t>
      </w:r>
      <w:r>
        <w:rPr>
          <w:b/>
        </w:rPr>
        <w:t>b</w:t>
      </w:r>
      <w:r>
        <w:t>) Genome-wide assignment of randomly sampled 1-kb windows per isolate (a sampling target of 1,500 windows, 1,465–1,497 of which were recovered per isolate) to the best-matching of the four references, shown for a representative confirmed isolate (07AKK-3.2/15), for FO-A2, and for the three reassigned isolates; windows with no reference hit are shown in grey. (</w:t>
      </w:r>
      <w:r>
        <w:rPr>
          <w:b/>
        </w:rPr>
        <w:t>c</w:t>
      </w:r>
      <w:r>
        <w:t xml:space="preserve">) Neighbour-joining tree of the </w:t>
      </w:r>
      <w:r>
        <w:rPr>
          <w:i/>
        </w:rPr>
        <w:t>TEF1-α</w:t>
      </w:r>
      <w:r>
        <w:t xml:space="preserve"> barcode region for a subset of isolates together with the four reference barcodes, showing that FO-A3 and FO-A1 group with the </w:t>
      </w:r>
      <w:r>
        <w:rPr>
          <w:i/>
        </w:rPr>
        <w:t>Fusarium solani</w:t>
      </w:r>
      <w:r>
        <w:t xml:space="preserve"> complex references and FO-6 with </w:t>
      </w:r>
      <w:r>
        <w:rPr>
          <w:i/>
        </w:rPr>
        <w:t>F. verticillioides</w:t>
      </w:r>
      <w:r>
        <w:t xml:space="preserve"> 7600</w:t>
      </w:r>
    </w:p>
    <w:p w14:paraId="70047D41" w14:textId="77777777" w:rsidR="009273A8" w:rsidRDefault="009273A8" w:rsidP="009273A8">
      <w:pPr>
        <w:pStyle w:val="BodyText"/>
        <w:spacing w:before="0" w:after="120"/>
      </w:pPr>
      <w:r>
        <w:rPr>
          <w:b/>
        </w:rPr>
        <w:t>Fig. S6</w:t>
      </w:r>
      <w:r>
        <w:t xml:space="preserve"> </w:t>
      </w:r>
      <w:r>
        <w:rPr>
          <w:i/>
        </w:rPr>
        <w:t>Avr2</w:t>
      </w:r>
      <w:r>
        <w:t>/</w:t>
      </w:r>
      <w:r>
        <w:rPr>
          <w:i/>
        </w:rPr>
        <w:t>SIX3</w:t>
      </w:r>
      <w:r>
        <w:t xml:space="preserve"> race genotype of the isolates from Türkiye against the public f. sp. </w:t>
      </w:r>
      <w:r>
        <w:rPr>
          <w:i/>
        </w:rPr>
        <w:t>lycopersici</w:t>
      </w:r>
      <w:r>
        <w:t xml:space="preserve"> panel. (</w:t>
      </w:r>
      <w:r>
        <w:rPr>
          <w:b/>
        </w:rPr>
        <w:t>a</w:t>
      </w:r>
      <w:r>
        <w:t xml:space="preserve">) Race genotype composition, as a percentage of genomes typed, for the six </w:t>
      </w:r>
      <w:r>
        <w:rPr>
          <w:i/>
        </w:rPr>
        <w:t>SIX3</w:t>
      </w:r>
      <w:r>
        <w:t xml:space="preserve">-positive isolates from Türkiye and for the 26 public genomes registered as f. sp. </w:t>
      </w:r>
      <w:r>
        <w:rPr>
          <w:i/>
        </w:rPr>
        <w:t>lycopersici</w:t>
      </w:r>
      <w:r>
        <w:t xml:space="preserve"> from which an </w:t>
      </w:r>
      <w:r>
        <w:rPr>
          <w:i/>
        </w:rPr>
        <w:t>Avr2</w:t>
      </w:r>
      <w:r>
        <w:t xml:space="preserve"> sequence could be recovered. Race 1 is defined by </w:t>
      </w:r>
      <w:r>
        <w:rPr>
          <w:i/>
        </w:rPr>
        <w:t>SIX4</w:t>
      </w:r>
      <w:r>
        <w:t xml:space="preserve"> presence; race 2 by </w:t>
      </w:r>
      <w:r>
        <w:rPr>
          <w:i/>
        </w:rPr>
        <w:t>SIX4</w:t>
      </w:r>
      <w:r>
        <w:t xml:space="preserve"> absence with a wild-type </w:t>
      </w:r>
      <w:r>
        <w:rPr>
          <w:i/>
        </w:rPr>
        <w:t>Avr2</w:t>
      </w:r>
      <w:r>
        <w:t xml:space="preserve">; race 3 by </w:t>
      </w:r>
      <w:r>
        <w:rPr>
          <w:i/>
        </w:rPr>
        <w:t>SIX4</w:t>
      </w:r>
      <w:r>
        <w:t xml:space="preserve"> absence with any of the substitutions V41M, R45H or R46P. (</w:t>
      </w:r>
      <w:r>
        <w:rPr>
          <w:b/>
        </w:rPr>
        <w:t>b</w:t>
      </w:r>
      <w:r>
        <w:t>) Frequency of each of the three race-3 substitutions in the two groups, with counts over denominators printed beside each bar. All six isolates from Türkiye carry R46P; the public panel carries R45H in 3, R46P in 3 and V41M in 1 of 26. Because five of the six isolates from Türkiye are near-clones, this panel is a description of allele carriage and not a test of enrichment; the conservative Fisher test that collapses the near-clones to a single observation is not significant (one-sided p = 0.095; Online Resource 2, Table S23)</w:t>
      </w:r>
    </w:p>
    <w:p w14:paraId="774628E9" w14:textId="77777777" w:rsidR="009273A8" w:rsidRDefault="009273A8" w:rsidP="009273A8">
      <w:pPr>
        <w:pStyle w:val="BodyText"/>
        <w:spacing w:before="0" w:after="120"/>
      </w:pPr>
      <w:r>
        <w:rPr>
          <w:b/>
        </w:rPr>
        <w:t>Fig. S7</w:t>
      </w:r>
      <w:r>
        <w:t xml:space="preserve"> </w:t>
      </w:r>
      <w:r>
        <w:rPr>
          <w:i/>
        </w:rPr>
        <w:t>Secreted In Xylem</w:t>
      </w:r>
      <w:r>
        <w:t xml:space="preserve"> (SIX) presence/absence called from raw reads, with no assembly in the procedure. (</w:t>
      </w:r>
      <w:r>
        <w:rPr>
          <w:b/>
        </w:rPr>
        <w:t>a</w:t>
      </w:r>
      <w:r>
        <w:t xml:space="preserve">) Heat map of read-based depth at each of the 15 SIX loci in each of the 15 isolates, expressed as a fraction of that isolate’s genome-wide sequencing depth so that reference-recruitment artefacts are visible rather than hidden. Rows for the three isolates reassigned outside </w:t>
      </w:r>
      <w:r>
        <w:rPr>
          <w:i/>
        </w:rPr>
        <w:t>F. oxysporum</w:t>
      </w:r>
      <w:r>
        <w:t xml:space="preserve"> (Section 3.3) are coloured and bold. An orange outline marks the cells called present by the assembly-based tblastn screen of Table 2, so that agreement and disagreement between the two methods can be read directly off the panel. An exclamation mark marks cells at more than twice the genome-wide depth: these are reference-recruitment artefacts of a 15-locus reference, not high copy number, and are not reported as presence (Section 2.9; Online Resource 2, Table S21). (</w:t>
      </w:r>
      <w:r>
        <w:rPr>
          <w:b/>
        </w:rPr>
        <w:t>b</w:t>
      </w:r>
      <w:r>
        <w:t xml:space="preserve">) Confusion matrix of the two call sets over all 225 isolate × gene comparisons: 141 absent by both methods, 73 present by both, 11 present from reads only and none present from the assembly only, giving 214/225 = 95.1% concordance. The ten calls that formerly ran assembly-present/reads-absent are the ten withdrawn by the contig criterion of Section 2.9, so the residual disagreement runs in one direction only. </w:t>
      </w:r>
      <w:r>
        <w:rPr>
          <w:i/>
        </w:rPr>
        <w:t>SIX4</w:t>
      </w:r>
      <w:r>
        <w:t>/</w:t>
      </w:r>
      <w:r>
        <w:rPr>
          <w:i/>
        </w:rPr>
        <w:t>Avr1</w:t>
      </w:r>
      <w:r>
        <w:t xml:space="preserve"> recruited zero reads in all 15 isolates, against a median depth of 61× for the SIX genes scored present. The reference used here was built exclusively from public genomes (Online Resource 2, Table S22), so this test is independent of the assemblies from Türkiye</w:t>
      </w:r>
    </w:p>
    <w:p w14:paraId="599C6E0D" w14:textId="77777777" w:rsidR="009273A8" w:rsidRDefault="009273A8" w:rsidP="009273A8">
      <w:pPr>
        <w:pStyle w:val="Heading3"/>
        <w:spacing w:before="280" w:after="120"/>
      </w:pPr>
      <w:bookmarkStart w:id="2" w:name="X0d36169026dd9f69554b8ae5b7709f55ecaa876"/>
      <w:r>
        <w:rPr>
          <w:rFonts w:ascii="Times New Roman" w:eastAsia="Times New Roman" w:hAnsi="Times New Roman" w:cs="Times New Roman"/>
          <w:b/>
          <w:bCs/>
          <w:color w:val="000000"/>
          <w:sz w:val="24"/>
          <w:szCs w:val="24"/>
        </w:rPr>
        <w:t>Captions of the supplementary tables (Online Resource 2)</w:t>
      </w:r>
      <w:bookmarkEnd w:id="2"/>
    </w:p>
    <w:p w14:paraId="6136C8DB" w14:textId="77777777" w:rsidR="009273A8" w:rsidRDefault="009273A8" w:rsidP="009273A8">
      <w:pPr>
        <w:pStyle w:val="FirstParagraph"/>
        <w:spacing w:before="0" w:after="120"/>
      </w:pPr>
      <w:r>
        <w:rPr>
          <w:b/>
        </w:rPr>
        <w:t>Table S1</w:t>
      </w:r>
      <w:r>
        <w:t xml:space="preserve"> The 135 distinct public genomes of the Fol cluster (Section 2.7): the public side of the 150-taxon placement matrix and of the harmonised SIX screen. Accession, organism, </w:t>
      </w:r>
      <w:r>
        <w:rPr>
          <w:i/>
        </w:rPr>
        <w:t>forma specialis</w:t>
      </w:r>
      <w:r>
        <w:t xml:space="preserve"> where designated, Mash distance to Fol4287, and a column stating which of them are also among the 363 genomes of the species-complex framework of Akal and Kaymaz (2026) (78 are, 57 are not). </w:t>
      </w:r>
      <w:r>
        <w:rPr>
          <w:i/>
        </w:rPr>
        <w:t>Source:</w:t>
      </w:r>
      <w:r>
        <w:t xml:space="preserve"> </w:t>
      </w:r>
      <w:r>
        <w:rPr>
          <w:rStyle w:val="VerbatimChar"/>
        </w:rPr>
        <w:t>tables/TableS1_public_genomes_135_Fol_cluster.tsv</w:t>
      </w:r>
    </w:p>
    <w:p w14:paraId="0DC45520" w14:textId="77777777" w:rsidR="009273A8" w:rsidRDefault="009273A8" w:rsidP="009273A8">
      <w:pPr>
        <w:pStyle w:val="BodyText"/>
        <w:spacing w:before="0" w:after="120"/>
      </w:pPr>
      <w:r>
        <w:rPr>
          <w:b/>
        </w:rPr>
        <w:t>Table S2</w:t>
      </w:r>
      <w:r>
        <w:t xml:space="preserve"> Software versions. </w:t>
      </w:r>
      <w:r>
        <w:rPr>
          <w:i/>
        </w:rPr>
        <w:t>Source:</w:t>
      </w:r>
      <w:r>
        <w:t xml:space="preserve"> </w:t>
      </w:r>
      <w:r>
        <w:rPr>
          <w:rStyle w:val="VerbatimChar"/>
        </w:rPr>
        <w:t>core_busco_phylogeny_output/00_metadata/software_versions.tsv</w:t>
      </w:r>
    </w:p>
    <w:p w14:paraId="40025EC1" w14:textId="77777777" w:rsidR="009273A8" w:rsidRDefault="009273A8" w:rsidP="009273A8">
      <w:pPr>
        <w:pStyle w:val="BodyText"/>
        <w:spacing w:before="0" w:after="120"/>
      </w:pPr>
      <w:r>
        <w:rPr>
          <w:b/>
        </w:rPr>
        <w:lastRenderedPageBreak/>
        <w:t>Table S3</w:t>
      </w:r>
      <w:r>
        <w:t xml:space="preserve"> Nearest public relatives of each isolate from Türkiye by patristic distance along the fitted maximum-likelihood tree of Fig. 2, with the observed amino-acid distance alongside. Replaces the nearest-relative table of the original submission, which was derived from the IQ-TREE </w:t>
      </w:r>
      <w:r>
        <w:rPr>
          <w:rStyle w:val="VerbatimChar"/>
        </w:rPr>
        <w:t>.mldist</w:t>
      </w:r>
      <w:r>
        <w:t xml:space="preserve"> file (see the Online Resource 2, Table S29 footnote)</w:t>
      </w:r>
    </w:p>
    <w:p w14:paraId="35F9D972" w14:textId="77777777" w:rsidR="009273A8" w:rsidRDefault="009273A8" w:rsidP="009273A8">
      <w:pPr>
        <w:pStyle w:val="BodyText"/>
        <w:spacing w:before="0" w:after="120"/>
      </w:pPr>
      <w:r>
        <w:rPr>
          <w:b/>
        </w:rPr>
        <w:t>Table S4</w:t>
      </w:r>
      <w:r>
        <w:t xml:space="preserve"> Distribution of SIX gene counts per genome across the public panel</w:t>
      </w:r>
    </w:p>
    <w:p w14:paraId="4D17C141" w14:textId="77777777" w:rsidR="009273A8" w:rsidRDefault="009273A8" w:rsidP="009273A8">
      <w:pPr>
        <w:pStyle w:val="BodyText"/>
        <w:spacing w:before="0" w:after="120"/>
      </w:pPr>
      <w:r>
        <w:rPr>
          <w:b/>
        </w:rPr>
        <w:t>Table S5</w:t>
      </w:r>
      <w:r>
        <w:t xml:space="preserve"> Genome-wide transposable-element content per isolate</w:t>
      </w:r>
    </w:p>
    <w:p w14:paraId="235DC876" w14:textId="77777777" w:rsidR="009273A8" w:rsidRDefault="009273A8" w:rsidP="009273A8">
      <w:pPr>
        <w:pStyle w:val="BodyText"/>
        <w:spacing w:before="0" w:after="120"/>
      </w:pPr>
      <w:r>
        <w:rPr>
          <w:b/>
        </w:rPr>
        <w:t>Table S6</w:t>
      </w:r>
      <w:r>
        <w:t xml:space="preserve"> CAZy family counts by isolate. </w:t>
      </w:r>
      <w:r>
        <w:rPr>
          <w:i/>
        </w:rPr>
        <w:t>Source:</w:t>
      </w:r>
      <w:r>
        <w:t xml:space="preserve"> </w:t>
      </w:r>
      <w:r>
        <w:rPr>
          <w:rStyle w:val="VerbatimChar"/>
        </w:rPr>
        <w:t>cazy/janCAZy_family_by_sample_counts.tsv</w:t>
      </w:r>
    </w:p>
    <w:p w14:paraId="5FE01548" w14:textId="77777777" w:rsidR="009273A8" w:rsidRDefault="009273A8" w:rsidP="009273A8">
      <w:pPr>
        <w:pStyle w:val="BodyText"/>
        <w:spacing w:before="0" w:after="120"/>
      </w:pPr>
      <w:r>
        <w:rPr>
          <w:b/>
        </w:rPr>
        <w:t>Table S7</w:t>
      </w:r>
      <w:r>
        <w:t xml:space="preserve"> Annotated group-specific single-nucleotide variants and indels. </w:t>
      </w:r>
      <w:r>
        <w:rPr>
          <w:i/>
        </w:rPr>
        <w:t>Source:</w:t>
      </w:r>
      <w:r>
        <w:t xml:space="preserve"> </w:t>
      </w:r>
      <w:r>
        <w:rPr>
          <w:rStyle w:val="VerbatimChar"/>
        </w:rPr>
        <w:t>variant_calling/strict_*.ann.tsv</w:t>
      </w:r>
    </w:p>
    <w:p w14:paraId="329D50C3" w14:textId="77777777" w:rsidR="009273A8" w:rsidRDefault="009273A8" w:rsidP="009273A8">
      <w:pPr>
        <w:pStyle w:val="BodyText"/>
        <w:spacing w:before="0" w:after="120"/>
      </w:pPr>
      <w:r>
        <w:rPr>
          <w:b/>
        </w:rPr>
        <w:t>Table S8</w:t>
      </w:r>
      <w:r>
        <w:t xml:space="preserve"> BUSCO summary for the 622 quality-controlled public genomes. </w:t>
      </w:r>
      <w:r>
        <w:rPr>
          <w:i/>
        </w:rPr>
        <w:t>Source:</w:t>
      </w:r>
      <w:r>
        <w:t xml:space="preserve"> </w:t>
      </w:r>
      <w:r>
        <w:rPr>
          <w:rStyle w:val="VerbatimChar"/>
        </w:rPr>
        <w:t>ncbi_genome_comparison/busco_summary.tsv</w:t>
      </w:r>
    </w:p>
    <w:p w14:paraId="58300801" w14:textId="77777777" w:rsidR="009273A8" w:rsidRDefault="009273A8" w:rsidP="009273A8">
      <w:pPr>
        <w:pStyle w:val="BodyText"/>
        <w:spacing w:before="0" w:after="120"/>
      </w:pPr>
      <w:r>
        <w:rPr>
          <w:b/>
        </w:rPr>
        <w:t>Table S9</w:t>
      </w:r>
      <w:r>
        <w:t xml:space="preserve"> Two-locus species assignment of the 15 isolates from Türkiye: per-isolate identity to each of the four references at the </w:t>
      </w:r>
      <w:r>
        <w:rPr>
          <w:i/>
        </w:rPr>
        <w:t>TEF1-α</w:t>
      </w:r>
      <w:r>
        <w:t xml:space="preserve"> barcode region and the </w:t>
      </w:r>
      <w:r>
        <w:rPr>
          <w:i/>
        </w:rPr>
        <w:t>RPB2</w:t>
      </w:r>
      <w:r>
        <w:t xml:space="preserve"> locus, the nearest reference at each locus, the margin over the runner-up, the concordance flag and the resulting species call. </w:t>
      </w:r>
      <w:r>
        <w:rPr>
          <w:i/>
        </w:rPr>
        <w:t>Source:</w:t>
      </w:r>
      <w:r>
        <w:t xml:space="preserve"> </w:t>
      </w:r>
      <w:r>
        <w:rPr>
          <w:rStyle w:val="VerbatimChar"/>
        </w:rPr>
        <w:t>additional_analyses/tables/TableS_barcode_species_assignment.tsv</w:t>
      </w:r>
    </w:p>
    <w:p w14:paraId="45AFECEC" w14:textId="77777777" w:rsidR="009273A8" w:rsidRDefault="009273A8" w:rsidP="009273A8">
      <w:pPr>
        <w:pStyle w:val="BodyText"/>
        <w:spacing w:before="0" w:after="120"/>
      </w:pPr>
      <w:r>
        <w:rPr>
          <w:b/>
        </w:rPr>
        <w:t>Table S10</w:t>
      </w:r>
      <w:r>
        <w:t xml:space="preserve"> Long-form barcode identities: one row per isolate × locus × reference, giving percent identity and the number of ungapped aligned columns over which it was computed. </w:t>
      </w:r>
      <w:r>
        <w:rPr>
          <w:i/>
        </w:rPr>
        <w:t>Source:</w:t>
      </w:r>
      <w:r>
        <w:t xml:space="preserve"> </w:t>
      </w:r>
      <w:r>
        <w:rPr>
          <w:rStyle w:val="VerbatimChar"/>
        </w:rPr>
        <w:t>additional_analyses/tables/TableS_barcode_identity_long.tsv</w:t>
      </w:r>
    </w:p>
    <w:p w14:paraId="0920FC6B" w14:textId="77777777" w:rsidR="009273A8" w:rsidRDefault="009273A8" w:rsidP="009273A8">
      <w:pPr>
        <w:pStyle w:val="BodyText"/>
        <w:spacing w:before="0" w:after="120"/>
      </w:pPr>
      <w:r>
        <w:rPr>
          <w:b/>
        </w:rPr>
        <w:t>Table S11</w:t>
      </w:r>
      <w:r>
        <w:t xml:space="preserve"> Genome-wide 1-kb window composition under the strict ≥ 800 bp alignment criterion: per-isolate percentage of windows assigned to each reference, percentage unassigned, and the resulting call. </w:t>
      </w:r>
      <w:r>
        <w:rPr>
          <w:i/>
        </w:rPr>
        <w:t>Sources:</w:t>
      </w:r>
      <w:r>
        <w:t xml:space="preserve"> </w:t>
      </w:r>
      <w:r>
        <w:rPr>
          <w:rStyle w:val="VerbatimChar"/>
        </w:rPr>
        <w:t>additional_analyses/tables/TableS_window_composition.tsv</w:t>
      </w:r>
      <w:r>
        <w:t xml:space="preserve">, </w:t>
      </w:r>
      <w:r>
        <w:rPr>
          <w:rStyle w:val="VerbatimChar"/>
        </w:rPr>
        <w:t>TableS_window_composition_summary.tsv</w:t>
      </w:r>
    </w:p>
    <w:p w14:paraId="518050D0" w14:textId="77777777" w:rsidR="009273A8" w:rsidRDefault="009273A8" w:rsidP="009273A8">
      <w:pPr>
        <w:pStyle w:val="BodyText"/>
        <w:spacing w:before="0" w:after="120"/>
      </w:pPr>
      <w:r>
        <w:rPr>
          <w:b/>
        </w:rPr>
        <w:t>Table S12</w:t>
      </w:r>
      <w:r>
        <w:t xml:space="preserve"> Diagnostic PCR primer pairs for the SIX genes: sequences, lengths, Tm, GC, recommended annealing temperature, predicted product size, hairpin/dimer thermodynamics, in-silico specificity against the Türkiye and public panels, and per-pair sensitivity and specificity. </w:t>
      </w:r>
      <w:r>
        <w:rPr>
          <w:i/>
        </w:rPr>
        <w:t>Source:</w:t>
      </w:r>
      <w:r>
        <w:t xml:space="preserve"> </w:t>
      </w:r>
      <w:r>
        <w:rPr>
          <w:rStyle w:val="VerbatimChar"/>
        </w:rPr>
        <w:t>additional_analyses/tables/TableS_PCR_primers.tsv</w:t>
      </w:r>
    </w:p>
    <w:p w14:paraId="42A92164" w14:textId="77777777" w:rsidR="009273A8" w:rsidRDefault="009273A8" w:rsidP="009273A8">
      <w:pPr>
        <w:pStyle w:val="BodyText"/>
        <w:spacing w:before="0" w:after="120"/>
      </w:pPr>
      <w:r>
        <w:rPr>
          <w:b/>
        </w:rPr>
        <w:t>Table S13</w:t>
      </w:r>
      <w:r>
        <w:t xml:space="preserve"> Predicted amplicons for every primer pair × isolate combination, with unintended products and binding-site counts. </w:t>
      </w:r>
      <w:r>
        <w:rPr>
          <w:i/>
        </w:rPr>
        <w:t>Source:</w:t>
      </w:r>
      <w:r>
        <w:t xml:space="preserve"> </w:t>
      </w:r>
      <w:r>
        <w:rPr>
          <w:rStyle w:val="VerbatimChar"/>
        </w:rPr>
        <w:t>additional_analyses/tables/TableS_PCR_predicted_amplicons.tsv</w:t>
      </w:r>
    </w:p>
    <w:p w14:paraId="6D72CD65" w14:textId="77777777" w:rsidR="009273A8" w:rsidRDefault="009273A8" w:rsidP="009273A8">
      <w:pPr>
        <w:pStyle w:val="BodyText"/>
        <w:spacing w:before="0" w:after="120"/>
      </w:pPr>
      <w:r>
        <w:rPr>
          <w:b/>
        </w:rPr>
        <w:t>Table S14</w:t>
      </w:r>
      <w:r>
        <w:t xml:space="preserve"> Bimodality of the per-genome SIX count across the 150-genome panel: Hartigan dip statistic and its jittered replicates, skewness, excess kurtosis, bimodality coefficient, and one-, two- and three-component Gaussian mixture fits with AIC/BIC. </w:t>
      </w:r>
      <w:r>
        <w:rPr>
          <w:i/>
        </w:rPr>
        <w:t>Sources:</w:t>
      </w:r>
      <w:r>
        <w:t xml:space="preserve"> </w:t>
      </w:r>
      <w:r>
        <w:rPr>
          <w:rStyle w:val="VerbatimChar"/>
        </w:rPr>
        <w:t>additional_analyses/tables/TableA_bimodality.tsv</w:t>
      </w:r>
      <w:r>
        <w:t xml:space="preserve">, </w:t>
      </w:r>
      <w:r>
        <w:rPr>
          <w:rStyle w:val="VerbatimChar"/>
        </w:rPr>
        <w:t>TableA_bimodality_fitted_counts.tsv</w:t>
      </w:r>
    </w:p>
    <w:p w14:paraId="683E9440" w14:textId="77777777" w:rsidR="009273A8" w:rsidRDefault="009273A8" w:rsidP="009273A8">
      <w:pPr>
        <w:pStyle w:val="BodyText"/>
        <w:spacing w:before="0" w:after="120"/>
      </w:pPr>
      <w:r>
        <w:rPr>
          <w:b/>
        </w:rPr>
        <w:t>Table S15</w:t>
      </w:r>
      <w:r>
        <w:t xml:space="preserve"> Pairwise SIX co-occurrence across the 150-genome panel: φ coefficients and Fisher exact tests for all 105 gene pairs with Benjamini–Hochberg correction, together with the same statistics computed within phylogenetic strata (Cochran–Mantel–Haenszel) so that shared ancestry is controlled. </w:t>
      </w:r>
      <w:r>
        <w:rPr>
          <w:i/>
        </w:rPr>
        <w:t>Sources:</w:t>
      </w:r>
      <w:r>
        <w:t xml:space="preserve"> </w:t>
      </w:r>
      <w:r>
        <w:rPr>
          <w:rStyle w:val="VerbatimChar"/>
        </w:rPr>
        <w:t>additional_analyses/tables/TableB_phi_pairs_fdr.tsv</w:t>
      </w:r>
      <w:r>
        <w:t xml:space="preserve">, </w:t>
      </w:r>
      <w:r>
        <w:rPr>
          <w:rStyle w:val="VerbatimChar"/>
        </w:rPr>
        <w:t>TableB_phi_matrix.tsv</w:t>
      </w:r>
      <w:r>
        <w:t xml:space="preserve">, </w:t>
      </w:r>
      <w:r>
        <w:rPr>
          <w:rStyle w:val="VerbatimChar"/>
        </w:rPr>
        <w:t>TableB_cooccurrence_summary.tsv</w:t>
      </w:r>
      <w:r>
        <w:t xml:space="preserve">, </w:t>
      </w:r>
      <w:r>
        <w:rPr>
          <w:rStyle w:val="VerbatimChar"/>
        </w:rPr>
        <w:t>TableB_Fol4287_SIX_locations.tsv</w:t>
      </w:r>
    </w:p>
    <w:p w14:paraId="43CA3F21" w14:textId="77777777" w:rsidR="009273A8" w:rsidRDefault="009273A8" w:rsidP="009273A8">
      <w:pPr>
        <w:pStyle w:val="BodyText"/>
        <w:spacing w:before="0" w:after="120"/>
      </w:pPr>
      <w:r>
        <w:rPr>
          <w:b/>
        </w:rPr>
        <w:t>Table S16</w:t>
      </w:r>
      <w:r>
        <w:t xml:space="preserve"> Per-isolate × per-chromosome transposable-element accounting: reference chromosome length, anchored scaffold length, gap Ns, the anchored fraction of the reference, transposable-element length, and transposable-element percentage under three denominators: anchored scaffold, ungapped anchored sequence, and full reference chromosome length (the lower bound used in Sections 3.7 and 4.4). </w:t>
      </w:r>
      <w:r>
        <w:rPr>
          <w:i/>
        </w:rPr>
        <w:t>Source:</w:t>
      </w:r>
      <w:r>
        <w:t xml:space="preserve"> </w:t>
      </w:r>
      <w:r>
        <w:rPr>
          <w:rStyle w:val="VerbatimChar"/>
        </w:rPr>
        <w:t>additional_analyses/tables/TableD_anchored_fraction.tsv</w:t>
      </w:r>
    </w:p>
    <w:p w14:paraId="40E4B3B3" w14:textId="77777777" w:rsidR="009273A8" w:rsidRDefault="009273A8" w:rsidP="009273A8">
      <w:pPr>
        <w:pStyle w:val="BodyText"/>
        <w:spacing w:before="0" w:after="120"/>
      </w:pPr>
      <w:r>
        <w:rPr>
          <w:b/>
        </w:rPr>
        <w:t>Table S17</w:t>
      </w:r>
      <w:r>
        <w:t xml:space="preserve"> Variance decomposition of transposable-element density: type II analysis of variance for chromosome class, lineage and isolate, with partial η² and the number of observations for each model. </w:t>
      </w:r>
      <w:r>
        <w:rPr>
          <w:i/>
        </w:rPr>
        <w:t>Source:</w:t>
      </w:r>
      <w:r>
        <w:t xml:space="preserve"> </w:t>
      </w:r>
      <w:r>
        <w:rPr>
          <w:rStyle w:val="VerbatimChar"/>
        </w:rPr>
        <w:t>additional_analyses/tables/TableD_TE_ANOVA.tsv</w:t>
      </w:r>
    </w:p>
    <w:p w14:paraId="20CEA449" w14:textId="77777777" w:rsidR="009273A8" w:rsidRDefault="009273A8" w:rsidP="009273A8">
      <w:pPr>
        <w:pStyle w:val="BodyText"/>
        <w:spacing w:before="0" w:after="120"/>
      </w:pPr>
      <w:r>
        <w:rPr>
          <w:b/>
        </w:rPr>
        <w:t>Table S18</w:t>
      </w:r>
      <w:r>
        <w:t xml:space="preserve"> Panel-size sensitivity: every summary statistic in this paper recomputed over the 15 sequenced isolates and over the 12 confirmed </w:t>
      </w:r>
      <w:r>
        <w:rPr>
          <w:i/>
        </w:rPr>
        <w:t>F. oxysporum</w:t>
      </w:r>
      <w:r>
        <w:t xml:space="preserve"> isolates, each row carrying its own source file. </w:t>
      </w:r>
      <w:r>
        <w:rPr>
          <w:i/>
        </w:rPr>
        <w:t>Source:</w:t>
      </w:r>
      <w:r>
        <w:t xml:space="preserve"> </w:t>
      </w:r>
      <w:r>
        <w:rPr>
          <w:rStyle w:val="VerbatimChar"/>
        </w:rPr>
        <w:t>additional_analyses/tables/TableS_n12_recomputed_summary.tsv</w:t>
      </w:r>
    </w:p>
    <w:p w14:paraId="32813839" w14:textId="77777777" w:rsidR="009273A8" w:rsidRDefault="009273A8" w:rsidP="009273A8">
      <w:pPr>
        <w:pStyle w:val="BodyText"/>
        <w:spacing w:before="0" w:after="120"/>
      </w:pPr>
      <w:r>
        <w:rPr>
          <w:b/>
        </w:rPr>
        <w:t>Table S19</w:t>
      </w:r>
      <w:r>
        <w:t xml:space="preserve"> True sequencing depth versus mapping depth against Fol4287, per isolate: lane, read length, clean bases delivered, ungapped assembly size, sequencing depth, mapping depth, breadth against Fol4287, the ratio of mapped to true depth, and BUSCO completeness. </w:t>
      </w:r>
      <w:r>
        <w:rPr>
          <w:i/>
        </w:rPr>
        <w:t>Source:</w:t>
      </w:r>
      <w:r>
        <w:t xml:space="preserve"> </w:t>
      </w:r>
      <w:r>
        <w:rPr>
          <w:rStyle w:val="VerbatimChar"/>
        </w:rPr>
        <w:t>additional_analyses/tables/TableS_true_sequencing_depth.tsv</w:t>
      </w:r>
    </w:p>
    <w:p w14:paraId="2256A2EC" w14:textId="77777777" w:rsidR="009273A8" w:rsidRDefault="009273A8" w:rsidP="009273A8">
      <w:pPr>
        <w:pStyle w:val="BodyText"/>
        <w:spacing w:before="0" w:after="120"/>
      </w:pPr>
      <w:r>
        <w:rPr>
          <w:b/>
        </w:rPr>
        <w:lastRenderedPageBreak/>
        <w:t>Table S20</w:t>
      </w:r>
      <w:r>
        <w:t xml:space="preserve"> Read-based SIX calls, one row per isolate × gene: mapped reads, covered bases, breadth, mean depth, mean base quality, mean mapping quality, the read-based call, the assembly-based call and whether they agree; together with the concordance summary and the full list of discordant calls. </w:t>
      </w:r>
      <w:r>
        <w:rPr>
          <w:i/>
        </w:rPr>
        <w:t>Sources:</w:t>
      </w:r>
      <w:r>
        <w:t xml:space="preserve"> </w:t>
      </w:r>
      <w:r>
        <w:rPr>
          <w:rStyle w:val="VerbatimChar"/>
        </w:rPr>
        <w:t>additional_analyses/tables/TableS_read_based_SIX.tsv</w:t>
      </w:r>
      <w:r>
        <w:t xml:space="preserve">, </w:t>
      </w:r>
      <w:r>
        <w:rPr>
          <w:rStyle w:val="VerbatimChar"/>
        </w:rPr>
        <w:t>TableS_read_vs_assembly_SIX_concordance.tsv</w:t>
      </w:r>
    </w:p>
    <w:p w14:paraId="70B504C2" w14:textId="77777777" w:rsidR="009273A8" w:rsidRDefault="009273A8" w:rsidP="009273A8">
      <w:pPr>
        <w:pStyle w:val="BodyText"/>
        <w:spacing w:before="0" w:after="120"/>
      </w:pPr>
      <w:r>
        <w:rPr>
          <w:b/>
        </w:rPr>
        <w:t>Table S21</w:t>
      </w:r>
      <w:r>
        <w:t xml:space="preserve"> The same calls normalised to genome-wide sequencing depth, giving the copy-number ratio for every isolate × gene and flagging the calls that exceed twice genome depth as reference-recruitment artefacts. </w:t>
      </w:r>
      <w:r>
        <w:rPr>
          <w:i/>
        </w:rPr>
        <w:t>Source:</w:t>
      </w:r>
      <w:r>
        <w:t xml:space="preserve"> </w:t>
      </w:r>
      <w:r>
        <w:rPr>
          <w:rStyle w:val="VerbatimChar"/>
        </w:rPr>
        <w:t>additional_analyses/tables/TableS_read_based_SIX_normalised.tsv</w:t>
      </w:r>
    </w:p>
    <w:p w14:paraId="6B847C30" w14:textId="77777777" w:rsidR="009273A8" w:rsidRDefault="009273A8" w:rsidP="009273A8">
      <w:pPr>
        <w:pStyle w:val="BodyText"/>
        <w:spacing w:before="0" w:after="120"/>
      </w:pPr>
      <w:r>
        <w:rPr>
          <w:b/>
        </w:rPr>
        <w:t>Table S22</w:t>
      </w:r>
      <w:r>
        <w:t xml:space="preserve"> Provenance of the SIX nucleotide reference used for read mapping: for each of the 15 genes, the public source genome, contig, coordinates, strand, extracted length, the query protein and the tblastn identity and bit score that selected it. No sequence in this reference derives from an assembly from Türkiye. </w:t>
      </w:r>
      <w:r>
        <w:rPr>
          <w:i/>
        </w:rPr>
        <w:t>Source:</w:t>
      </w:r>
      <w:r>
        <w:t xml:space="preserve"> </w:t>
      </w:r>
      <w:r>
        <w:rPr>
          <w:rStyle w:val="VerbatimChar"/>
        </w:rPr>
        <w:t>additional_analyses/tables/TableS_six_nt_db_provenance.tsv</w:t>
      </w:r>
    </w:p>
    <w:p w14:paraId="549D2510" w14:textId="77777777" w:rsidR="009273A8" w:rsidRDefault="009273A8" w:rsidP="009273A8">
      <w:pPr>
        <w:pStyle w:val="BodyText"/>
        <w:spacing w:before="0" w:after="120"/>
      </w:pPr>
      <w:r>
        <w:rPr>
          <w:b/>
        </w:rPr>
        <w:t>Table S23</w:t>
      </w:r>
      <w:r>
        <w:t xml:space="preserve"> </w:t>
      </w:r>
      <w:r>
        <w:rPr>
          <w:i/>
        </w:rPr>
        <w:t>Avr2</w:t>
      </w:r>
      <w:r>
        <w:t>/</w:t>
      </w:r>
      <w:r>
        <w:rPr>
          <w:i/>
        </w:rPr>
        <w:t>SIX3</w:t>
      </w:r>
      <w:r>
        <w:t xml:space="preserve"> race typing: per-genome residues at positions 41, 45 and 46, the resulting allele, </w:t>
      </w:r>
      <w:r>
        <w:rPr>
          <w:i/>
        </w:rPr>
        <w:t>SIX4</w:t>
      </w:r>
      <w:r>
        <w:t xml:space="preserve"> status, the race genotype and the resistance genes it defeats, for the isolates from Türkiye, Fol4287 and the public f. sp. </w:t>
      </w:r>
      <w:r>
        <w:rPr>
          <w:i/>
        </w:rPr>
        <w:t>lycopersici</w:t>
      </w:r>
      <w:r>
        <w:t xml:space="preserve"> panel; with the group summary and the two Fisher exact tests (nominal and near-clone-collapsed). </w:t>
      </w:r>
      <w:r>
        <w:rPr>
          <w:i/>
        </w:rPr>
        <w:t>Sources:</w:t>
      </w:r>
      <w:r>
        <w:t xml:space="preserve"> </w:t>
      </w:r>
      <w:r>
        <w:rPr>
          <w:rStyle w:val="VerbatimChar"/>
        </w:rPr>
        <w:t>additional_analyses/tables/TableS_Avr2_race_typing.tsv</w:t>
      </w:r>
      <w:r>
        <w:t xml:space="preserve">, </w:t>
      </w:r>
      <w:r>
        <w:rPr>
          <w:rStyle w:val="VerbatimChar"/>
        </w:rPr>
        <w:t>TableS_race_genotype.tsv</w:t>
      </w:r>
      <w:r>
        <w:t xml:space="preserve">, </w:t>
      </w:r>
      <w:r>
        <w:rPr>
          <w:rStyle w:val="VerbatimChar"/>
        </w:rPr>
        <w:t>TableS_race_genotype_summary.tsv</w:t>
      </w:r>
      <w:r>
        <w:t xml:space="preserve">, </w:t>
      </w:r>
      <w:r>
        <w:rPr>
          <w:rStyle w:val="VerbatimChar"/>
        </w:rPr>
        <w:t>TableS_race_enrichment_stats.tsv</w:t>
      </w:r>
    </w:p>
    <w:p w14:paraId="2BA3B8BF" w14:textId="77777777" w:rsidR="009273A8" w:rsidRDefault="009273A8" w:rsidP="009273A8">
      <w:pPr>
        <w:pStyle w:val="BodyText"/>
        <w:spacing w:before="0" w:after="120"/>
      </w:pPr>
      <w:r>
        <w:rPr>
          <w:b/>
        </w:rPr>
        <w:t>Table S24</w:t>
      </w:r>
      <w:r>
        <w:t xml:space="preserve"> Phylogenetic lability of the </w:t>
      </w:r>
      <w:r>
        <w:rPr>
          <w:i/>
        </w:rPr>
        <w:t>Avr2</w:t>
      </w:r>
      <w:r>
        <w:t xml:space="preserve"> allele: nearest-neighbour allele concordance and the Mantel test of patristic distance against allele identity over the 33 typed genomes in the Fol-cluster tree, with the per-genome nearest-typed-neighbour table and the six contrasts for the isolates from Türkiye. </w:t>
      </w:r>
      <w:r>
        <w:rPr>
          <w:i/>
        </w:rPr>
        <w:t>Sources:</w:t>
      </w:r>
      <w:r>
        <w:t xml:space="preserve"> </w:t>
      </w:r>
      <w:r>
        <w:rPr>
          <w:rStyle w:val="VerbatimChar"/>
        </w:rPr>
        <w:t>additional_analyses/tables/TableS_Avr2_phylogenetic_lability.tsv</w:t>
      </w:r>
      <w:r>
        <w:t xml:space="preserve">, </w:t>
      </w:r>
      <w:r>
        <w:rPr>
          <w:rStyle w:val="VerbatimChar"/>
        </w:rPr>
        <w:t>TableS_Avr2_nearest_neighbour.tsv</w:t>
      </w:r>
    </w:p>
    <w:p w14:paraId="42F33A5F" w14:textId="77777777" w:rsidR="009273A8" w:rsidRDefault="009273A8" w:rsidP="009273A8">
      <w:pPr>
        <w:pStyle w:val="BodyText"/>
        <w:spacing w:before="0" w:after="120"/>
      </w:pPr>
      <w:r>
        <w:rPr>
          <w:b/>
        </w:rPr>
        <w:t>Table S25</w:t>
      </w:r>
      <w:r>
        <w:t xml:space="preserve"> Extended assembly statistics for the 15 isolates: the eight columns removed from Table 1 for width, together with each isolate’s ENA sample and assembly accessions: N50, L50, largest sequence, scaffolding-gap Ns, and the BUSCO single-copy, duplicated, fragmented and missing fractions. </w:t>
      </w:r>
      <w:r>
        <w:rPr>
          <w:i/>
        </w:rPr>
        <w:t>Source:</w:t>
      </w:r>
      <w:r>
        <w:t xml:space="preserve"> </w:t>
      </w:r>
      <w:r>
        <w:rPr>
          <w:rStyle w:val="VerbatimChar"/>
        </w:rPr>
        <w:t>manuscript_turkish_isolates/tables/Table1_assembly_and_QC.tsv</w:t>
      </w:r>
    </w:p>
    <w:p w14:paraId="08133731" w14:textId="77777777" w:rsidR="009273A8" w:rsidRDefault="009273A8" w:rsidP="009273A8">
      <w:pPr>
        <w:pStyle w:val="BodyText"/>
        <w:spacing w:before="0" w:after="120"/>
      </w:pPr>
      <w:r>
        <w:rPr>
          <w:b/>
        </w:rPr>
        <w:t>Table S26</w:t>
      </w:r>
      <w:r>
        <w:t xml:space="preserve"> Contig context of every SIX alignment that passes the primary tblastn criteria in the 15 assemblies from Türkiye: isolate, gene, query length, subject sequence, alignment coordinates, summed query coverage, the length of the non-N contig enclosing the alignment as delimited by the nearest scaffolding gap, the flanking sequence on each side, and whether the call is retained or withdrawn under the contig criterion of Section 2.9. Eighty-three alignments pass the primary criteria; ten are withdrawn, at 316–1,132 bp of enclosing contig and 1–591 bp of flanking sequence, against 2,304–19,005 bp and 1,247–17,336 bp for the seventy-three retained. </w:t>
      </w:r>
      <w:r>
        <w:rPr>
          <w:i/>
        </w:rPr>
        <w:t>Source:</w:t>
      </w:r>
      <w:r>
        <w:t xml:space="preserve"> </w:t>
      </w:r>
      <w:r>
        <w:rPr>
          <w:rStyle w:val="VerbatimChar"/>
        </w:rPr>
        <w:t>additional_analyses/tables/TableS_SIX_contig_context.tsv</w:t>
      </w:r>
    </w:p>
    <w:p w14:paraId="6438FCC2" w14:textId="77777777" w:rsidR="009273A8" w:rsidRDefault="009273A8" w:rsidP="009273A8">
      <w:pPr>
        <w:pStyle w:val="BodyText"/>
        <w:spacing w:before="0" w:after="120"/>
      </w:pPr>
      <w:r>
        <w:rPr>
          <w:b/>
        </w:rPr>
        <w:t>Table S27</w:t>
      </w:r>
      <w:r>
        <w:t xml:space="preserve"> Phylogenetic signal in SIX gene presence/absence across the 150-genome Fol-cluster panel: for each of the 15 genes, prevalence, observed and null parsimony steps with the permutation </w:t>
      </w:r>
      <w:r>
        <w:rPr>
          <w:i/>
        </w:rPr>
        <w:t>p</w:t>
      </w:r>
      <w:r>
        <w:t xml:space="preserve">, Fritz–Purvis </w:t>
      </w:r>
      <w:r>
        <w:rPr>
          <w:i/>
        </w:rPr>
        <w:t>D</w:t>
      </w:r>
      <w:r>
        <w:t xml:space="preserve"> with its tests against random and Brownian expectations, the minimum numbers of gains and losses, and a power flag. </w:t>
      </w:r>
      <w:r>
        <w:rPr>
          <w:i/>
        </w:rPr>
        <w:t>Source:</w:t>
      </w:r>
      <w:r>
        <w:t xml:space="preserve"> </w:t>
      </w:r>
      <w:r>
        <w:rPr>
          <w:rStyle w:val="VerbatimChar"/>
        </w:rPr>
        <w:t>additional_analyses/tables/TableC_phylogenetic_signal.tsv</w:t>
      </w:r>
    </w:p>
    <w:p w14:paraId="794593E3" w14:textId="77777777" w:rsidR="009273A8" w:rsidRDefault="009273A8" w:rsidP="009273A8">
      <w:pPr>
        <w:pStyle w:val="BodyText"/>
        <w:spacing w:before="0" w:after="120"/>
      </w:pPr>
      <w:r>
        <w:rPr>
          <w:b/>
        </w:rPr>
        <w:t>Table S28</w:t>
      </w:r>
      <w:r>
        <w:t xml:space="preserve"> Lineage versus host of isolation as predictors of SIX content: the within-tomato comparison of f. sp. </w:t>
      </w:r>
      <w:r>
        <w:rPr>
          <w:i/>
        </w:rPr>
        <w:t>lycopersici</w:t>
      </w:r>
      <w:r>
        <w:t xml:space="preserve">-clade against non-clade isolates (Mann–Whitney and Fisher exact tests), the host-designated contingency table, and the simple and partial Mantel tests of SIX Jaccard distance against patristic distance and against host designation over the 79 public genomes of the Fol-cluster panel that carry a </w:t>
      </w:r>
      <w:r>
        <w:rPr>
          <w:i/>
        </w:rPr>
        <w:t>forma specialis</w:t>
      </w:r>
      <w:r>
        <w:t xml:space="preserve"> designation. Regenerated from the final SIX call set, after the contig-context criterion of Section 2.9 had withdrawn ten calls; the Fisher test is two-sided. </w:t>
      </w:r>
      <w:r>
        <w:rPr>
          <w:i/>
        </w:rPr>
        <w:t>Source:</w:t>
      </w:r>
      <w:r>
        <w:t xml:space="preserve"> </w:t>
      </w:r>
      <w:r>
        <w:rPr>
          <w:rStyle w:val="VerbatimChar"/>
        </w:rPr>
        <w:t>additional_analyses/tables/TableC2_lineage_vs_host.tsv</w:t>
      </w:r>
    </w:p>
    <w:p w14:paraId="7D475D81" w14:textId="77777777" w:rsidR="009273A8" w:rsidRDefault="009273A8" w:rsidP="009273A8">
      <w:pPr>
        <w:pStyle w:val="BodyText"/>
        <w:spacing w:before="0" w:after="120"/>
      </w:pPr>
      <w:r>
        <w:rPr>
          <w:b/>
        </w:rPr>
        <w:t>Table S29</w:t>
      </w:r>
      <w:r>
        <w:t xml:space="preserve"> Pairwise amino-acid distances (× 10³ substitutions per site) among the 15 isolates from Türkiye, computed as the observed proportion of differing residues over the 152-taxon, 4,464-locus amino-acid supermatrix, counting only alignment columns at which neither sequence carries a gap or an X (2.42–2.55 × 10⁶ comparable columns per pair). Columns are numbered in row order, so column </w:t>
      </w:r>
      <w:r>
        <w:rPr>
          <w:i/>
        </w:rPr>
        <w:t>n</w:t>
      </w:r>
      <w:r>
        <w:t xml:space="preserve"> is the isolate named in row </w:t>
      </w:r>
      <w:r>
        <w:rPr>
          <w:i/>
        </w:rPr>
        <w:t>n</w:t>
      </w:r>
      <w:r>
        <w:t xml:space="preserve">. (a) Isolates 35 (FO-A3), 36 (FO-6) and 37 (FO-A1) are not </w:t>
      </w:r>
      <w:r>
        <w:rPr>
          <w:i/>
        </w:rPr>
        <w:t>Fusarium oxysporum</w:t>
      </w:r>
      <w:r>
        <w:t xml:space="preserve"> (Section 3.3). Their distances to the twelve confirmed isolates are given for reference and are what places them outside the panel; they are not nearest-relative assignments, and a nearest relative computed within a matrix in which every other ingroup taxon is </w:t>
      </w:r>
      <w:r>
        <w:rPr>
          <w:i/>
        </w:rPr>
        <w:t>F. oxysporum</w:t>
      </w:r>
      <w:r>
        <w:t xml:space="preserve"> would not be evidence of conspecificity in any case (Section 3.2). (b) These are observed distances rather than model-corrected ones, and are therefore slight underestimates at the largest values through unmodelled multiple substitution. They are reported in preference to the distances of the original submission, which were read from the IQ-TREE </w:t>
      </w:r>
      <w:r>
        <w:rPr>
          <w:rStyle w:val="VerbatimChar"/>
        </w:rPr>
        <w:t>.mldist</w:t>
      </w:r>
      <w:r>
        <w:t xml:space="preserve"> file of this run; that file is not a distance matrix; many of its entries fall below the observed proportion of differing sites for the same pair, which no maximum-likelihood distance can do, and it prints the FO-A3/FO-A1 sister pair as the largest value in the matrix. Patristic distances summed </w:t>
      </w:r>
      <w:r>
        <w:lastRenderedPageBreak/>
        <w:t xml:space="preserve">along the fitted tree of Fig. 2 agree with the matrix above in every qualitative respect (Online Resource 2, Table S3): within the f. sp. </w:t>
      </w:r>
      <w:r>
        <w:rPr>
          <w:i/>
        </w:rPr>
        <w:t>lycopersici</w:t>
      </w:r>
      <w:r>
        <w:t xml:space="preserve"> clade 0.01–0.19 × 10⁻³, among the twelve confirmed isolates up to 6.93 × 10⁻³, FO-6 at 50.24–51.54 × 10⁻³ from the twelve and FO-A3/FO-A1 at 403.85–405.57 × 10⁻³. </w:t>
      </w:r>
      <w:r>
        <w:rPr>
          <w:i/>
        </w:rPr>
        <w:t>Source:</w:t>
      </w:r>
      <w:r>
        <w:t xml:space="preserve"> </w:t>
      </w:r>
      <w:r>
        <w:rPr>
          <w:rStyle w:val="VerbatimChar"/>
        </w:rPr>
        <w:t>tables/Table2_pairwise_aa_distance_local_isolates.tsv</w:t>
      </w:r>
    </w:p>
    <w:p w14:paraId="35DB0963" w14:textId="77777777" w:rsidR="009273A8" w:rsidRDefault="009273A8" w:rsidP="009273A8">
      <w:pPr>
        <w:pStyle w:val="BodyText"/>
        <w:spacing w:before="0" w:after="120"/>
      </w:pPr>
      <w:r>
        <w:rPr>
          <w:b/>
        </w:rPr>
        <w:t>Table S30</w:t>
      </w:r>
      <w:r>
        <w:t xml:space="preserve"> Secretome size, EffectorP 3.0 classification and shared or isolate-unique secreted proteins per isolate. (a) Register attribute (Section 2.1). (b) Intersection of SignalP 6.0, TargetP 2.0 (SP class) and WoLF PSORT (extracellular) applied to Liftoff-transferred protein models. (c) EffectorP 3.0 cytoplasmic plus apoplastic calls (strict classes only). (d) Not </w:t>
      </w:r>
      <w:r>
        <w:rPr>
          <w:i/>
        </w:rPr>
        <w:t>Fusarium oxysporum</w:t>
      </w:r>
      <w:r>
        <w:t xml:space="preserve"> (Section 3.3); Fol4287 gene models cannot be transferred onto these genomes, so their counts are annotation-transfer artefacts and not measurements of gene content (Sections 2.8 and 4.3). </w:t>
      </w:r>
      <w:r>
        <w:rPr>
          <w:i/>
        </w:rPr>
        <w:t>Source:</w:t>
      </w:r>
      <w:r>
        <w:t xml:space="preserve"> </w:t>
      </w:r>
      <w:r>
        <w:rPr>
          <w:rStyle w:val="VerbatimChar"/>
        </w:rPr>
        <w:t>tables/Table3_secretome_and_effectors.tsv</w:t>
      </w:r>
    </w:p>
    <w:p w14:paraId="2F03E79E" w14:textId="77777777" w:rsidR="009273A8" w:rsidRDefault="009273A8" w:rsidP="009273A8">
      <w:pPr>
        <w:pStyle w:val="BodyText"/>
        <w:spacing w:before="0" w:after="120"/>
      </w:pPr>
      <w:r>
        <w:rPr>
          <w:b/>
        </w:rPr>
        <w:t>Table S31</w:t>
      </w:r>
      <w:r>
        <w:t xml:space="preserve"> </w:t>
      </w:r>
      <w:r>
        <w:rPr>
          <w:i/>
        </w:rPr>
        <w:t>Secreted In Xylem</w:t>
      </w:r>
      <w:r>
        <w:t xml:space="preserve"> (SIX) effector frequencies in 135 public Fol-cluster genomes and in the 12 confirmed </w:t>
      </w:r>
      <w:r>
        <w:rPr>
          <w:i/>
        </w:rPr>
        <w:t>Fusarium oxysporum</w:t>
      </w:r>
      <w:r>
        <w:t xml:space="preserve"> isolates from Türkiye, under identical tblastn detection criteria</w:t>
      </w:r>
      <w:r>
        <w:rPr>
          <w:vertAlign w:val="superscript"/>
        </w:rPr>
        <w:t>c</w:t>
      </w:r>
      <w:r>
        <w:t xml:space="preserve">. (a) The 135 distinct genomes of the Mash-defined Fol cluster (Section 2.7). (b) The 12 isolates confirmed as </w:t>
      </w:r>
      <w:r>
        <w:rPr>
          <w:i/>
        </w:rPr>
        <w:t>F. oxysporum</w:t>
      </w:r>
      <w:r>
        <w:t xml:space="preserve"> by two-locus barcoding (Section 2.4); the three reassigned isolates are excluded from both panels. (c) The tblastn criteria (E &lt; 1 × 10⁻⁵, ≥ 50% summed query coverage, ≥ 70% amino-acid identity) are identical for the two panels. The additional contig-context criterion of Section 2.9 is applied to the Türkiye column only, because it requires the reads and the contig architecture of the assembly and neither is available for third-party public assemblies; the Türkiye column is therefore the more conservative of the two, and the public frequencies should be read as upper bounds (Section 4.5, item 11). </w:t>
      </w:r>
      <w:r>
        <w:rPr>
          <w:i/>
        </w:rPr>
        <w:t>SIX8</w:t>
      </w:r>
      <w:r>
        <w:t xml:space="preserve"> and </w:t>
      </w:r>
      <w:r>
        <w:rPr>
          <w:i/>
        </w:rPr>
        <w:t>SIX13</w:t>
      </w:r>
      <w:r>
        <w:t xml:space="preserve"> are exceptions to the comparability of the two columns: neither the assembly screen nor read mapping resolves them in the five near-identical f. sp. </w:t>
      </w:r>
      <w:r>
        <w:rPr>
          <w:i/>
        </w:rPr>
        <w:t>lycopersici</w:t>
      </w:r>
      <w:r>
        <w:t xml:space="preserve">-clade isolates (Section 3.4), so the Türkiye frequencies for those two genes should not be read against the public column. </w:t>
      </w:r>
      <w:r>
        <w:rPr>
          <w:i/>
        </w:rPr>
        <w:t>Source:</w:t>
      </w:r>
      <w:r>
        <w:t xml:space="preserve"> </w:t>
      </w:r>
      <w:r>
        <w:rPr>
          <w:rStyle w:val="VerbatimChar"/>
        </w:rPr>
        <w:t>tables/Table7_SIX_public_vs_local.tsv</w:t>
      </w:r>
    </w:p>
    <w:p w14:paraId="43D96B45" w14:textId="77777777" w:rsidR="009273A8" w:rsidRDefault="009273A8" w:rsidP="009273A8">
      <w:pPr>
        <w:pStyle w:val="BodyText"/>
        <w:spacing w:before="0" w:after="120"/>
      </w:pPr>
      <w:r>
        <w:rPr>
          <w:b/>
        </w:rPr>
        <w:t>Table S32</w:t>
      </w:r>
      <w:r>
        <w:t xml:space="preserve"> Carbohydrate-active enzyme (CAZyme) repertoire by CAZy class, secreted fraction and secretory burden. (a) Register attribute (Section 2.1). (b) Domain counts from </w:t>
      </w:r>
      <w:r>
        <w:rPr>
          <w:rStyle w:val="VerbatimChar"/>
        </w:rPr>
        <w:t>hmmscan</w:t>
      </w:r>
      <w:r>
        <w:t xml:space="preserve"> against the dbCAN HMM database v13 (</w:t>
      </w:r>
      <w:r>
        <w:rPr>
          <w:rStyle w:val="VerbatimChar"/>
        </w:rPr>
        <w:t>--domE 1e-3</w:t>
      </w:r>
      <w:r>
        <w:t xml:space="preserve">). GH glycoside hydrolases, GT glycosyltransferases, CBM carbohydrate-binding modules, PL polysaccharide lyases, CE carbohydrate esterases, AA auxiliary activities. (c) Proteins carrying at least one CAZy domain. (d) Secreted CAZymes divided by secreted proteins (Online Resource 2, Table S30). (e) Not </w:t>
      </w:r>
      <w:r>
        <w:rPr>
          <w:i/>
        </w:rPr>
        <w:t>Fusarium oxysporum</w:t>
      </w:r>
      <w:r>
        <w:t xml:space="preserve"> (Section 3.3); counts are annotation-transfer artefacts (Sections 2.8 and 4.3). </w:t>
      </w:r>
      <w:r>
        <w:rPr>
          <w:i/>
        </w:rPr>
        <w:t>Source:</w:t>
      </w:r>
      <w:r>
        <w:t xml:space="preserve"> </w:t>
      </w:r>
      <w:r>
        <w:rPr>
          <w:rStyle w:val="VerbatimChar"/>
        </w:rPr>
        <w:t>tables/Table8_CAZyme_repertoire.tsv</w:t>
      </w:r>
    </w:p>
    <w:p w14:paraId="06F50BDD" w14:textId="77777777" w:rsidR="009273A8" w:rsidRDefault="009273A8" w:rsidP="009273A8">
      <w:pPr>
        <w:pStyle w:val="BodyText"/>
        <w:spacing w:before="0" w:after="120"/>
      </w:pPr>
      <w:r>
        <w:rPr>
          <w:b/>
        </w:rPr>
        <w:t>Table S33</w:t>
      </w:r>
      <w:r>
        <w:t xml:space="preserve"> Transposable-element (TE) density per chromosome across the 12 confirmed </w:t>
      </w:r>
      <w:r>
        <w:rPr>
          <w:i/>
        </w:rPr>
        <w:t>Fusarium oxysporum</w:t>
      </w:r>
      <w:r>
        <w:t xml:space="preserve"> isolates, core versus accessory chromosomes. (a) Mean anchored RagTag scaffold length of the chromosome across the contributing isolates. Chromosome numbering follows Fol4287 (NC_030986.1–NC_031000.1); chromosomes 3, 6, 14 and 15 are the lineage-specific chromosomes of Fol4287. (b) Number of isolate × chromosome observations contributing to the row. (c) RepeatModeler2 de novo libraries plus RepeatMasker on RagTag pseudo-chromosomes. TE percentages are masked bases divided by anchored scaffold bases, a denominator that includes scaffolding N gaps; group means are unweighted means of the per-isolate × per-chromosome values. The same percentages recomputed over full Fol4287 reference chromosome length, a strict lower bound, are given in Online Resource 2, Table S16, and per-isolate whole-genome TE content for all 15 isolates in Online Resource 2, Table S5. Isolates 35 (FO-A3), 36 (FO-6) and 37 (FO-A1) are excluded (Section 3.3). </w:t>
      </w:r>
      <w:r>
        <w:rPr>
          <w:i/>
        </w:rPr>
        <w:t>Source:</w:t>
      </w:r>
      <w:r>
        <w:t xml:space="preserve"> </w:t>
      </w:r>
      <w:r>
        <w:rPr>
          <w:rStyle w:val="VerbatimChar"/>
        </w:rPr>
        <w:t>tables/Table9_TE_density_by_chromosome.tsv</w:t>
      </w:r>
    </w:p>
    <w:p w14:paraId="01D4CFF1" w14:textId="77777777" w:rsidR="009273A8" w:rsidRDefault="009273A8" w:rsidP="009273A8">
      <w:pPr>
        <w:pStyle w:val="BodyText"/>
        <w:spacing w:before="0" w:after="120"/>
      </w:pPr>
      <w:r>
        <w:rPr>
          <w:b/>
        </w:rPr>
        <w:t>Table S34</w:t>
      </w:r>
      <w:r>
        <w:t xml:space="preserve"> Group-specific variants relative to Fol4287 and their SnpEff impact classes. (a) Joint calling with bcftools over the 41.96 Mb callable intersection of the 12 confirmed </w:t>
      </w:r>
      <w:r>
        <w:rPr>
          <w:i/>
        </w:rPr>
        <w:t>Fusarium oxysporum</w:t>
      </w:r>
      <w:r>
        <w:t xml:space="preserve"> isolates (mean depth ≥ 20×, MAPQ ≥ 30, BQ ≥ 20). Group-specific = non-reference in ≥ 5/10 tomato isolates and 0/2 pepper isolates, or in 2/2 pepper isolates and 0/10 tomato isolates, with no missing genotypes (Section 2.12). (b) Effects from SnpEff 5.2 against the Fol4287 annotation. In four of the five gene sets tested, no Gene Ontology term, KEGG orthologue or KEGG pathway reached significance after Benjamini–Hochberg correction; the three terms that survive correction in the fifth are driven by a single siderophore-biosynthesis haplotype block (Section 3.8). Annotated per-variant records are in Online Resource 2, Table S7. </w:t>
      </w:r>
      <w:r>
        <w:rPr>
          <w:i/>
        </w:rPr>
        <w:t>Source:</w:t>
      </w:r>
      <w:r>
        <w:t xml:space="preserve"> </w:t>
      </w:r>
      <w:r>
        <w:rPr>
          <w:rStyle w:val="VerbatimChar"/>
        </w:rPr>
        <w:t>tables/Table10_group_specific_variants.tsv</w:t>
      </w:r>
    </w:p>
    <w:p w14:paraId="42611E1E" w14:textId="77777777" w:rsidR="00EB4A2D" w:rsidRDefault="00EB4A2D"/>
    <w:sectPr w:rsidR="00EB4A2D" w:rsidSect="009273A8">
      <w:footerReference w:type="default" r:id="rId4"/>
      <w:pgSz w:w="11906" w:h="16838"/>
      <w:pgMar w:top="1440" w:right="1440" w:bottom="1440" w:left="1440" w:header="709" w:footer="709" w:gutter="0"/>
      <w:lnNumType w:countBy="1" w:distance="360"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FBEF" w14:textId="77777777" w:rsidR="009273A8" w:rsidRDefault="009273A8">
    <w:pPr>
      <w:suppressLineNumbers/>
      <w:jc w:val="center"/>
    </w:pPr>
    <w:r>
      <w:fldChar w:fldCharType="begin"/>
    </w:r>
    <w:r>
      <w:instrText xml:space="preserve"> PAGE </w:instrText>
    </w:r>
    <w:r>
      <w:fldChar w:fldCharType="separate"/>
    </w:r>
    <w: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A8"/>
    <w:rsid w:val="001D3053"/>
    <w:rsid w:val="001E3A92"/>
    <w:rsid w:val="00217E67"/>
    <w:rsid w:val="002C7D54"/>
    <w:rsid w:val="0033371E"/>
    <w:rsid w:val="005C0D39"/>
    <w:rsid w:val="0070406C"/>
    <w:rsid w:val="00724754"/>
    <w:rsid w:val="007B36B1"/>
    <w:rsid w:val="009273A8"/>
    <w:rsid w:val="00981555"/>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6B14"/>
  <w15:chartTrackingRefBased/>
  <w15:docId w15:val="{6EAEEB4C-D515-463B-8E3F-842D154D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3A8"/>
    <w:pPr>
      <w:spacing w:after="0" w:line="240" w:lineRule="auto"/>
    </w:pPr>
    <w:rPr>
      <w:rFonts w:ascii="Times New Roman" w:eastAsia="Times New Roman" w:hAnsi="Times New Roman" w:cs="Times New Roman"/>
      <w:color w:val="000000"/>
      <w:kern w:val="0"/>
      <w:sz w:val="20"/>
      <w:szCs w:val="20"/>
      <w:lang w:val="en-US"/>
      <w14:ligatures w14:val="none"/>
    </w:rPr>
  </w:style>
  <w:style w:type="paragraph" w:styleId="Heading1">
    <w:name w:val="heading 1"/>
    <w:basedOn w:val="Normal"/>
    <w:next w:val="Normal"/>
    <w:link w:val="Heading1Char"/>
    <w:uiPriority w:val="9"/>
    <w:qFormat/>
    <w:rsid w:val="009273A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unhideWhenUsed/>
    <w:qFormat/>
    <w:rsid w:val="009273A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unhideWhenUsed/>
    <w:qFormat/>
    <w:rsid w:val="009273A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9273A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9273A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9273A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9273A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9273A8"/>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9273A8"/>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3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73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73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3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3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3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3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3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3A8"/>
    <w:rPr>
      <w:rFonts w:eastAsiaTheme="majorEastAsia" w:cstheme="majorBidi"/>
      <w:color w:val="272727" w:themeColor="text1" w:themeTint="D8"/>
    </w:rPr>
  </w:style>
  <w:style w:type="paragraph" w:styleId="Title">
    <w:name w:val="Title"/>
    <w:basedOn w:val="Normal"/>
    <w:next w:val="Normal"/>
    <w:link w:val="TitleChar"/>
    <w:uiPriority w:val="10"/>
    <w:qFormat/>
    <w:rsid w:val="009273A8"/>
    <w:pPr>
      <w:spacing w:after="80"/>
      <w:contextualSpacing/>
    </w:pPr>
    <w:rPr>
      <w:rFonts w:asciiTheme="majorHAnsi" w:eastAsiaTheme="majorEastAsia" w:hAnsiTheme="majorHAnsi" w:cstheme="majorBidi"/>
      <w:color w:val="auto"/>
      <w:spacing w:val="-10"/>
      <w:kern w:val="28"/>
      <w:sz w:val="56"/>
      <w:szCs w:val="56"/>
      <w:lang w:val="en-IN"/>
      <w14:ligatures w14:val="standardContextual"/>
    </w:rPr>
  </w:style>
  <w:style w:type="character" w:customStyle="1" w:styleId="TitleChar">
    <w:name w:val="Title Char"/>
    <w:basedOn w:val="DefaultParagraphFont"/>
    <w:link w:val="Title"/>
    <w:uiPriority w:val="10"/>
    <w:rsid w:val="00927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3A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9273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3A8"/>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9273A8"/>
    <w:rPr>
      <w:i/>
      <w:iCs/>
      <w:color w:val="404040" w:themeColor="text1" w:themeTint="BF"/>
    </w:rPr>
  </w:style>
  <w:style w:type="paragraph" w:styleId="ListParagraph">
    <w:name w:val="List Paragraph"/>
    <w:basedOn w:val="Normal"/>
    <w:uiPriority w:val="34"/>
    <w:qFormat/>
    <w:rsid w:val="009273A8"/>
    <w:pPr>
      <w:spacing w:after="160" w:line="278" w:lineRule="auto"/>
      <w:ind w:left="720"/>
      <w:contextualSpacing/>
    </w:pPr>
    <w:rPr>
      <w:rFonts w:asciiTheme="minorHAnsi" w:eastAsiaTheme="minorHAnsi" w:hAnsiTheme="minorHAnsi" w:cstheme="minorBidi"/>
      <w:color w:val="auto"/>
      <w:kern w:val="2"/>
      <w:sz w:val="24"/>
      <w:szCs w:val="24"/>
      <w:lang w:val="en-IN"/>
      <w14:ligatures w14:val="standardContextual"/>
    </w:rPr>
  </w:style>
  <w:style w:type="character" w:styleId="IntenseEmphasis">
    <w:name w:val="Intense Emphasis"/>
    <w:basedOn w:val="DefaultParagraphFont"/>
    <w:uiPriority w:val="21"/>
    <w:qFormat/>
    <w:rsid w:val="009273A8"/>
    <w:rPr>
      <w:i/>
      <w:iCs/>
      <w:color w:val="0F4761" w:themeColor="accent1" w:themeShade="BF"/>
    </w:rPr>
  </w:style>
  <w:style w:type="paragraph" w:styleId="IntenseQuote">
    <w:name w:val="Intense Quote"/>
    <w:basedOn w:val="Normal"/>
    <w:next w:val="Normal"/>
    <w:link w:val="IntenseQuoteChar"/>
    <w:uiPriority w:val="30"/>
    <w:qFormat/>
    <w:rsid w:val="009273A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9273A8"/>
    <w:rPr>
      <w:i/>
      <w:iCs/>
      <w:color w:val="0F4761" w:themeColor="accent1" w:themeShade="BF"/>
    </w:rPr>
  </w:style>
  <w:style w:type="character" w:styleId="IntenseReference">
    <w:name w:val="Intense Reference"/>
    <w:basedOn w:val="DefaultParagraphFont"/>
    <w:uiPriority w:val="32"/>
    <w:qFormat/>
    <w:rsid w:val="009273A8"/>
    <w:rPr>
      <w:b/>
      <w:bCs/>
      <w:smallCaps/>
      <w:color w:val="0F4761" w:themeColor="accent1" w:themeShade="BF"/>
      <w:spacing w:val="5"/>
    </w:rPr>
  </w:style>
  <w:style w:type="paragraph" w:styleId="BodyText">
    <w:name w:val="Body Text"/>
    <w:basedOn w:val="Normal"/>
    <w:link w:val="BodyTextChar"/>
    <w:qFormat/>
    <w:rsid w:val="009273A8"/>
    <w:pPr>
      <w:spacing w:before="180" w:after="180"/>
    </w:pPr>
  </w:style>
  <w:style w:type="character" w:customStyle="1" w:styleId="BodyTextChar">
    <w:name w:val="Body Text Char"/>
    <w:basedOn w:val="DefaultParagraphFont"/>
    <w:link w:val="BodyText"/>
    <w:rsid w:val="009273A8"/>
    <w:rPr>
      <w:rFonts w:ascii="Times New Roman" w:eastAsia="Times New Roman" w:hAnsi="Times New Roman" w:cs="Times New Roman"/>
      <w:color w:val="000000"/>
      <w:kern w:val="0"/>
      <w:sz w:val="20"/>
      <w:szCs w:val="20"/>
      <w:lang w:val="en-US"/>
      <w14:ligatures w14:val="none"/>
    </w:rPr>
  </w:style>
  <w:style w:type="paragraph" w:customStyle="1" w:styleId="FirstParagraph">
    <w:name w:val="First Paragraph"/>
    <w:basedOn w:val="BodyText"/>
    <w:next w:val="BodyText"/>
    <w:qFormat/>
    <w:rsid w:val="009273A8"/>
  </w:style>
  <w:style w:type="character" w:customStyle="1" w:styleId="VerbatimChar">
    <w:name w:val="Verbatim Char"/>
    <w:basedOn w:val="DefaultParagraphFont"/>
    <w:link w:val="SourceCode"/>
    <w:rsid w:val="009273A8"/>
  </w:style>
  <w:style w:type="paragraph" w:customStyle="1" w:styleId="SourceCode">
    <w:name w:val="Source Code"/>
    <w:basedOn w:val="Normal"/>
    <w:link w:val="VerbatimChar"/>
    <w:rsid w:val="009273A8"/>
    <w:pPr>
      <w:wordWrap w:val="0"/>
    </w:pPr>
    <w:rPr>
      <w:rFonts w:asciiTheme="minorHAnsi" w:eastAsiaTheme="minorHAnsi" w:hAnsiTheme="minorHAnsi" w:cstheme="minorBidi"/>
      <w:color w:val="auto"/>
      <w:kern w:val="2"/>
      <w:sz w:val="24"/>
      <w:szCs w:val="24"/>
      <w:lang w:val="en-IN"/>
      <w14:ligatures w14:val="standardContextual"/>
    </w:rPr>
  </w:style>
  <w:style w:type="character" w:styleId="LineNumber">
    <w:name w:val="line number"/>
    <w:basedOn w:val="DefaultParagraphFont"/>
    <w:uiPriority w:val="99"/>
    <w:semiHidden/>
    <w:unhideWhenUsed/>
    <w:rsid w:val="0092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3798</Words>
  <Characters>21653</Characters>
  <Application>Microsoft Office Word</Application>
  <DocSecurity>0</DocSecurity>
  <Lines>180</Lines>
  <Paragraphs>50</Paragraphs>
  <ScaleCrop>false</ScaleCrop>
  <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2026-08-28T08:49:00Z</dcterms:created>
  <dcterms:modified xsi:type="dcterms:W3CDTF">2026-08-28T08:49:00Z</dcterms:modified>
</cp:coreProperties>
</file>