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t>Supplementary Information</w:t>
      </w:r>
    </w:p>
    <w:p>
      <w:pPr>
        <w:spacing w:after="240"/>
        <w:jc w:val="center"/>
      </w:pPr>
      <w:r>
        <w:t>Leakage-Safe Cross-Domain Partial-Discharge Void Diagnosis: A Benchmark on the PURE Dataset</w:t>
      </w:r>
    </w:p>
    <w:p>
      <w:pPr/>
      <w:r>
        <w:t>Journal: Electrical Engineering</w:t>
      </w:r>
    </w:p>
    <w:p>
      <w:pPr/>
      <w:r>
        <w:t>Authors: Yan Hong, Jia’ao Li, Jingming Su, and Zihan Gao</w:t>
      </w:r>
    </w:p>
    <w:p>
      <w:pPr/>
      <w:r>
        <w:t>Affiliation: School of Electrical and Information Engineering, Anhui University of Science and Technology, Huainan 232001, China</w:t>
      </w:r>
    </w:p>
    <w:p>
      <w:pPr/>
      <w:r>
        <w:t>Corresponding author: Jia’ao Li (1471023246@qq.com)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0"/>
        </w:rPr>
        <w:t>All entries use the frozen acquisition-file-level partitions described in the manuscript. Pulse records from the same acquisition file are never split across training and evaluation sets.</w:t>
      </w:r>
    </w:p>
    <w:p>
      <w:pPr>
        <w:spacing w:before="80"/>
        <w:jc w:val="center"/>
      </w:pPr>
      <w:r>
        <w:rPr>
          <w:rFonts w:ascii="Times New Roman" w:hAnsi="Times New Roman" w:eastAsia="Times New Roman"/>
          <w:b w:val="0"/>
          <w:i/>
          <w:sz w:val="20"/>
        </w:rPr>
        <w:t>Supplementary Tables S1–S6 and Fig. S1</w:t>
      </w:r>
    </w:p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S1. File-level RBF-SVM results for all tasks in the four evaluation protocols.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rPr>
          <w:tblHeader w:val="true"/>
        </w:trPr>
        <w:tc>
          <w:tcPr>
            <w:tcW w:type="dxa" w:w="145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Protocol</w:t>
            </w:r>
          </w:p>
        </w:tc>
        <w:tc>
          <w:tcPr>
            <w:tcW w:type="dxa" w:w="215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Task</w:t>
            </w:r>
          </w:p>
        </w:tc>
        <w:tc>
          <w:tcPr>
            <w:tcW w:type="dxa" w:w="14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Target domain</w:t>
            </w:r>
          </w:p>
        </w:tc>
        <w:tc>
          <w:tcPr>
            <w:tcW w:type="dxa" w:w="9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Macro-F1</w:t>
            </w:r>
          </w:p>
        </w:tc>
        <w:tc>
          <w:tcPr>
            <w:tcW w:type="dxa" w:w="11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Balanced accuracy</w:t>
            </w:r>
          </w:p>
        </w:tc>
        <w:tc>
          <w:tcPr>
            <w:tcW w:type="dxa" w:w="8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1</w:t>
            </w:r>
          </w:p>
        </w:tc>
        <w:tc>
          <w:tcPr>
            <w:tcW w:type="dxa" w:w="8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2p</w:t>
            </w:r>
          </w:p>
        </w:tc>
        <w:tc>
          <w:tcPr>
            <w:tcW w:type="dxa" w:w="8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2s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In-domain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(LDPE-AC), grouped CV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In-domain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(LDPE-DC+), grouped CV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In-domain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(LDPE-DC-), grouped CV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0.9556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0.9583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0.8750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In-domain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(PP-AC), grouped CV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LDPE-DC-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0.4381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0.5333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LDPE-DC+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0.2188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0.3333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LDPE-DC- to LDPE-AC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0.1405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0.3125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0.9375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LDPE-DC- to LDPE-DC+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0.4924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0.5833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LDPE-DC+ to LDPE-AC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0.1481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0.3333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LDPE-DC+ to LDPE-DC-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0.5266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Cross-material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PP-AC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Cross-material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PP-AC to LDPE-AC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0.1157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Leave out D1 (LDPE-AC)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0.1253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0.2708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0.8125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Leave out D2 (LDPE-DC+)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0.5556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0.6667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Leave out D3 (LDPE-DC-)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0.9327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0.9333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0.9000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Leave out D4 (PP-AC)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9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0.2068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0.0500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S2. File-level LODO performance of additional neural architectures.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2114"/>
        <w:gridCol w:w="2114"/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125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Model</w:t>
            </w:r>
          </w:p>
        </w:tc>
        <w:tc>
          <w:tcPr>
            <w:tcW w:type="dxa" w:w="16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Target domain</w:t>
            </w:r>
          </w:p>
        </w:tc>
        <w:tc>
          <w:tcPr>
            <w:tcW w:type="dxa" w:w="12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Macro-F1 mean</w:t>
            </w:r>
          </w:p>
        </w:tc>
        <w:tc>
          <w:tcPr>
            <w:tcW w:type="dxa" w:w="10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Macro-F1 SD</w:t>
            </w:r>
          </w:p>
        </w:tc>
        <w:tc>
          <w:tcPr>
            <w:tcW w:type="dxa" w:w="14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Balanced accuracy mean</w:t>
            </w:r>
          </w:p>
        </w:tc>
        <w:tc>
          <w:tcPr>
            <w:tcW w:type="dxa" w:w="11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Balanced accuracy SD</w:t>
            </w:r>
          </w:p>
        </w:tc>
        <w:tc>
          <w:tcPr>
            <w:tcW w:type="dxa" w:w="10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Parameters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0.3576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0.0542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0.3667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0.0745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105827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0.3492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0.0828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0.3867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0.0558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105827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0.5492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0.0142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0.6533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0.0298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105827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0.2365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0.0241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0.3333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105827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ResNet1D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0.3409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0.0731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0.3400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0.1065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445155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ResNet1D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0.3955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0.1852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0.4667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0.2309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445155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ResNet1D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0.5486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0.0233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0.6400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0.0365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445155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ResNet1D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0.3252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0.0697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0.3933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0.0585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445155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TCN1D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0.3875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0.1135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0.4167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0.1795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314691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TCN1D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0.3762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0.0673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0.4000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0.0816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314691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TCN1D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0.5527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0.0065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0.6667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314691</w:t>
            </w:r>
          </w:p>
        </w:tc>
      </w:tr>
      <w:tr>
        <w:tc>
          <w:tcPr>
            <w:tcW w:type="dxa" w:w="12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TCN1D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2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0.2889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0.0609</w:t>
            </w:r>
          </w:p>
        </w:tc>
        <w:tc>
          <w:tcPr>
            <w:tcW w:type="dxa" w:w="14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0.3333</w:t>
            </w:r>
          </w:p>
        </w:tc>
        <w:tc>
          <w:tcPr>
            <w:tcW w:type="dxa" w:w="11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314691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S3. Paired file-level bootstrap comparisons for feature groups.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15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Protocol</w:t>
            </w:r>
          </w:p>
        </w:tc>
        <w:tc>
          <w:tcPr>
            <w:tcW w:type="dxa" w:w="16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Feature group</w:t>
            </w:r>
          </w:p>
        </w:tc>
        <w:tc>
          <w:tcPr>
            <w:tcW w:type="dxa" w:w="14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Difference vs all</w:t>
            </w:r>
          </w:p>
        </w:tc>
        <w:tc>
          <w:tcPr>
            <w:tcW w:type="dxa" w:w="11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CI low</w:t>
            </w:r>
          </w:p>
        </w:tc>
        <w:tc>
          <w:tcPr>
            <w:tcW w:type="dxa" w:w="11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CI high</w:t>
            </w:r>
          </w:p>
        </w:tc>
        <w:tc>
          <w:tcPr>
            <w:tcW w:type="dxa" w:w="15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Holm-adjusted p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-0.1826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-0.2132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-0.1522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frequency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-0.0296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-0.0540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-0.0035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0.1760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Cross-voltage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wavelet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0.0907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0.0332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0.1373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0.0090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Cross-material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0.1389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0.0847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0.2219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Cross-material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frequency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-0.1042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-0.1544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-0.0250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0.1392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Cross-material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wavelet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0.0533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0.0202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0.0970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0.0144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-0.3319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-0.3698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-0.2888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0.0024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frequency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-0.1017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-0.1557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-0.0318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0.0308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Multi-source LODO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wavelet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0.0365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-0.0002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0.0686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0.2064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S4. Exploratory failure-boundary audit on the non-redundant XLPE cable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17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Method</w:t>
            </w:r>
          </w:p>
        </w:tc>
        <w:tc>
          <w:tcPr>
            <w:tcW w:type="dxa" w:w="15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Non-redundant files</w:t>
            </w:r>
          </w:p>
        </w:tc>
        <w:tc>
          <w:tcPr>
            <w:tcW w:type="dxa" w:w="18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Single-void pulse recall</w:t>
            </w:r>
          </w:p>
        </w:tc>
        <w:tc>
          <w:tcPr>
            <w:tcW w:type="dxa" w:w="18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Consensus-correct files</w:t>
            </w:r>
          </w:p>
        </w:tc>
        <w:tc>
          <w:tcPr>
            <w:tcW w:type="dxa" w:w="175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Predicted-2p fraction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RBF-SVM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CNN1D + physics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0.0357</w:t>
            </w:r>
          </w:p>
        </w:tc>
        <w:tc>
          <w:tcPr>
            <w:tcW w:type="dxa" w:w="18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0.9643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S5. Leave-one-direction sensitivity of the Spearman association between mean class-conditional MMD squared and directed-transfer Macro-F1.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699"/>
        <w:gridCol w:w="3699"/>
        <w:gridCol w:w="3699"/>
        <w:gridCol w:w="3699"/>
      </w:tblGrid>
      <w:tr>
        <w:trPr>
          <w:tblHeader w:val="true"/>
        </w:trPr>
        <w:tc>
          <w:tcPr>
            <w:tcW w:type="dxa" w:w="36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Omitted direction</w:t>
            </w:r>
          </w:p>
        </w:tc>
        <w:tc>
          <w:tcPr>
            <w:tcW w:type="dxa" w:w="18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Remaining directions</w:t>
            </w:r>
          </w:p>
        </w:tc>
        <w:tc>
          <w:tcPr>
            <w:tcW w:type="dxa" w:w="16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Spearman rho</w:t>
            </w:r>
          </w:p>
        </w:tc>
        <w:tc>
          <w:tcPr>
            <w:tcW w:type="dxa" w:w="15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LDPE-DC-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-0.8929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0.0068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LDPE-DC+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-0.9643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0.0005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LDPE-AC to PP-AC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-0.8929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0.0068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LDPE-DC- to LDPE-AC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-1.0000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&lt;0.0001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LDPE-DC- to LDPE-DC+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-0.8929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0.0068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LDPE-DC+ to LDPE-AC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-0.9643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0.0005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LDPE-DC+ to LDPE-DC-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-0.8929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0.0068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PP-AC to LDPE-AC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</w:t>
            </w:r>
          </w:p>
        </w:tc>
        <w:tc>
          <w:tcPr>
            <w:tcW w:type="dxa" w:w="16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-0.8929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0.0068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Supplementary Table S6. Target-domain results for the source-only time-frequency domain-generalization baselines under LODO.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2114"/>
        <w:gridCol w:w="2114"/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220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Method</w:t>
            </w:r>
          </w:p>
        </w:tc>
        <w:tc>
          <w:tcPr>
            <w:tcW w:type="dxa" w:w="1750"/>
            <w:vAlign w:val="center"/>
            <w:shd w:fill="D9E2F3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Target domain</w:t>
            </w:r>
          </w:p>
        </w:tc>
        <w:tc>
          <w:tcPr>
            <w:tcW w:type="dxa" w:w="11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Macro-F1</w:t>
            </w:r>
          </w:p>
        </w:tc>
        <w:tc>
          <w:tcPr>
            <w:tcW w:type="dxa" w:w="14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Balanced accuracy</w:t>
            </w:r>
          </w:p>
        </w:tc>
        <w:tc>
          <w:tcPr>
            <w:tcW w:type="dxa" w:w="10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1</w:t>
            </w:r>
          </w:p>
        </w:tc>
        <w:tc>
          <w:tcPr>
            <w:tcW w:type="dxa" w:w="10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2p</w:t>
            </w:r>
          </w:p>
        </w:tc>
        <w:tc>
          <w:tcPr>
            <w:tcW w:type="dxa" w:w="1000"/>
            <w:vAlign w:val="center"/>
            <w:shd w:fill="D9E2F3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Recall 2s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Time-frequency ERM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0.2659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0.2858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0.2875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0.5700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Time-frequency ERM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0.4951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0.5767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0.7300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Time-frequency ERM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0.5272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0.6267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0.1200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0.9900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0.7700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Time-frequency ERM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0.3553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0.4833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0.4500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Deep CORAL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0.2701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0.2925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0.2875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0.5900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Deep CORAL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0.4951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0.5767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0.7300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Deep CORAL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0.5204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0.6200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0.1200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0.9900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Deep CORAL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0.3662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0.4917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0.4750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DANN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D1 (LDPE-AC)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0.2618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0.2825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0.1875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0.6500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DANN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D2 (LDPE-DC+)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0.4866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0.5667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DANN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D3 (LDPE-DC-)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0.4721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0.5733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0.1400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0.5800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Source-domain DANN (λ = 0.1)</w:t>
            </w:r>
          </w:p>
        </w:tc>
        <w:tc>
          <w:tcPr>
            <w:tcW w:type="dxa" w:w="175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D4 (PP-AC)</w:t>
            </w:r>
          </w:p>
        </w:tc>
        <w:tc>
          <w:tcPr>
            <w:tcW w:type="dxa" w:w="11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0.3105</w:t>
            </w:r>
          </w:p>
        </w:tc>
        <w:tc>
          <w:tcPr>
            <w:tcW w:type="dxa" w:w="14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0.4192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0.0200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0.2375</w:t>
            </w:r>
          </w:p>
        </w:tc>
        <w:tc>
          <w:tcPr>
            <w:tcW w:type="dxa" w:w="1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1.0000</w:t>
            </w:r>
          </w:p>
        </w:tc>
      </w:tr>
    </w:tbl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03920" cy="30360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1_xlpe_failure_boundar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03920" cy="3036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18"/>
        </w:rPr>
        <w:t>Supplementary Fig. S1. Failure-boundary audit on seven non-redundant single-void XLPE cable records. The thin-film-trained classifiers assign the records predominantly to the parallel-void class; this same-repository audit is not treated as independent external validation.</w:t>
      </w:r>
    </w:p>
    <w:sectPr>
      <w:footerReference w:type="default" r:id="rId10"/>
      <w:footerReference w:type="first" r:id="rId11"/>
      <w:footerReference w:type="even" r:id="rId12"/>
      <w:pgSz w:w="16838" w:h="11906" w:orient="landscape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/>
        <w:sz w:val="16"/>
      </w:rPr>
      <w:t xml:space="preserve">Supplementary Information | </w:t>
    </w:r>
    <w:r>
      <w:rPr>
        <w:rFonts w:ascii="Times New Roman" w:hAnsi="Times New Roman" w:eastAsia="Times New Roman"/>
        <w:b w:val="0"/>
        <w:i w:val="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Resource 1 - anonymous supplementary material</dc:title>
  <dc:subject>Supplementary Tables S1-S6 and Fig. S1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