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33FF5" w14:textId="77777777" w:rsidR="00A01C48" w:rsidRPr="009B55B9" w:rsidRDefault="00A01C48" w:rsidP="00A01C48">
      <w:pPr>
        <w:spacing w:line="480" w:lineRule="auto"/>
        <w:rPr>
          <w:rFonts w:ascii="Times New Roman" w:eastAsia="仿宋" w:hAnsi="Times New Roman" w:cs="Times New Roman"/>
          <w:b/>
          <w:bCs/>
          <w:szCs w:val="21"/>
        </w:rPr>
      </w:pPr>
      <w:r w:rsidRPr="009B55B9">
        <w:rPr>
          <w:rFonts w:ascii="Times New Roman" w:eastAsia="仿宋" w:hAnsi="Times New Roman" w:cs="Times New Roman"/>
          <w:b/>
          <w:bCs/>
          <w:szCs w:val="21"/>
        </w:rPr>
        <w:t>Methods</w:t>
      </w:r>
    </w:p>
    <w:p w14:paraId="6BE93FD8" w14:textId="77777777" w:rsidR="00A01C48" w:rsidRPr="009B55B9" w:rsidRDefault="00A01C48" w:rsidP="00A01C48">
      <w:pPr>
        <w:spacing w:line="480" w:lineRule="auto"/>
        <w:rPr>
          <w:rFonts w:ascii="Times New Roman" w:eastAsia="仿宋" w:hAnsi="Times New Roman" w:cs="Times New Roman"/>
          <w:b/>
          <w:bCs/>
          <w:i/>
          <w:iCs/>
          <w:szCs w:val="21"/>
        </w:rPr>
      </w:pPr>
      <w:r w:rsidRPr="009B55B9">
        <w:rPr>
          <w:rFonts w:ascii="Times New Roman" w:eastAsia="仿宋" w:hAnsi="Times New Roman" w:cs="Times New Roman"/>
          <w:b/>
          <w:bCs/>
          <w:i/>
          <w:iCs/>
          <w:szCs w:val="21"/>
        </w:rPr>
        <w:t>Data source</w:t>
      </w:r>
    </w:p>
    <w:p w14:paraId="6E431F44"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szCs w:val="21"/>
        </w:rPr>
        <w:t>This paper analysed data from CFPS obtained from the Peking University Open Research database.</w:t>
      </w:r>
      <w:r w:rsidRPr="009B55B9">
        <w:rPr>
          <w:rFonts w:ascii="Times New Roman" w:hAnsi="Times New Roman" w:cs="Times New Roman"/>
          <w:szCs w:val="21"/>
        </w:rPr>
        <w:t xml:space="preserve"> </w:t>
      </w:r>
      <w:r w:rsidRPr="009B55B9">
        <w:rPr>
          <w:rFonts w:ascii="Times New Roman" w:eastAsia="仿宋" w:hAnsi="Times New Roman" w:cs="Times New Roman"/>
          <w:szCs w:val="21"/>
        </w:rPr>
        <w:t>Compared to other micro databases, CFPS has more comprehensive information on health care utilization.</w:t>
      </w:r>
      <w:r w:rsidRPr="009B55B9">
        <w:rPr>
          <w:rFonts w:ascii="Times New Roman" w:eastAsia="仿宋" w:hAnsi="Times New Roman" w:cs="Times New Roman"/>
          <w:b/>
          <w:bCs/>
          <w:szCs w:val="21"/>
        </w:rPr>
        <w:t xml:space="preserve"> </w:t>
      </w:r>
      <w:r w:rsidRPr="009B55B9">
        <w:rPr>
          <w:rFonts w:ascii="Times New Roman" w:eastAsia="仿宋" w:hAnsi="Times New Roman" w:cs="Times New Roman"/>
          <w:szCs w:val="21"/>
        </w:rPr>
        <w:t>The survey was conducted in 19,986 households in 986 villages/communities of 162 districts/counties in 25 provinces/cities/autonomous regions across China, and all economically linked family members in these households were targeted. The 2010 baseline survey included a total of 14,960 households and 57,155 baseline respondents, including 33,600 adults aged 16 years and older and 8,990 children aged 15 years and younger. Panel surveys were conducted in 2012, 2014 and 2016. Among these surveys, the 2012 panel survey successfully accessed 42,970 individuals in 12,725 households; the second panel survey in 2014 successfully accessed 45,738 individuals in 14,237 households; and the third panel survey in 2016 successfully accessed 41,761 individuals in 14,810 households.</w:t>
      </w:r>
    </w:p>
    <w:p w14:paraId="20135D94"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szCs w:val="21"/>
        </w:rPr>
        <w:t xml:space="preserve">Since we focused on the issue of the equity of basic medical insurance benefits after the “new health care reform” in China, data from the latest survey years, 2014 and 2016, were merged into pooled cross-sectional data to conduct an empirical analysis. A total of 87,499 insured samples were included in the original data. After using the traditional </w:t>
      </w:r>
      <w:proofErr w:type="spellStart"/>
      <w:r w:rsidRPr="009B55B9">
        <w:rPr>
          <w:rFonts w:ascii="Times New Roman" w:eastAsia="仿宋" w:hAnsi="Times New Roman" w:cs="Times New Roman"/>
          <w:szCs w:val="21"/>
        </w:rPr>
        <w:t>casewise</w:t>
      </w:r>
      <w:proofErr w:type="spellEnd"/>
      <w:r w:rsidRPr="009B55B9">
        <w:rPr>
          <w:rFonts w:ascii="Times New Roman" w:eastAsia="仿宋" w:hAnsi="Times New Roman" w:cs="Times New Roman"/>
          <w:szCs w:val="21"/>
        </w:rPr>
        <w:t xml:space="preserve"> method to drop samples with missing information, a total of 46,166 samples were analysed in the study</w:t>
      </w:r>
      <w:r w:rsidRPr="009B55B9">
        <w:rPr>
          <w:rFonts w:ascii="Times New Roman" w:eastAsia="仿宋" w:hAnsi="Times New Roman" w:cs="Times New Roman" w:hint="eastAsia"/>
          <w:szCs w:val="21"/>
        </w:rPr>
        <w:t>.</w:t>
      </w:r>
      <w:r w:rsidRPr="009B55B9">
        <w:rPr>
          <w:rFonts w:ascii="Times New Roman" w:eastAsia="仿宋" w:hAnsi="Times New Roman" w:cs="Times New Roman"/>
          <w:szCs w:val="21"/>
        </w:rPr>
        <w:t xml:space="preserve"> </w:t>
      </w:r>
      <w:r w:rsidRPr="009B55B9">
        <w:rPr>
          <w:rFonts w:ascii="Times New Roman" w:eastAsia="仿宋" w:hAnsi="Times New Roman" w:cs="Times New Roman" w:hint="eastAsia"/>
          <w:szCs w:val="21"/>
        </w:rPr>
        <w:t>I</w:t>
      </w:r>
      <w:r w:rsidRPr="009B55B9">
        <w:rPr>
          <w:rFonts w:ascii="Times New Roman" w:eastAsia="仿宋" w:hAnsi="Times New Roman" w:cs="Times New Roman"/>
          <w:szCs w:val="21"/>
        </w:rPr>
        <w:t xml:space="preserve">t should be noted that in our initial sample, sample loss was mainly due to the lack of hospitalization information in the dataset. We analysed the distribution of the missing samples and found that each county had approximately </w:t>
      </w:r>
      <w:r w:rsidRPr="009B55B9">
        <w:rPr>
          <w:rFonts w:ascii="Times New Roman" w:eastAsia="仿宋" w:hAnsi="Times New Roman" w:cs="Times New Roman" w:hint="eastAsia"/>
          <w:szCs w:val="21"/>
        </w:rPr>
        <w:t>50</w:t>
      </w:r>
      <w:r w:rsidRPr="009B55B9">
        <w:rPr>
          <w:rFonts w:ascii="Times New Roman" w:eastAsia="仿宋" w:hAnsi="Times New Roman" w:cs="Times New Roman"/>
          <w:szCs w:val="21"/>
        </w:rPr>
        <w:t>-</w:t>
      </w:r>
      <w:r w:rsidRPr="009B55B9">
        <w:rPr>
          <w:rFonts w:ascii="Times New Roman" w:eastAsia="仿宋" w:hAnsi="Times New Roman" w:cs="Times New Roman" w:hint="eastAsia"/>
          <w:szCs w:val="21"/>
        </w:rPr>
        <w:t>60</w:t>
      </w:r>
      <w:r w:rsidRPr="009B55B9">
        <w:rPr>
          <w:rFonts w:ascii="Times New Roman" w:eastAsia="仿宋" w:hAnsi="Times New Roman" w:cs="Times New Roman"/>
          <w:szCs w:val="21"/>
        </w:rPr>
        <w:t xml:space="preserve"> sample losses, all of which were random, not subjective, losses. Notably, among these samples, 3,810 respondents experienced hospitalization. In addition, we also studied the health status of the insured population (including the incidence of hospitalization, the incidence of chronic diseases and self-reported health (SRH)) and health care utilization.</w:t>
      </w:r>
    </w:p>
    <w:p w14:paraId="21F9C392" w14:textId="77777777" w:rsidR="00A01C48" w:rsidRPr="009B55B9" w:rsidRDefault="00A01C48" w:rsidP="00A01C48">
      <w:pPr>
        <w:spacing w:line="480" w:lineRule="auto"/>
        <w:rPr>
          <w:rFonts w:ascii="Times New Roman" w:eastAsia="仿宋" w:hAnsi="Times New Roman" w:cs="Times New Roman"/>
          <w:b/>
          <w:bCs/>
          <w:i/>
          <w:iCs/>
          <w:szCs w:val="21"/>
        </w:rPr>
      </w:pPr>
      <w:r w:rsidRPr="009B55B9">
        <w:rPr>
          <w:rFonts w:ascii="Times New Roman" w:eastAsia="仿宋" w:hAnsi="Times New Roman" w:cs="Times New Roman"/>
          <w:b/>
          <w:bCs/>
          <w:i/>
          <w:iCs/>
          <w:szCs w:val="21"/>
        </w:rPr>
        <w:t>Variables</w:t>
      </w:r>
    </w:p>
    <w:p w14:paraId="05D0727D"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szCs w:val="21"/>
        </w:rPr>
        <w:t>1. Dependent variable. First, we used hospitalization expense reimbursement to analyse medical insurance benefits. Hospitalization expense reimbursement is a continuous variable and was log-transformed prior to analysis.</w:t>
      </w:r>
    </w:p>
    <w:p w14:paraId="28C4CC99"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szCs w:val="21"/>
        </w:rPr>
        <w:t xml:space="preserve">Next, we analysed whether the difference in benefits is due to differences in the health status of different income </w:t>
      </w:r>
      <w:r w:rsidRPr="009B55B9">
        <w:rPr>
          <w:rFonts w:ascii="Times New Roman" w:eastAsia="仿宋" w:hAnsi="Times New Roman" w:cs="Times New Roman"/>
          <w:szCs w:val="21"/>
        </w:rPr>
        <w:lastRenderedPageBreak/>
        <w:t xml:space="preserve">groups. In this paper, sick in the last 2 weeks, sick in the last half year and SRH are the three proxy variables of health status. Among them, if the respondent became sick in the last 2 weeks, the value of “sick in the last 2 weeks” is 1; otherwise, it is 0. If the respondent became sick in the last half year, the value of “sick in the last half year” is 1; otherwise, it is 0. The SRH data were processed in this study. If the answer to "What is your health status?" is "Fair, good, </w:t>
      </w:r>
      <w:proofErr w:type="gramStart"/>
      <w:r w:rsidRPr="009B55B9">
        <w:rPr>
          <w:rFonts w:ascii="Times New Roman" w:eastAsia="仿宋" w:hAnsi="Times New Roman" w:cs="Times New Roman"/>
          <w:szCs w:val="21"/>
        </w:rPr>
        <w:t>excellent</w:t>
      </w:r>
      <w:proofErr w:type="gramEnd"/>
      <w:r w:rsidRPr="009B55B9">
        <w:rPr>
          <w:rFonts w:ascii="Times New Roman" w:eastAsia="仿宋" w:hAnsi="Times New Roman" w:cs="Times New Roman"/>
          <w:szCs w:val="21"/>
        </w:rPr>
        <w:t xml:space="preserve"> or perfect", then the value is 0; if the answer is "Poor", then the value is 1.</w:t>
      </w:r>
    </w:p>
    <w:p w14:paraId="20E9E359"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hint="eastAsia"/>
          <w:szCs w:val="21"/>
        </w:rPr>
        <w:t>2</w:t>
      </w:r>
      <w:r w:rsidRPr="009B55B9">
        <w:rPr>
          <w:rFonts w:ascii="Times New Roman" w:eastAsia="仿宋" w:hAnsi="Times New Roman" w:cs="Times New Roman"/>
          <w:szCs w:val="21"/>
        </w:rPr>
        <w:t>. Independent variable. The independent variable in this paper is family income. Referring to the study of Wagstaff [16], we divided household income from low to high into five groups. The number of samples in each group is the same, and the assignments are 1, 2, 3, 4 and 5.</w:t>
      </w:r>
    </w:p>
    <w:p w14:paraId="47C39809"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hint="eastAsia"/>
          <w:szCs w:val="21"/>
        </w:rPr>
        <w:t>3.</w:t>
      </w:r>
      <w:r w:rsidRPr="009B55B9">
        <w:rPr>
          <w:rFonts w:ascii="Times New Roman" w:eastAsia="仿宋" w:hAnsi="Times New Roman" w:cs="Times New Roman"/>
          <w:szCs w:val="21"/>
        </w:rPr>
        <w:t xml:space="preserve"> Mechanism variables. After excluding or controlling the effects of health status, we examined the causes of inequity in medical insurance benefits. In the model, the variables “medical insurance applicability”, “total hospitalization expense” and "medical institution choice" are analysed. Among them, “medical insurance applicability” is determined by the following question:</w:t>
      </w:r>
      <w:r w:rsidRPr="009B55B9">
        <w:rPr>
          <w:rFonts w:ascii="Times New Roman" w:hAnsi="Times New Roman" w:cs="Times New Roman"/>
          <w:szCs w:val="21"/>
        </w:rPr>
        <w:t xml:space="preserve"> </w:t>
      </w:r>
      <w:r w:rsidRPr="009B55B9">
        <w:rPr>
          <w:rFonts w:ascii="Times New Roman" w:eastAsia="仿宋" w:hAnsi="Times New Roman" w:cs="Times New Roman"/>
          <w:szCs w:val="21"/>
        </w:rPr>
        <w:t>"After medical treatment, whether it is because of the payment line, location restriction, the coverage of medical insurance reimbursement, etc., will your medical insurance pay for your medical expenses?"; if the answer is yes, the value is 1, and otherwise, it is 0. "Medical institution choice" is determined by the following question: “What kind of medical institution do you usually choose when you are sick?”; if the respondent chooses a general hospital or specialist hospital, then the value is 1, and if the respondent chooses a community health service centre, township hospital or clinic, then the value is 0.</w:t>
      </w:r>
    </w:p>
    <w:p w14:paraId="35AC6EC8"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hint="eastAsia"/>
          <w:szCs w:val="21"/>
        </w:rPr>
        <w:t>4</w:t>
      </w:r>
      <w:r w:rsidRPr="009B55B9">
        <w:rPr>
          <w:rFonts w:ascii="Times New Roman" w:eastAsia="仿宋" w:hAnsi="Times New Roman" w:cs="Times New Roman"/>
          <w:szCs w:val="21"/>
        </w:rPr>
        <w:t xml:space="preserve">. Control variables. To accurately estimate the equity of medical insurance benefits, we added the individual and family characteristic variables of the insured group to the regression analysis. These variables mainly include </w:t>
      </w:r>
      <w:r w:rsidRPr="00086983">
        <w:rPr>
          <w:rFonts w:ascii="Times New Roman" w:eastAsia="仿宋" w:hAnsi="Times New Roman" w:cs="Times New Roman"/>
          <w:color w:val="FF0000"/>
          <w:szCs w:val="21"/>
        </w:rPr>
        <w:t>sex</w:t>
      </w:r>
      <w:r w:rsidRPr="009B55B9">
        <w:rPr>
          <w:rFonts w:ascii="Times New Roman" w:eastAsia="仿宋" w:hAnsi="Times New Roman" w:cs="Times New Roman"/>
          <w:szCs w:val="21"/>
        </w:rPr>
        <w:t xml:space="preserve"> (dummy variable: male = 1, female = 0), age (continuous variable), age squared, marital status (dummy variable: married = 1, unmarried = 0), years of schooling (continuous variable), and family size (continuous variable). </w:t>
      </w:r>
    </w:p>
    <w:p w14:paraId="3322BC82" w14:textId="77777777" w:rsidR="00A01C48" w:rsidRPr="009B55B9" w:rsidRDefault="00A01C48" w:rsidP="00A01C48">
      <w:pPr>
        <w:rPr>
          <w:rFonts w:ascii="Times New Roman" w:eastAsia="仿宋" w:hAnsi="Times New Roman" w:cs="Times New Roman"/>
          <w:i/>
          <w:iCs/>
          <w:szCs w:val="21"/>
        </w:rPr>
      </w:pPr>
    </w:p>
    <w:p w14:paraId="56A69680" w14:textId="77777777" w:rsidR="00A01C48" w:rsidRPr="009B55B9" w:rsidRDefault="00A01C48" w:rsidP="00A01C48">
      <w:pPr>
        <w:spacing w:line="480" w:lineRule="auto"/>
        <w:rPr>
          <w:rFonts w:ascii="Times New Roman" w:eastAsia="仿宋" w:hAnsi="Times New Roman" w:cs="Times New Roman"/>
          <w:b/>
          <w:bCs/>
          <w:i/>
          <w:iCs/>
          <w:szCs w:val="21"/>
        </w:rPr>
      </w:pPr>
      <w:r w:rsidRPr="009B55B9">
        <w:rPr>
          <w:rFonts w:ascii="Times New Roman" w:eastAsia="仿宋" w:hAnsi="Times New Roman" w:cs="Times New Roman"/>
          <w:b/>
          <w:bCs/>
          <w:i/>
          <w:iCs/>
          <w:szCs w:val="21"/>
        </w:rPr>
        <w:t>Model construction</w:t>
      </w:r>
    </w:p>
    <w:p w14:paraId="4FE88D15"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szCs w:val="21"/>
        </w:rPr>
        <w:t xml:space="preserve">1. Two-part model. </w:t>
      </w:r>
    </w:p>
    <w:p w14:paraId="27793DA4"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szCs w:val="21"/>
        </w:rPr>
        <w:lastRenderedPageBreak/>
        <w:t xml:space="preserve">When analysing the differences in the medical insurance benefits of different income groups, there are too many respondents with no medical insurance reimbursement. There are several reasons for this. One is that because of the existence of a minimum deduction, there is a discrepancy between the amount the patient expects to be reimbursed and the amount reimbursed. Another is that some insured people may choose not to be hospitalized due to reasons such as their health status or their own medical insurance system; in such cases, no hospitalization expenses were incurred, and there was therefore no opportunity to get reimbursed. In addition, complex reimbursement procedures can also cause patients to lose their reimbursement. These factors result in the non-normal distribution of sample errors and introduce bias into the OLS estimation. A two-part model proposed by </w:t>
      </w:r>
      <w:proofErr w:type="spellStart"/>
      <w:r w:rsidRPr="009B55B9">
        <w:rPr>
          <w:rFonts w:ascii="Times New Roman" w:eastAsia="仿宋" w:hAnsi="Times New Roman" w:cs="Times New Roman"/>
          <w:szCs w:val="21"/>
        </w:rPr>
        <w:t>Duan</w:t>
      </w:r>
      <w:proofErr w:type="spellEnd"/>
      <w:r w:rsidRPr="009B55B9">
        <w:rPr>
          <w:rFonts w:ascii="Times New Roman" w:eastAsia="仿宋" w:hAnsi="Times New Roman" w:cs="Times New Roman"/>
          <w:szCs w:val="21"/>
        </w:rPr>
        <w:t xml:space="preserve"> et al. [37] was used to solve this problem; it comprised a selection model and an outcome model. In this study, the </w:t>
      </w:r>
      <w:proofErr w:type="spellStart"/>
      <w:r w:rsidRPr="009B55B9">
        <w:rPr>
          <w:rFonts w:ascii="Times New Roman" w:eastAsia="仿宋" w:hAnsi="Times New Roman" w:cs="Times New Roman"/>
          <w:szCs w:val="21"/>
        </w:rPr>
        <w:t>probit</w:t>
      </w:r>
      <w:proofErr w:type="spellEnd"/>
      <w:r w:rsidRPr="009B55B9">
        <w:rPr>
          <w:rFonts w:ascii="Times New Roman" w:eastAsia="仿宋" w:hAnsi="Times New Roman" w:cs="Times New Roman"/>
          <w:szCs w:val="21"/>
        </w:rPr>
        <w:t xml:space="preserve"> model is used as the selection model:</w:t>
      </w:r>
    </w:p>
    <w:p w14:paraId="713E7C57" w14:textId="77777777" w:rsidR="00A01C48" w:rsidRPr="009B55B9" w:rsidRDefault="00A01C48" w:rsidP="00A01C48">
      <w:pPr>
        <w:rPr>
          <w:rFonts w:ascii="Times New Roman" w:eastAsia="仿宋" w:hAnsi="Times New Roman" w:cs="Times New Roman"/>
          <w:szCs w:val="21"/>
        </w:rPr>
      </w:pPr>
      <w:r w:rsidRPr="009B55B9">
        <w:rPr>
          <w:rFonts w:ascii="Times New Roman" w:eastAsia="仿宋" w:hAnsi="Times New Roman" w:cs="Times New Roman"/>
          <w:i/>
          <w:iCs/>
          <w:position w:val="-16"/>
          <w:szCs w:val="21"/>
        </w:rPr>
        <w:object w:dxaOrig="6972" w:dyaOrig="456" w14:anchorId="27211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8pt;height:24pt" o:ole="">
            <v:imagedata r:id="rId4" o:title=""/>
          </v:shape>
          <o:OLEObject Type="Embed" ProgID="Equation.KSEE3" ShapeID="_x0000_i1025" DrawAspect="Content" ObjectID="_1653999298" r:id="rId5"/>
        </w:object>
      </w:r>
      <w:r w:rsidRPr="009B55B9">
        <w:rPr>
          <w:rFonts w:ascii="Times New Roman" w:eastAsia="仿宋" w:hAnsi="Times New Roman" w:cs="Times New Roman" w:hint="eastAsia"/>
          <w:i/>
          <w:iCs/>
          <w:szCs w:val="21"/>
        </w:rPr>
        <w:t xml:space="preserve"> </w:t>
      </w:r>
      <w:r w:rsidRPr="009B55B9">
        <w:rPr>
          <w:rFonts w:ascii="Times New Roman" w:eastAsia="仿宋" w:hAnsi="Times New Roman" w:cs="Times New Roman"/>
          <w:i/>
          <w:iCs/>
          <w:szCs w:val="21"/>
        </w:rPr>
        <w:t xml:space="preserve">             </w:t>
      </w:r>
      <w:r w:rsidRPr="009B55B9">
        <w:rPr>
          <w:rFonts w:ascii="Times New Roman" w:eastAsia="仿宋" w:hAnsi="Times New Roman" w:cs="Times New Roman"/>
          <w:szCs w:val="21"/>
        </w:rPr>
        <w:t>(1)</w:t>
      </w:r>
    </w:p>
    <w:p w14:paraId="0535058D"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szCs w:val="21"/>
        </w:rPr>
        <w:t xml:space="preserve">where </w:t>
      </w:r>
      <w:r w:rsidRPr="009B55B9">
        <w:rPr>
          <w:rFonts w:ascii="Times New Roman" w:eastAsia="仿宋" w:hAnsi="Times New Roman" w:cs="Times New Roman"/>
          <w:szCs w:val="21"/>
        </w:rPr>
        <w:object w:dxaOrig="204" w:dyaOrig="276" w14:anchorId="3BA2B5F4">
          <v:shape id="_x0000_i1026" type="#_x0000_t75" style="width:12pt;height:12pt" o:ole="">
            <v:imagedata r:id="rId6" o:title=""/>
          </v:shape>
          <o:OLEObject Type="Embed" ProgID="Equation.KSEE3" ShapeID="_x0000_i1026" DrawAspect="Content" ObjectID="_1653999299" r:id="rId7"/>
        </w:object>
      </w:r>
      <w:r w:rsidRPr="009B55B9">
        <w:rPr>
          <w:rFonts w:ascii="Times New Roman" w:eastAsia="仿宋" w:hAnsi="Times New Roman" w:cs="Times New Roman"/>
          <w:szCs w:val="21"/>
        </w:rPr>
        <w:t xml:space="preserve">(·) is the standard normal cumulative distribution function and </w:t>
      </w:r>
      <w:r w:rsidRPr="009B55B9">
        <w:rPr>
          <w:rFonts w:ascii="Times New Roman" w:eastAsia="仿宋" w:hAnsi="Times New Roman" w:cs="Times New Roman"/>
          <w:noProof/>
          <w:szCs w:val="21"/>
        </w:rPr>
        <w:drawing>
          <wp:inline distT="0" distB="0" distL="114300" distR="114300" wp14:anchorId="1ACC8AB2" wp14:editId="33F19E17">
            <wp:extent cx="781050" cy="209550"/>
            <wp:effectExtent l="0" t="0" r="0" b="0"/>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903793" name="图片 3"/>
                    <pic:cNvPicPr>
                      <a:picLocks noChangeAspect="1"/>
                    </pic:cNvPicPr>
                  </pic:nvPicPr>
                  <pic:blipFill>
                    <a:blip r:embed="rId8"/>
                    <a:stretch>
                      <a:fillRect/>
                    </a:stretch>
                  </pic:blipFill>
                  <pic:spPr>
                    <a:xfrm>
                      <a:off x="0" y="0"/>
                      <a:ext cx="781050" cy="209550"/>
                    </a:xfrm>
                    <a:prstGeom prst="rect">
                      <a:avLst/>
                    </a:prstGeom>
                    <a:noFill/>
                    <a:ln>
                      <a:noFill/>
                    </a:ln>
                  </pic:spPr>
                </pic:pic>
              </a:graphicData>
            </a:graphic>
          </wp:inline>
        </w:drawing>
      </w:r>
      <w:r w:rsidRPr="009B55B9">
        <w:rPr>
          <w:rFonts w:ascii="Times New Roman" w:eastAsia="仿宋" w:hAnsi="Times New Roman" w:cs="Times New Roman"/>
          <w:szCs w:val="21"/>
        </w:rPr>
        <w:t xml:space="preserve"> refers to the dichotomous variable of whether the medical insurance reimbursement amount is over 0. If the medical insurance reimbursement amount for hospitalization expenses is over 0, then the value is 1; otherwise, it is 0. </w:t>
      </w:r>
      <w:r w:rsidRPr="009B55B9">
        <w:rPr>
          <w:rFonts w:ascii="Times New Roman" w:eastAsia="仿宋" w:hAnsi="Times New Roman" w:cs="Times New Roman"/>
          <w:noProof/>
          <w:szCs w:val="21"/>
        </w:rPr>
        <w:drawing>
          <wp:inline distT="0" distB="0" distL="114300" distR="114300" wp14:anchorId="574AA083" wp14:editId="64FC985B">
            <wp:extent cx="600075" cy="228600"/>
            <wp:effectExtent l="0" t="0" r="0" b="0"/>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343321" name="图片 4"/>
                    <pic:cNvPicPr>
                      <a:picLocks noChangeAspect="1"/>
                    </pic:cNvPicPr>
                  </pic:nvPicPr>
                  <pic:blipFill>
                    <a:blip r:embed="rId9"/>
                    <a:stretch>
                      <a:fillRect/>
                    </a:stretch>
                  </pic:blipFill>
                  <pic:spPr>
                    <a:xfrm>
                      <a:off x="0" y="0"/>
                      <a:ext cx="600075" cy="228600"/>
                    </a:xfrm>
                    <a:prstGeom prst="rect">
                      <a:avLst/>
                    </a:prstGeom>
                    <a:noFill/>
                    <a:ln>
                      <a:noFill/>
                    </a:ln>
                  </pic:spPr>
                </pic:pic>
              </a:graphicData>
            </a:graphic>
          </wp:inline>
        </w:drawing>
      </w:r>
      <w:r w:rsidRPr="009B55B9">
        <w:rPr>
          <w:rFonts w:ascii="Times New Roman" w:eastAsia="仿宋" w:hAnsi="Times New Roman" w:cs="Times New Roman"/>
          <w:szCs w:val="21"/>
        </w:rPr>
        <w:t xml:space="preserve"> is the income of respondent m in group n, where n is a value of 1, 2, 3, 4, </w:t>
      </w:r>
      <w:r w:rsidRPr="009B55B9">
        <w:rPr>
          <w:rFonts w:ascii="Times New Roman" w:eastAsia="仿宋" w:hAnsi="Times New Roman" w:cs="Times New Roman" w:hint="eastAsia"/>
          <w:szCs w:val="21"/>
        </w:rPr>
        <w:t>o</w:t>
      </w:r>
      <w:r w:rsidRPr="009B55B9">
        <w:rPr>
          <w:rFonts w:ascii="Times New Roman" w:eastAsia="仿宋" w:hAnsi="Times New Roman" w:cs="Times New Roman"/>
          <w:szCs w:val="21"/>
        </w:rPr>
        <w:t xml:space="preserve">r 5; </w:t>
      </w:r>
      <w:r w:rsidRPr="009B55B9">
        <w:rPr>
          <w:rFonts w:ascii="Times New Roman" w:eastAsia="仿宋" w:hAnsi="Times New Roman" w:cs="Times New Roman"/>
          <w:noProof/>
          <w:szCs w:val="21"/>
        </w:rPr>
        <w:drawing>
          <wp:inline distT="0" distB="0" distL="114300" distR="114300" wp14:anchorId="496DC1EF" wp14:editId="12B5D6BA">
            <wp:extent cx="238125" cy="228600"/>
            <wp:effectExtent l="0" t="0" r="0" b="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140074" name="图片 5"/>
                    <pic:cNvPicPr>
                      <a:picLocks noChangeAspect="1"/>
                    </pic:cNvPicPr>
                  </pic:nvPicPr>
                  <pic:blipFill>
                    <a:blip r:embed="rId10"/>
                    <a:stretch>
                      <a:fillRect/>
                    </a:stretch>
                  </pic:blipFill>
                  <pic:spPr>
                    <a:xfrm>
                      <a:off x="0" y="0"/>
                      <a:ext cx="238125" cy="228600"/>
                    </a:xfrm>
                    <a:prstGeom prst="rect">
                      <a:avLst/>
                    </a:prstGeom>
                    <a:noFill/>
                    <a:ln>
                      <a:noFill/>
                    </a:ln>
                  </pic:spPr>
                </pic:pic>
              </a:graphicData>
            </a:graphic>
          </wp:inline>
        </w:drawing>
      </w:r>
      <w:r w:rsidRPr="009B55B9">
        <w:rPr>
          <w:rFonts w:ascii="Times New Roman" w:eastAsia="仿宋" w:hAnsi="Times New Roman" w:cs="Times New Roman"/>
          <w:szCs w:val="21"/>
        </w:rPr>
        <w:t xml:space="preserve"> is a series of control variables; and </w:t>
      </w:r>
      <w:r w:rsidRPr="009B55B9">
        <w:rPr>
          <w:rFonts w:ascii="Times New Roman" w:eastAsia="仿宋" w:hAnsi="Times New Roman" w:cs="Times New Roman"/>
          <w:noProof/>
          <w:szCs w:val="21"/>
        </w:rPr>
        <w:drawing>
          <wp:inline distT="0" distB="0" distL="114300" distR="114300" wp14:anchorId="64FB5C6F" wp14:editId="1A15F760">
            <wp:extent cx="171450" cy="228600"/>
            <wp:effectExtent l="0" t="0" r="0" b="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858954" name="图片 6"/>
                    <pic:cNvPicPr>
                      <a:picLocks noChangeAspect="1"/>
                    </pic:cNvPicPr>
                  </pic:nvPicPr>
                  <pic:blipFill>
                    <a:blip r:embed="rId11"/>
                    <a:stretch>
                      <a:fillRect/>
                    </a:stretch>
                  </pic:blipFill>
                  <pic:spPr>
                    <a:xfrm>
                      <a:off x="0" y="0"/>
                      <a:ext cx="171450" cy="228600"/>
                    </a:xfrm>
                    <a:prstGeom prst="rect">
                      <a:avLst/>
                    </a:prstGeom>
                    <a:noFill/>
                    <a:ln>
                      <a:noFill/>
                    </a:ln>
                  </pic:spPr>
                </pic:pic>
              </a:graphicData>
            </a:graphic>
          </wp:inline>
        </w:drawing>
      </w:r>
      <w:r w:rsidRPr="009B55B9">
        <w:rPr>
          <w:rFonts w:ascii="Times New Roman" w:eastAsia="仿宋" w:hAnsi="Times New Roman" w:cs="Times New Roman"/>
          <w:szCs w:val="21"/>
        </w:rPr>
        <w:t xml:space="preserve"> is a random disturbance.</w:t>
      </w:r>
    </w:p>
    <w:p w14:paraId="5E22B415"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szCs w:val="21"/>
        </w:rPr>
        <w:t>The general linear model (GLM) is used as an outcome model to estimate non-zero medical insurance reimbursement:</w:t>
      </w:r>
    </w:p>
    <w:p w14:paraId="74637CDE" w14:textId="77777777" w:rsidR="00A01C48" w:rsidRPr="009B55B9" w:rsidRDefault="00A01C48" w:rsidP="00A01C48">
      <w:pPr>
        <w:rPr>
          <w:rFonts w:ascii="Times New Roman" w:eastAsia="仿宋" w:hAnsi="Times New Roman" w:cs="Times New Roman"/>
          <w:szCs w:val="21"/>
        </w:rPr>
      </w:pPr>
      <w:r w:rsidRPr="009B55B9">
        <w:rPr>
          <w:rFonts w:ascii="Times New Roman" w:eastAsia="仿宋" w:hAnsi="Times New Roman" w:cs="Times New Roman"/>
          <w:i/>
          <w:iCs/>
          <w:position w:val="-16"/>
          <w:szCs w:val="21"/>
        </w:rPr>
        <w:object w:dxaOrig="5376" w:dyaOrig="456" w14:anchorId="6C2B3871">
          <v:shape id="_x0000_i1027" type="#_x0000_t75" style="width:270pt;height:24pt" o:ole="">
            <v:imagedata r:id="rId12" o:title=""/>
          </v:shape>
          <o:OLEObject Type="Embed" ProgID="Equation.KSEE3" ShapeID="_x0000_i1027" DrawAspect="Content" ObjectID="_1653999300" r:id="rId13"/>
        </w:object>
      </w:r>
      <w:r w:rsidRPr="009B55B9">
        <w:rPr>
          <w:rFonts w:ascii="Times New Roman" w:eastAsia="仿宋" w:hAnsi="Times New Roman" w:cs="Times New Roman"/>
          <w:i/>
          <w:iCs/>
          <w:szCs w:val="21"/>
        </w:rPr>
        <w:t xml:space="preserve"> </w:t>
      </w:r>
      <w:r w:rsidRPr="009B55B9">
        <w:rPr>
          <w:rFonts w:ascii="Times New Roman" w:eastAsia="仿宋" w:hAnsi="Times New Roman" w:cs="Times New Roman"/>
          <w:szCs w:val="21"/>
        </w:rPr>
        <w:t xml:space="preserve">                          </w:t>
      </w:r>
      <w:r w:rsidRPr="009B55B9">
        <w:rPr>
          <w:rFonts w:ascii="Times New Roman" w:eastAsia="仿宋" w:hAnsi="Times New Roman" w:cs="Times New Roman"/>
          <w:i/>
          <w:iCs/>
          <w:szCs w:val="21"/>
        </w:rPr>
        <w:t xml:space="preserve"> </w:t>
      </w:r>
      <w:r w:rsidRPr="009B55B9">
        <w:rPr>
          <w:rFonts w:ascii="Times New Roman" w:eastAsia="仿宋" w:hAnsi="Times New Roman" w:cs="Times New Roman"/>
          <w:szCs w:val="21"/>
        </w:rPr>
        <w:t xml:space="preserve"> (2)</w:t>
      </w:r>
    </w:p>
    <w:p w14:paraId="27BA386D" w14:textId="77777777" w:rsidR="00A01C48" w:rsidRPr="009B55B9" w:rsidRDefault="00A01C48" w:rsidP="00A01C48">
      <w:pPr>
        <w:spacing w:line="480" w:lineRule="auto"/>
        <w:rPr>
          <w:rFonts w:ascii="Times New Roman" w:eastAsia="仿宋" w:hAnsi="Times New Roman" w:cs="Times New Roman"/>
          <w:szCs w:val="21"/>
        </w:rPr>
      </w:pPr>
      <w:proofErr w:type="gramStart"/>
      <w:r w:rsidRPr="009B55B9">
        <w:rPr>
          <w:rFonts w:ascii="Times New Roman" w:eastAsia="仿宋" w:hAnsi="Times New Roman" w:cs="Times New Roman"/>
          <w:szCs w:val="21"/>
        </w:rPr>
        <w:t>All of</w:t>
      </w:r>
      <w:proofErr w:type="gramEnd"/>
      <w:r w:rsidRPr="009B55B9">
        <w:rPr>
          <w:rFonts w:ascii="Times New Roman" w:eastAsia="仿宋" w:hAnsi="Times New Roman" w:cs="Times New Roman"/>
          <w:szCs w:val="21"/>
        </w:rPr>
        <w:t xml:space="preserve"> the respondents’ medical insurance reimbursements analysed in this model were over 0. The random disturbances </w:t>
      </w:r>
      <w:r w:rsidRPr="009B55B9">
        <w:rPr>
          <w:rFonts w:ascii="Times New Roman" w:eastAsia="仿宋" w:hAnsi="Times New Roman" w:cs="Times New Roman"/>
          <w:noProof/>
          <w:szCs w:val="21"/>
        </w:rPr>
        <w:drawing>
          <wp:inline distT="0" distB="0" distL="114300" distR="114300" wp14:anchorId="57BFEAAD" wp14:editId="789ACFA7">
            <wp:extent cx="171450" cy="228600"/>
            <wp:effectExtent l="0" t="0" r="0" b="0"/>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162168" name="图片 8"/>
                    <pic:cNvPicPr>
                      <a:picLocks noChangeAspect="1"/>
                    </pic:cNvPicPr>
                  </pic:nvPicPr>
                  <pic:blipFill>
                    <a:blip r:embed="rId14"/>
                    <a:stretch>
                      <a:fillRect/>
                    </a:stretch>
                  </pic:blipFill>
                  <pic:spPr>
                    <a:xfrm>
                      <a:off x="0" y="0"/>
                      <a:ext cx="171450" cy="228600"/>
                    </a:xfrm>
                    <a:prstGeom prst="rect">
                      <a:avLst/>
                    </a:prstGeom>
                    <a:noFill/>
                    <a:ln>
                      <a:noFill/>
                    </a:ln>
                  </pic:spPr>
                </pic:pic>
              </a:graphicData>
            </a:graphic>
          </wp:inline>
        </w:drawing>
      </w:r>
      <w:r w:rsidRPr="009B55B9">
        <w:rPr>
          <w:rFonts w:ascii="Times New Roman" w:eastAsia="仿宋" w:hAnsi="Times New Roman" w:cs="Times New Roman"/>
          <w:szCs w:val="21"/>
        </w:rPr>
        <w:t xml:space="preserve"> and </w:t>
      </w:r>
      <w:r w:rsidRPr="009B55B9">
        <w:rPr>
          <w:rFonts w:ascii="Times New Roman" w:eastAsia="仿宋" w:hAnsi="Times New Roman" w:cs="Times New Roman"/>
          <w:noProof/>
          <w:szCs w:val="21"/>
        </w:rPr>
        <w:drawing>
          <wp:inline distT="0" distB="0" distL="114300" distR="114300" wp14:anchorId="661D2D94" wp14:editId="086A86F9">
            <wp:extent cx="142875" cy="228600"/>
            <wp:effectExtent l="0" t="0" r="0" b="0"/>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027312" name="图片 9"/>
                    <pic:cNvPicPr>
                      <a:picLocks noChangeAspect="1"/>
                    </pic:cNvPicPr>
                  </pic:nvPicPr>
                  <pic:blipFill>
                    <a:blip r:embed="rId15"/>
                    <a:stretch>
                      <a:fillRect/>
                    </a:stretch>
                  </pic:blipFill>
                  <pic:spPr>
                    <a:xfrm>
                      <a:off x="0" y="0"/>
                      <a:ext cx="142875" cy="228600"/>
                    </a:xfrm>
                    <a:prstGeom prst="rect">
                      <a:avLst/>
                    </a:prstGeom>
                    <a:noFill/>
                    <a:ln>
                      <a:noFill/>
                    </a:ln>
                  </pic:spPr>
                </pic:pic>
              </a:graphicData>
            </a:graphic>
          </wp:inline>
        </w:drawing>
      </w:r>
      <w:r w:rsidRPr="009B55B9">
        <w:rPr>
          <w:rFonts w:ascii="Times New Roman" w:eastAsia="仿宋" w:hAnsi="Times New Roman" w:cs="Times New Roman"/>
          <w:szCs w:val="21"/>
        </w:rPr>
        <w:t xml:space="preserve"> of equations (1) and (2) are assumed to be unrelated; that is, the medical insurance reimbursement amounts of 0 and over 0 are independent of each other. </w:t>
      </w:r>
      <w:r w:rsidRPr="009B55B9">
        <w:rPr>
          <w:rFonts w:ascii="Times New Roman" w:eastAsia="仿宋" w:hAnsi="Times New Roman" w:cs="Times New Roman"/>
          <w:noProof/>
          <w:szCs w:val="21"/>
        </w:rPr>
        <w:drawing>
          <wp:inline distT="0" distB="0" distL="114300" distR="114300" wp14:anchorId="79C8A9C3" wp14:editId="22259D98">
            <wp:extent cx="209550" cy="228600"/>
            <wp:effectExtent l="0" t="0" r="0" b="0"/>
            <wp:docPr id="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62772" name="图片 10"/>
                    <pic:cNvPicPr>
                      <a:picLocks noChangeAspect="1"/>
                    </pic:cNvPicPr>
                  </pic:nvPicPr>
                  <pic:blipFill>
                    <a:blip r:embed="rId16"/>
                    <a:stretch>
                      <a:fillRect/>
                    </a:stretch>
                  </pic:blipFill>
                  <pic:spPr>
                    <a:xfrm>
                      <a:off x="0" y="0"/>
                      <a:ext cx="209550" cy="228600"/>
                    </a:xfrm>
                    <a:prstGeom prst="rect">
                      <a:avLst/>
                    </a:prstGeom>
                    <a:noFill/>
                    <a:ln>
                      <a:noFill/>
                    </a:ln>
                  </pic:spPr>
                </pic:pic>
              </a:graphicData>
            </a:graphic>
          </wp:inline>
        </w:drawing>
      </w:r>
      <w:r w:rsidRPr="009B55B9">
        <w:rPr>
          <w:rFonts w:ascii="Times New Roman" w:eastAsia="仿宋" w:hAnsi="Times New Roman" w:cs="Times New Roman"/>
          <w:szCs w:val="21"/>
        </w:rPr>
        <w:t xml:space="preserve"> is a series of control variables that may affect medical insurance reimbursement, and </w:t>
      </w:r>
      <w:r w:rsidRPr="009B55B9">
        <w:rPr>
          <w:rFonts w:ascii="Times New Roman" w:eastAsia="仿宋" w:hAnsi="Times New Roman" w:cs="Times New Roman"/>
          <w:noProof/>
          <w:szCs w:val="21"/>
        </w:rPr>
        <w:drawing>
          <wp:inline distT="0" distB="0" distL="114300" distR="114300" wp14:anchorId="181B9E86" wp14:editId="769D2709">
            <wp:extent cx="142875" cy="228600"/>
            <wp:effectExtent l="0" t="0" r="0" b="0"/>
            <wp:docPr id="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812848" name="图片 11"/>
                    <pic:cNvPicPr>
                      <a:picLocks noChangeAspect="1"/>
                    </pic:cNvPicPr>
                  </pic:nvPicPr>
                  <pic:blipFill>
                    <a:blip r:embed="rId17"/>
                    <a:stretch>
                      <a:fillRect/>
                    </a:stretch>
                  </pic:blipFill>
                  <pic:spPr>
                    <a:xfrm>
                      <a:off x="0" y="0"/>
                      <a:ext cx="142875" cy="228600"/>
                    </a:xfrm>
                    <a:prstGeom prst="rect">
                      <a:avLst/>
                    </a:prstGeom>
                    <a:noFill/>
                    <a:ln>
                      <a:noFill/>
                    </a:ln>
                  </pic:spPr>
                </pic:pic>
              </a:graphicData>
            </a:graphic>
          </wp:inline>
        </w:drawing>
      </w:r>
      <w:r w:rsidRPr="009B55B9">
        <w:rPr>
          <w:rFonts w:ascii="Times New Roman" w:eastAsia="仿宋" w:hAnsi="Times New Roman" w:cs="Times New Roman"/>
          <w:szCs w:val="21"/>
        </w:rPr>
        <w:t xml:space="preserve"> is the residual </w:t>
      </w:r>
      <w:proofErr w:type="gramStart"/>
      <w:r w:rsidRPr="009B55B9">
        <w:rPr>
          <w:rFonts w:ascii="Times New Roman" w:eastAsia="仿宋" w:hAnsi="Times New Roman" w:cs="Times New Roman"/>
          <w:szCs w:val="21"/>
        </w:rPr>
        <w:t>term.</w:t>
      </w:r>
      <w:proofErr w:type="gramEnd"/>
    </w:p>
    <w:p w14:paraId="2E13771B"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szCs w:val="21"/>
        </w:rPr>
        <w:t xml:space="preserve">2. Binary choice model. The binary choice model is used to estimate the binary discrete dependent variable. The model is used in this paper to analyse the influencing factors of health status, hospitalization choice and </w:t>
      </w:r>
      <w:bookmarkStart w:id="0" w:name="_Hlk25091882"/>
      <w:r w:rsidRPr="009B55B9">
        <w:rPr>
          <w:rFonts w:ascii="Times New Roman" w:eastAsia="仿宋" w:hAnsi="Times New Roman" w:cs="Times New Roman"/>
          <w:szCs w:val="21"/>
        </w:rPr>
        <w:t xml:space="preserve">medical </w:t>
      </w:r>
      <w:r w:rsidRPr="009B55B9">
        <w:rPr>
          <w:rFonts w:ascii="Times New Roman" w:eastAsia="仿宋" w:hAnsi="Times New Roman" w:cs="Times New Roman"/>
          <w:szCs w:val="21"/>
        </w:rPr>
        <w:lastRenderedPageBreak/>
        <w:t>insurance applicability</w:t>
      </w:r>
      <w:bookmarkEnd w:id="0"/>
      <w:r w:rsidRPr="009B55B9">
        <w:rPr>
          <w:rFonts w:ascii="Times New Roman" w:eastAsia="仿宋" w:hAnsi="Times New Roman" w:cs="Times New Roman"/>
          <w:szCs w:val="21"/>
        </w:rPr>
        <w:t xml:space="preserve">. The regression equation of hospitalization choice is the same as equation (1) and will not be described here. The </w:t>
      </w:r>
      <w:proofErr w:type="spellStart"/>
      <w:r w:rsidRPr="009B55B9">
        <w:rPr>
          <w:rFonts w:ascii="Times New Roman" w:eastAsia="仿宋" w:hAnsi="Times New Roman" w:cs="Times New Roman"/>
          <w:szCs w:val="21"/>
        </w:rPr>
        <w:t>probit</w:t>
      </w:r>
      <w:proofErr w:type="spellEnd"/>
      <w:r w:rsidRPr="009B55B9">
        <w:rPr>
          <w:rFonts w:ascii="Times New Roman" w:eastAsia="仿宋" w:hAnsi="Times New Roman" w:cs="Times New Roman"/>
          <w:szCs w:val="21"/>
        </w:rPr>
        <w:t xml:space="preserve"> models for health status and medical insurance applicability are as follows:</w:t>
      </w:r>
    </w:p>
    <w:p w14:paraId="3BCD018E"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szCs w:val="21"/>
        </w:rPr>
        <w:object w:dxaOrig="6600" w:dyaOrig="456" w14:anchorId="512128FB">
          <v:shape id="_x0000_i1028" type="#_x0000_t75" style="width:330pt;height:24pt" o:ole="">
            <v:imagedata r:id="rId18" o:title=""/>
          </v:shape>
          <o:OLEObject Type="Embed" ProgID="Equation.KSEE3" ShapeID="_x0000_i1028" DrawAspect="Content" ObjectID="_1653999301" r:id="rId19"/>
        </w:object>
      </w:r>
      <w:r w:rsidRPr="009B55B9">
        <w:rPr>
          <w:rFonts w:ascii="Times New Roman" w:eastAsia="仿宋" w:hAnsi="Times New Roman" w:cs="Times New Roman"/>
          <w:szCs w:val="21"/>
        </w:rPr>
        <w:t xml:space="preserve">              (3)</w:t>
      </w:r>
      <w:r w:rsidRPr="009B55B9">
        <w:rPr>
          <w:rFonts w:ascii="Times New Roman" w:eastAsia="仿宋" w:hAnsi="Times New Roman" w:cs="Times New Roman"/>
          <w:szCs w:val="21"/>
        </w:rPr>
        <w:object w:dxaOrig="6936" w:dyaOrig="456" w14:anchorId="002E0E9D">
          <v:shape id="_x0000_i1029" type="#_x0000_t75" style="width:348pt;height:24pt" o:ole="">
            <v:imagedata r:id="rId20" o:title=""/>
          </v:shape>
          <o:OLEObject Type="Embed" ProgID="Equation.KSEE3" ShapeID="_x0000_i1029" DrawAspect="Content" ObjectID="_1653999302" r:id="rId21"/>
        </w:object>
      </w:r>
      <w:r w:rsidRPr="009B55B9">
        <w:rPr>
          <w:rFonts w:ascii="Times New Roman" w:eastAsia="仿宋" w:hAnsi="Times New Roman" w:cs="Times New Roman"/>
          <w:szCs w:val="21"/>
        </w:rPr>
        <w:t xml:space="preserve">           </w:t>
      </w:r>
      <w:proofErr w:type="gramStart"/>
      <w:r w:rsidRPr="009B55B9">
        <w:rPr>
          <w:rFonts w:ascii="Times New Roman" w:eastAsia="仿宋" w:hAnsi="Times New Roman" w:cs="Times New Roman"/>
          <w:szCs w:val="21"/>
        </w:rPr>
        <w:t xml:space="preserve">   (</w:t>
      </w:r>
      <w:proofErr w:type="gramEnd"/>
      <w:r w:rsidRPr="009B55B9">
        <w:rPr>
          <w:rFonts w:ascii="Times New Roman" w:eastAsia="仿宋" w:hAnsi="Times New Roman" w:cs="Times New Roman"/>
          <w:szCs w:val="21"/>
        </w:rPr>
        <w:t>4)</w:t>
      </w:r>
    </w:p>
    <w:p w14:paraId="42C167A6" w14:textId="77777777" w:rsidR="00A01C48" w:rsidRPr="009B55B9" w:rsidRDefault="00A01C48" w:rsidP="00A01C48">
      <w:pPr>
        <w:spacing w:line="480" w:lineRule="auto"/>
        <w:rPr>
          <w:rFonts w:ascii="Times New Roman" w:eastAsia="仿宋" w:hAnsi="Times New Roman" w:cs="Times New Roman"/>
          <w:szCs w:val="21"/>
        </w:rPr>
      </w:pPr>
      <w:r w:rsidRPr="009B55B9">
        <w:rPr>
          <w:rFonts w:ascii="Times New Roman" w:eastAsia="仿宋" w:hAnsi="Times New Roman" w:cs="Times New Roman"/>
          <w:szCs w:val="21"/>
        </w:rPr>
        <w:t xml:space="preserve">Similarly, </w:t>
      </w:r>
      <w:r w:rsidRPr="009B55B9">
        <w:rPr>
          <w:rFonts w:ascii="Times New Roman" w:eastAsia="仿宋" w:hAnsi="Times New Roman" w:cs="Times New Roman"/>
          <w:noProof/>
          <w:szCs w:val="21"/>
        </w:rPr>
        <w:drawing>
          <wp:inline distT="0" distB="0" distL="114300" distR="114300" wp14:anchorId="05EF727E" wp14:editId="4E0806BE">
            <wp:extent cx="123825" cy="171450"/>
            <wp:effectExtent l="0" t="0" r="0" b="0"/>
            <wp:docPr id="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47679" name="图片 15"/>
                    <pic:cNvPicPr>
                      <a:picLocks noChangeAspect="1"/>
                    </pic:cNvPicPr>
                  </pic:nvPicPr>
                  <pic:blipFill>
                    <a:blip r:embed="rId22"/>
                    <a:stretch>
                      <a:fillRect/>
                    </a:stretch>
                  </pic:blipFill>
                  <pic:spPr>
                    <a:xfrm>
                      <a:off x="0" y="0"/>
                      <a:ext cx="123825" cy="171450"/>
                    </a:xfrm>
                    <a:prstGeom prst="rect">
                      <a:avLst/>
                    </a:prstGeom>
                    <a:noFill/>
                    <a:ln>
                      <a:noFill/>
                    </a:ln>
                  </pic:spPr>
                </pic:pic>
              </a:graphicData>
            </a:graphic>
          </wp:inline>
        </w:drawing>
      </w:r>
      <w:r w:rsidRPr="009B55B9">
        <w:rPr>
          <w:rFonts w:ascii="Times New Roman" w:eastAsia="仿宋" w:hAnsi="Times New Roman" w:cs="Times New Roman"/>
          <w:szCs w:val="21"/>
        </w:rPr>
        <w:t xml:space="preserve">(·) is a standard normal distribution function, assuming that the random perturbation terms </w:t>
      </w:r>
      <w:r w:rsidRPr="009B55B9">
        <w:rPr>
          <w:rFonts w:ascii="Times New Roman" w:eastAsia="仿宋" w:hAnsi="Times New Roman" w:cs="Times New Roman"/>
          <w:noProof/>
          <w:szCs w:val="21"/>
        </w:rPr>
        <w:drawing>
          <wp:inline distT="0" distB="0" distL="114300" distR="114300" wp14:anchorId="24F77EFE" wp14:editId="45CF9331">
            <wp:extent cx="209550" cy="228600"/>
            <wp:effectExtent l="0" t="0" r="0" b="0"/>
            <wp:docPr id="3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517293" name="图片 17"/>
                    <pic:cNvPicPr>
                      <a:picLocks noChangeAspect="1"/>
                    </pic:cNvPicPr>
                  </pic:nvPicPr>
                  <pic:blipFill>
                    <a:blip r:embed="rId23"/>
                    <a:stretch>
                      <a:fillRect/>
                    </a:stretch>
                  </pic:blipFill>
                  <pic:spPr>
                    <a:xfrm>
                      <a:off x="0" y="0"/>
                      <a:ext cx="209550" cy="228600"/>
                    </a:xfrm>
                    <a:prstGeom prst="rect">
                      <a:avLst/>
                    </a:prstGeom>
                    <a:noFill/>
                    <a:ln>
                      <a:noFill/>
                    </a:ln>
                  </pic:spPr>
                </pic:pic>
              </a:graphicData>
            </a:graphic>
          </wp:inline>
        </w:drawing>
      </w:r>
      <w:r w:rsidRPr="009B55B9">
        <w:rPr>
          <w:rFonts w:ascii="Times New Roman" w:eastAsia="仿宋" w:hAnsi="Times New Roman" w:cs="Times New Roman"/>
          <w:szCs w:val="21"/>
        </w:rPr>
        <w:t xml:space="preserve"> and </w:t>
      </w:r>
      <w:r w:rsidRPr="009B55B9">
        <w:rPr>
          <w:rFonts w:ascii="Times New Roman" w:eastAsia="仿宋" w:hAnsi="Times New Roman" w:cs="Times New Roman"/>
          <w:noProof/>
          <w:szCs w:val="21"/>
        </w:rPr>
        <w:drawing>
          <wp:inline distT="0" distB="0" distL="114300" distR="114300" wp14:anchorId="474E8C20" wp14:editId="2B6292D9">
            <wp:extent cx="228600" cy="228600"/>
            <wp:effectExtent l="0" t="0" r="0" b="0"/>
            <wp:docPr id="3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129059" name="图片 18"/>
                    <pic:cNvPicPr>
                      <a:picLocks noChangeAspect="1"/>
                    </pic:cNvPicPr>
                  </pic:nvPicPr>
                  <pic:blipFill>
                    <a:blip r:embed="rId24"/>
                    <a:stretch>
                      <a:fillRect/>
                    </a:stretch>
                  </pic:blipFill>
                  <pic:spPr>
                    <a:xfrm>
                      <a:off x="0" y="0"/>
                      <a:ext cx="228600" cy="228600"/>
                    </a:xfrm>
                    <a:prstGeom prst="rect">
                      <a:avLst/>
                    </a:prstGeom>
                    <a:noFill/>
                    <a:ln>
                      <a:noFill/>
                    </a:ln>
                  </pic:spPr>
                </pic:pic>
              </a:graphicData>
            </a:graphic>
          </wp:inline>
        </w:drawing>
      </w:r>
      <w:r w:rsidRPr="009B55B9">
        <w:rPr>
          <w:rFonts w:ascii="Times New Roman" w:eastAsia="仿宋" w:hAnsi="Times New Roman" w:cs="Times New Roman"/>
          <w:szCs w:val="21"/>
        </w:rPr>
        <w:t xml:space="preserve"> follow a standard normal distribution, where </w:t>
      </w:r>
      <w:r w:rsidRPr="009B55B9">
        <w:rPr>
          <w:rFonts w:ascii="Times New Roman" w:eastAsia="仿宋" w:hAnsi="Times New Roman" w:cs="Times New Roman"/>
          <w:noProof/>
          <w:szCs w:val="21"/>
        </w:rPr>
        <w:drawing>
          <wp:inline distT="0" distB="0" distL="114300" distR="114300" wp14:anchorId="7FA865E5" wp14:editId="7A5A04F0">
            <wp:extent cx="523875" cy="209550"/>
            <wp:effectExtent l="0" t="0" r="0" b="0"/>
            <wp:docPr id="3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951524" name="图片 19"/>
                    <pic:cNvPicPr>
                      <a:picLocks noChangeAspect="1"/>
                    </pic:cNvPicPr>
                  </pic:nvPicPr>
                  <pic:blipFill>
                    <a:blip r:embed="rId25"/>
                    <a:stretch>
                      <a:fillRect/>
                    </a:stretch>
                  </pic:blipFill>
                  <pic:spPr>
                    <a:xfrm>
                      <a:off x="0" y="0"/>
                      <a:ext cx="523875" cy="209550"/>
                    </a:xfrm>
                    <a:prstGeom prst="rect">
                      <a:avLst/>
                    </a:prstGeom>
                    <a:noFill/>
                    <a:ln>
                      <a:noFill/>
                    </a:ln>
                  </pic:spPr>
                </pic:pic>
              </a:graphicData>
            </a:graphic>
          </wp:inline>
        </w:drawing>
      </w:r>
      <w:r w:rsidRPr="009B55B9">
        <w:rPr>
          <w:rFonts w:ascii="Times New Roman" w:eastAsia="仿宋" w:hAnsi="Times New Roman" w:cs="Times New Roman"/>
          <w:szCs w:val="21"/>
        </w:rPr>
        <w:t xml:space="preserve"> denotes the dummy variables “sick in the last 2 weeks”, “sick in the last half year”, and “SRH”. </w:t>
      </w:r>
      <w:r w:rsidRPr="009B55B9">
        <w:rPr>
          <w:rFonts w:ascii="Times New Roman" w:eastAsia="仿宋" w:hAnsi="Times New Roman" w:cs="Times New Roman"/>
          <w:noProof/>
          <w:szCs w:val="21"/>
        </w:rPr>
        <w:drawing>
          <wp:inline distT="0" distB="0" distL="114300" distR="114300" wp14:anchorId="6A7C6A0A" wp14:editId="41FCEF67">
            <wp:extent cx="733425" cy="238125"/>
            <wp:effectExtent l="0" t="0" r="0" b="0"/>
            <wp:docPr id="3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004268" name="图片 20"/>
                    <pic:cNvPicPr>
                      <a:picLocks noChangeAspect="1"/>
                    </pic:cNvPicPr>
                  </pic:nvPicPr>
                  <pic:blipFill>
                    <a:blip r:embed="rId26"/>
                    <a:stretch>
                      <a:fillRect/>
                    </a:stretch>
                  </pic:blipFill>
                  <pic:spPr>
                    <a:xfrm>
                      <a:off x="0" y="0"/>
                      <a:ext cx="733425" cy="238125"/>
                    </a:xfrm>
                    <a:prstGeom prst="rect">
                      <a:avLst/>
                    </a:prstGeom>
                    <a:noFill/>
                    <a:ln>
                      <a:noFill/>
                    </a:ln>
                  </pic:spPr>
                </pic:pic>
              </a:graphicData>
            </a:graphic>
          </wp:inline>
        </w:drawing>
      </w:r>
      <w:r w:rsidRPr="009B55B9">
        <w:rPr>
          <w:rFonts w:ascii="Times New Roman" w:eastAsia="仿宋" w:hAnsi="Times New Roman" w:cs="Times New Roman"/>
          <w:szCs w:val="21"/>
        </w:rPr>
        <w:t xml:space="preserve"> refers to medical insurance applicability, and the control variable </w:t>
      </w:r>
      <w:r w:rsidRPr="009B55B9">
        <w:rPr>
          <w:rFonts w:ascii="Times New Roman" w:eastAsia="仿宋" w:hAnsi="Times New Roman" w:cs="Times New Roman"/>
          <w:noProof/>
          <w:szCs w:val="21"/>
        </w:rPr>
        <w:drawing>
          <wp:inline distT="0" distB="0" distL="114300" distR="114300" wp14:anchorId="1F79203B" wp14:editId="04D63ACC">
            <wp:extent cx="238125" cy="228600"/>
            <wp:effectExtent l="0" t="0" r="0" b="0"/>
            <wp:docPr id="3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994510" name="图片 21"/>
                    <pic:cNvPicPr>
                      <a:picLocks noChangeAspect="1"/>
                    </pic:cNvPicPr>
                  </pic:nvPicPr>
                  <pic:blipFill>
                    <a:blip r:embed="rId27"/>
                    <a:stretch>
                      <a:fillRect/>
                    </a:stretch>
                  </pic:blipFill>
                  <pic:spPr>
                    <a:xfrm>
                      <a:off x="0" y="0"/>
                      <a:ext cx="238125" cy="228600"/>
                    </a:xfrm>
                    <a:prstGeom prst="rect">
                      <a:avLst/>
                    </a:prstGeom>
                    <a:noFill/>
                    <a:ln>
                      <a:noFill/>
                    </a:ln>
                  </pic:spPr>
                </pic:pic>
              </a:graphicData>
            </a:graphic>
          </wp:inline>
        </w:drawing>
      </w:r>
      <w:r w:rsidRPr="009B55B9">
        <w:rPr>
          <w:rFonts w:ascii="Times New Roman" w:eastAsia="仿宋" w:hAnsi="Times New Roman" w:cs="Times New Roman"/>
          <w:szCs w:val="21"/>
        </w:rPr>
        <w:t xml:space="preserve"> is the same as in equation (1).</w:t>
      </w:r>
    </w:p>
    <w:p w14:paraId="10B21496" w14:textId="77777777" w:rsidR="00A01C48" w:rsidRPr="009B55B9" w:rsidRDefault="00A01C48" w:rsidP="00A01C48">
      <w:pPr>
        <w:spacing w:line="480" w:lineRule="auto"/>
        <w:ind w:firstLineChars="200" w:firstLine="420"/>
        <w:rPr>
          <w:rFonts w:ascii="Times New Roman" w:eastAsia="仿宋" w:hAnsi="Times New Roman" w:cs="Times New Roman"/>
          <w:szCs w:val="21"/>
        </w:rPr>
      </w:pPr>
      <w:r w:rsidRPr="009B55B9">
        <w:rPr>
          <w:rFonts w:ascii="Times New Roman" w:eastAsia="仿宋" w:hAnsi="Times New Roman" w:cs="Times New Roman"/>
          <w:szCs w:val="21"/>
        </w:rPr>
        <w:t>In addition, some respondents were repeatedly counted in the study. To improve the reliability of the significance test, all regression coefficient standard errors were cluster corrected at the individual level.</w:t>
      </w:r>
    </w:p>
    <w:p w14:paraId="3D8F7704" w14:textId="77777777" w:rsidR="00386883" w:rsidRDefault="00A01C48"/>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C48"/>
    <w:rsid w:val="00316534"/>
    <w:rsid w:val="00A01C48"/>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1C457"/>
  <w15:chartTrackingRefBased/>
  <w15:docId w15:val="{FC5856B4-DFEE-4097-9083-943739D3E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C48"/>
    <w:pPr>
      <w:widowControl w:val="0"/>
      <w:spacing w:after="0" w:line="240" w:lineRule="auto"/>
      <w:jc w:val="both"/>
    </w:pPr>
    <w:rPr>
      <w:rFonts w:eastAsiaTheme="minorEastAsia"/>
      <w:kern w:val="2"/>
      <w:sz w:val="21"/>
      <w:szCs w:val="24"/>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3.bin"/><Relationship Id="rId18" Type="http://schemas.openxmlformats.org/officeDocument/2006/relationships/image" Target="media/image12.wmf"/><Relationship Id="rId26" Type="http://schemas.openxmlformats.org/officeDocument/2006/relationships/image" Target="media/image18.wmf"/><Relationship Id="rId3" Type="http://schemas.openxmlformats.org/officeDocument/2006/relationships/webSettings" Target="webSettings.xml"/><Relationship Id="rId21" Type="http://schemas.openxmlformats.org/officeDocument/2006/relationships/oleObject" Target="embeddings/oleObject5.bin"/><Relationship Id="rId7" Type="http://schemas.openxmlformats.org/officeDocument/2006/relationships/oleObject" Target="embeddings/oleObject2.bin"/><Relationship Id="rId12" Type="http://schemas.openxmlformats.org/officeDocument/2006/relationships/image" Target="media/image7.wmf"/><Relationship Id="rId17" Type="http://schemas.openxmlformats.org/officeDocument/2006/relationships/image" Target="media/image11.wmf"/><Relationship Id="rId25" Type="http://schemas.openxmlformats.org/officeDocument/2006/relationships/image" Target="media/image17.wmf"/><Relationship Id="rId2" Type="http://schemas.openxmlformats.org/officeDocument/2006/relationships/settings" Target="settings.xml"/><Relationship Id="rId16" Type="http://schemas.openxmlformats.org/officeDocument/2006/relationships/image" Target="media/image10.wmf"/><Relationship Id="rId20" Type="http://schemas.openxmlformats.org/officeDocument/2006/relationships/image" Target="media/image13.wmf"/><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6.wmf"/><Relationship Id="rId24" Type="http://schemas.openxmlformats.org/officeDocument/2006/relationships/image" Target="media/image16.wmf"/><Relationship Id="rId5" Type="http://schemas.openxmlformats.org/officeDocument/2006/relationships/oleObject" Target="embeddings/oleObject1.bin"/><Relationship Id="rId15" Type="http://schemas.openxmlformats.org/officeDocument/2006/relationships/image" Target="media/image9.wmf"/><Relationship Id="rId23" Type="http://schemas.openxmlformats.org/officeDocument/2006/relationships/image" Target="media/image15.wmf"/><Relationship Id="rId28" Type="http://schemas.openxmlformats.org/officeDocument/2006/relationships/fontTable" Target="fontTable.xml"/><Relationship Id="rId10" Type="http://schemas.openxmlformats.org/officeDocument/2006/relationships/image" Target="media/image5.wmf"/><Relationship Id="rId19" Type="http://schemas.openxmlformats.org/officeDocument/2006/relationships/oleObject" Target="embeddings/oleObject4.bin"/><Relationship Id="rId4" Type="http://schemas.openxmlformats.org/officeDocument/2006/relationships/image" Target="media/image1.wmf"/><Relationship Id="rId9" Type="http://schemas.openxmlformats.org/officeDocument/2006/relationships/image" Target="media/image4.wmf"/><Relationship Id="rId14" Type="http://schemas.openxmlformats.org/officeDocument/2006/relationships/image" Target="media/image8.wmf"/><Relationship Id="rId22" Type="http://schemas.openxmlformats.org/officeDocument/2006/relationships/image" Target="media/image14.wmf"/><Relationship Id="rId27" Type="http://schemas.openxmlformats.org/officeDocument/2006/relationships/image" Target="media/image19.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1191</Words>
  <Characters>6792</Characters>
  <Application>Microsoft Office Word</Application>
  <DocSecurity>0</DocSecurity>
  <Lines>56</Lines>
  <Paragraphs>15</Paragraphs>
  <ScaleCrop>false</ScaleCrop>
  <Company/>
  <LinksUpToDate>false</LinksUpToDate>
  <CharactersWithSpaces>7968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2020-06-18T19:28:00Z</dcterms:created>
  <dcterms:modified xsi:type="dcterms:W3CDTF">2020-06-18T19:28:00Z</dcterms:modified>
</cp:coreProperties>
</file>