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9ff74bebaaf30d0535674aa34e0ada550b173"/>
    <w:p>
      <w:pPr>
        <w:pStyle w:val="Heading1"/>
      </w:pPr>
      <w:r>
        <w:t xml:space="preserve">Supplementary Information for: Beyond participation: where carbon accounts cannot distinguish sustainable practice from development constraint</w:t>
      </w:r>
    </w:p>
    <w:p>
      <w:pPr>
        <w:pStyle w:val="FirstParagraph"/>
      </w:pPr>
      <w:r>
        <w:t xml:space="preserve">Anonymous author(s).</w:t>
      </w:r>
    </w:p>
    <w:bookmarkStart w:id="20" w:name="Xd4ae5795fc621cdf25fa19090352de730c9e775"/>
    <w:p>
      <w:pPr>
        <w:pStyle w:val="Heading2"/>
      </w:pPr>
      <w:r>
        <w:t xml:space="preserve">Supplementary Note 1. Frozen design document (18 August 2026)</w:t>
      </w:r>
    </w:p>
    <w:p>
      <w:pPr>
        <w:pStyle w:val="FirstParagraph"/>
      </w:pPr>
      <w:r>
        <w:t xml:space="preserve">This note reproduces the analysis plan as fixed in writing on 18 August 2026, before the headline classifications were computed. No rule below was altered afterwards. This is a documented design freeze, not a preregistration; no registry deposit was made. The post hoc out-of-sample check reported in Supplementary Table S3 was added later, after pre-submission review, and is not part of this frozen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Sample rule.</w:t>
      </w:r>
      <w:r>
        <w:t xml:space="preserve"> </w:t>
      </w:r>
      <w:r>
        <w:t xml:space="preserve">All countries with consumption-based CO2 per capita for 2023 (Global Carbon Budget 2025, Global Carbon Project dataset v15, via Our World in Data), non-missing World Development Indicator covariates (GDP per capita PPP, electricity access, urban population share, most recent observation within 2020 to 2023), and population above 300,000.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Expectation model.</w:t>
      </w:r>
      <w:r>
        <w:t xml:space="preserve"> </w:t>
      </w:r>
      <w:r>
        <w:t xml:space="preserve">Ordinary least squares of log consumption CO2 per capita on log GDP per capita (PPP), electricity access and urbanisation. No respecification after fitting.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Blindness zone.</w:t>
      </w:r>
      <w:r>
        <w:t xml:space="preserve"> </w:t>
      </w:r>
      <w:r>
        <w:t xml:space="preserve">Countries whose expected consumption CO2 per capita is below 2.3 t, an operational benchmark drawn from the 1.5 degree lifestyle-footprint scenario literature (IGES 2019; UNEP Emissions Gap Report). Sensitivity reported at 2.1 and 2.5 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Classification.</w:t>
      </w:r>
      <w:r>
        <w:t xml:space="preserve"> </w:t>
      </w:r>
      <w:r>
        <w:t xml:space="preserve">Among informative countries: above expectation if realised value exceeds the 95% prediction interval; below expectation (realised restraint) if under it; otherwise on expectation. Classifications computed algorithmically; no country-level discretion.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Persistence.</w:t>
      </w:r>
      <w:r>
        <w:t xml:space="preserve"> </w:t>
      </w:r>
      <w:r>
        <w:t xml:space="preserve">Identical model re-estimated on 2000 and 2010 data; Spearman rank correlation of country residuals across waves.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Dual reporting.</w:t>
      </w:r>
      <w:r>
        <w:t xml:space="preserve"> </w:t>
      </w:r>
      <w:r>
        <w:t xml:space="preserve">Per-capita and population-scale values reported side by side in every display; never averaged or composited; no rankings published.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No population bonus, no deprivation credit.</w:t>
      </w:r>
      <w:r>
        <w:t xml:space="preserve"> </w:t>
      </w:r>
      <w:r>
        <w:t xml:space="preserve">No adjustment that rewards population size or credits low consumption arising from low means.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Exclusion loop.</w:t>
      </w:r>
      <w:r>
        <w:t xml:space="preserve"> </w:t>
      </w:r>
      <w:r>
        <w:t xml:space="preserve">Leave-one-country-out re-estimation of the model and all classifications for every country, reported in full in Supplementary Table S1. Headline findings must not depend on any single country, including India.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Adverse results.</w:t>
      </w:r>
      <w:r>
        <w:t xml:space="preserve"> </w:t>
      </w:r>
      <w:r>
        <w:t xml:space="preserve">Null and adverse results, including an empty realised-restraint class, are reported in the main text.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Statistics.</w:t>
      </w:r>
      <w:r>
        <w:t xml:space="preserve"> </w:t>
      </w:r>
      <w:r>
        <w:t xml:space="preserve">Two-tailed tests, alpha 0.05, exact P values, Benjamini-Hochberg control where families of tests appear.</w:t>
      </w:r>
    </w:p>
    <w:bookmarkEnd w:id="20"/>
    <w:bookmarkStart w:id="21" w:name="Xf041d6f9e522959f3a932d5dc13d0f4527974a8"/>
    <w:p>
      <w:pPr>
        <w:pStyle w:val="Heading2"/>
      </w:pPr>
      <w:r>
        <w:t xml:space="preserve">Supplementary Table S1. Leave-one-country-out exclusion loop (118 refits)</w:t>
      </w:r>
    </w:p>
    <w:p>
      <w:pPr>
        <w:pStyle w:val="FirstParagraph"/>
      </w:pPr>
      <w:r>
        <w:t xml:space="preserve">Each row removes one country, re-estimates the frozen model on the remaining 117, and reports the blindness-zone population, model R2 and the number of classification changes among the remaining countries.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Removed country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 pop (bn)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 R2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 changes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Albania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Argentina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Armenia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Australia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Austria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Azerbaijan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Bahrain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Bangladesh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Belarus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Belgium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Benin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Bolivia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Botswana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Brazil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Brunei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Bulgaria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Burkina Faso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Cambodia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Cameroon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Canada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Colombia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Costa Rica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Cote d’Ivoire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Croatia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Cyprus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Czechia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Denmark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Dominican Republic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Ecuador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Egypt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 Salvador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Estonia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Ethiopia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Georgia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Germany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Ghana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Greece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Guatemala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Guinea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Honduras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Hong Kong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Hungary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Indonesia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Iran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Ireland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Israel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Italy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Jamaica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Japan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Jordan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Kazakhstan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Kenya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Kuwait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Kyrgyzstan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Latvia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Lithuania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Luxembourg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Madagascar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Malawi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Malaysia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Malta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Mauritius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Mexico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Mongolia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Morocco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Mozambique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Namibia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Nepal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Netherlands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Zealand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Nicaragua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Nigeria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Norway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Oman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Panama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Paraguay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Philippines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Portugal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Qatar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Romania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Russia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Rwanda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Saudi Arabia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Senegal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Singapore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Slovakia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Slovenia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South Africa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South Korea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Spain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Sri Lanka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Sweden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Switzerland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Tajikistan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Tanzania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Thailand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Trinidad and Tobago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Tunisia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Turkey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Uganda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Ukraine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United Arab Emirates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United Kingdom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United States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Uruguay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Vietnam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Zambia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Zimbabwe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</w:tbl>
    <w:bookmarkEnd w:id="21"/>
    <w:bookmarkStart w:id="22" w:name="X867570363dfd471a59b9db659ae3e1f2b1c12c6"/>
    <w:p>
      <w:pPr>
        <w:pStyle w:val="Heading2"/>
      </w:pPr>
      <w:r>
        <w:t xml:space="preserve">Supplementary Table S2. Full country-level estimates, 118 countries (alphabetical)</w:t>
      </w:r>
    </w:p>
    <w:p>
      <w:pPr>
        <w:pStyle w:val="FirstParagraph"/>
      </w:pPr>
      <w:r>
        <w:t xml:space="preserve">Expected values from the frozen model (log consumption CO2 per capita on log GDP per capita PPP, electricity access, urbanisation; R2 = 0.861, n = 118). Exp: expected t CO2 per capita; Real: realised t CO2 per capita; Gap: realised relative to expected; Mt CO2: population-scale consumption emissions. Class codes: Zone = blindness zone; On = on expectation; Above = above expectation. No ranks are published. The covariate columns (electricity access, urbanisation) for every country are in Supplementary Data S1.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815"/>
        <w:gridCol w:w="1155"/>
        <w:gridCol w:w="825"/>
        <w:gridCol w:w="825"/>
        <w:gridCol w:w="742"/>
        <w:gridCol w:w="907"/>
        <w:gridCol w:w="907"/>
        <w:gridCol w:w="74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Country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GDP/cap ($)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 (t)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 (t)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Gap 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Pop (m)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Mt CO2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Albania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24,848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Argentina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30,246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Armenia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21,552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Australia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72,273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Austria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74,261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Azerbaijan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23,671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Bahrain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64,224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Bangladesh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9,155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Belarus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Belgium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72,630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Benin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Bolivia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12,903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Botswana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Brazil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21,193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Brunei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85,103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Bulgaria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38,829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Burkina Faso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Cambodia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Cameroon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Canada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64,962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33,174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1410.7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10,766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Colombia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21,282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Costa Rica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29,248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Cote d’Ivoire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Croatia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47,760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Cyprus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59,875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Czechia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56,062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Denmark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77,425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Dominican Republic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25,861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Ecuador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15,907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Egypt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 Salvador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12,667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Estonia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48,848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Ethiopia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63,467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60,927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Georgia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Germany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72,262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Ghana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Greece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42,614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Guatemala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13,752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Guinea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4,337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Honduras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7,184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Hong Kong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71,519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Hungary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46,376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1438.1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Indonesia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15,428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Iran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18,933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Ireland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133,440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Israel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55,301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Italy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60,350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Jamaica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12,661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Japan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52,726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Jordan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11,451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Kazakhstan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38,547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Kenya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6,322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Kuwait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53,083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Above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Kyrgyzstan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7,304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9,299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Latvia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42,784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Lithuania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52,720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Luxembourg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152,596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Madagascar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Malawi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Malaysia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36,497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Malta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67,101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Mauritius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29,403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Mexico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25,188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129.7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Mongolia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Above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Morocco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9,903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Mozambique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Namibia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Nepal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Netherlands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80,392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Zealand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54,950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Nicaragua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8,327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Nigeria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227.9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Norway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107,768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Oman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41,980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247.5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Panama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39,846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Paraguay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17,585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Philippines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10,995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114.9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48,473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Portugal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Qatar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129,025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Romania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45,982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Russia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44,299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143.8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Rwanda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Saudi Arabia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71,624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Senegal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Singapore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144,728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Slovakia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45,865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Slovenia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56,151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South Africa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15,212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South Korea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57,430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Spain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55,661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Sri Lanka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14,512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Sweden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68,458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Switzerland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93,940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Tajikistan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4,968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Tanzania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Thailand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23,598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Trinidad and Tobago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34,652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Above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Tunisia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Turkey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43,196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Uganda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Ukraine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17,680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United Arab Emirates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United Kingdom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60,787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United States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82,587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336.8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5,325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Uruguay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34,546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Vietnam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Zambia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Zimbabwe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5,796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</w:t>
            </w:r>
          </w:p>
        </w:tc>
      </w:tr>
    </w:tbl>
    <w:bookmarkEnd w:id="22"/>
    <w:bookmarkStart w:id="23" w:name="X40c3d22664ff199641fa149e6c4e14b2d2e2539"/>
    <w:p>
      <w:pPr>
        <w:pStyle w:val="Heading2"/>
      </w:pPr>
      <w:r>
        <w:t xml:space="preserve">Supplementary Table S3. Post hoc out-of-sample check (118 held-out predictions)</w:t>
      </w:r>
    </w:p>
    <w:p>
      <w:pPr>
        <w:pStyle w:val="FirstParagraph"/>
      </w:pPr>
      <w:r>
        <w:t xml:space="preserve">This check was added after pre-submission review and is not part of the frozen design in Supplementary Note 1. Each row withholds one country, re-estimates the model on the remaining 117, and compares the withheld country’s realised 2023 value with its held-out 95% prediction interval (columns: held-out expected value, interval lower and upper bounds, realised value, all in t CO2 per capita). Zero of 118 countries fall below their held-out interval; four fall above it (Kuwait, Mongolia, Namibia, Trinidad and Tobago). Namibia sits within its in-sample interval by a margin of 0.2% (realised 3.2552 t against an in-sample upper bound of 3.2617 t) and crosses only its held-out upper bound. Blindness-zone classifications are identical under held-out expectations (35 countries, 3.06 billion people).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406"/>
        <w:gridCol w:w="1102"/>
        <w:gridCol w:w="1102"/>
        <w:gridCol w:w="1102"/>
        <w:gridCol w:w="1102"/>
        <w:gridCol w:w="110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Country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 (t)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 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 hi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 (t)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Albania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Argentina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Armenia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Australia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Austria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Azerbaijan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Bahrain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Bangladesh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Belarus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Belgium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Benin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Bolivia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Botswana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Brazil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Brunei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Bulgaria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Burkina Faso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Cambodia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Cameroon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Canada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Colombia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Costa Rica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Cote d’Ivoire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Croatia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Cyprus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Czechia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Denmark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Dominican Republic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Ecuador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Egypt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 Salvador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Estonia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Ethiopia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Georgia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Germany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Ghana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Greece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Guatemala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Guinea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Honduras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Hong Kong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Hungary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Indonesia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Iran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Ireland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Israel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Italy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Jamaica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Japan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Jordan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Kazakhstan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Kenya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Kuwait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Above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Kyrgyzstan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Latvia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Lithuania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Luxembourg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59.29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Madagascar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Malawi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Malaysia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Malta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Mauritius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Mexico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Mongolia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Above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Morocco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Mozambique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Namibia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Above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Nepal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Netherlands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Zealand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Nicaragua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Nigeria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Norway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Oman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Panama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Paraguay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Philippines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Portugal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Qatar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Romania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Russia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Rwanda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Saudi Arabia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Senegal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Singapore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Slovakia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Slovenia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South Africa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South Korea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Spain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Sri Lanka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Sweden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Switzerland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Tajikistan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Tanzania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Thailand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Trinidad and Tobago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Above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Tunisia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Turkey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Uganda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Ukraine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United Arab Emirates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United Kingdom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United States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Uruguay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Vietnam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Zambia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Zimbabwe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</w:t>
            </w:r>
          </w:p>
        </w:tc>
      </w:tr>
    </w:tbl>
    <w:bookmarkEnd w:id="23"/>
    <w:bookmarkStart w:id="24" w:name="Xf296f16cbfeaa76174596c76ae8779365a23d23"/>
    <w:p>
      <w:pPr>
        <w:pStyle w:val="Heading2"/>
        <w:spacing w:before="80" w:after="0"/>
      </w:pPr>
      <w:r>
        <w:t xml:space="preserve">Supplementary Data S1 and Supplementary Code</w:t>
      </w:r>
    </w:p>
    <w:p>
      <w:pPr>
        <w:pStyle w:val="FirstParagraph"/>
        <w:spacing w:before="0" w:after="0" w:line="240" w:lineRule="auto"/>
      </w:pPr>
      <w:r>
        <w:t xml:space="preserve">The merged 2023 analytic sample is provided as Supplementary Data S1 (CSV). The 2000 and 2010 waves used in the persistence analysis are not distributed as a separate file; they are rebuilt from the same public sources by the Supplementary Code, which writes analysis_2000.csv and analysis_2010.csv to disk as it runs. The complete analysis code (Python), reproducing every download, estimate, classification, table and figure from the public sources, is provided as the Supplementary Code file.</w:t>
      </w:r>
    </w:p>
    <w:bookmarkEnd w:id="24"/>
    <w:bookmarkEnd w:id="25"/>
    <w:sectPr>
      <w:endnotePr>
        <w:numFmt w:val="decimal"/>
      </w:end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endnotes.xml><?xml version="1.0" encoding="utf-8"?>
<w:endnotes xmlns:w="http://schemas.openxmlformats.org/wordprocessingml/2006/main" xmlns:r="http://schemas.openxmlformats.org/officeDocument/2006/relationships">
  <w:endnotePr>
    <w:numFmt w:val="decimal"/>
  </w:endnotePr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2026-08-18T16:04:26Z</dcterms:created>
  <dcterms:modified xsi:type="dcterms:W3CDTF">2026-08-18T16:04:26Z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