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C1067" w14:textId="77777777" w:rsidR="00FB0AB8" w:rsidRPr="00F6489A" w:rsidRDefault="00FB0AB8" w:rsidP="00FB0AB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Supplemental </w:t>
      </w:r>
      <w:r w:rsidRPr="00F6489A">
        <w:rPr>
          <w:rFonts w:ascii="Arial" w:hAnsi="Arial" w:cs="Arial"/>
          <w:b/>
          <w:bCs/>
          <w:lang w:val="en-US"/>
        </w:rPr>
        <w:t xml:space="preserve">Figure 1. </w:t>
      </w:r>
      <w:r w:rsidRPr="00F6489A">
        <w:rPr>
          <w:rFonts w:ascii="Arial" w:hAnsi="Arial" w:cs="Arial"/>
          <w:lang w:val="en-US"/>
        </w:rPr>
        <w:t>Fast and generally applicable gene-set enrichment analyses following RNA-seq in Adgb wildtype and knockout kidneys</w:t>
      </w:r>
      <w:r>
        <w:rPr>
          <w:rFonts w:ascii="Arial" w:hAnsi="Arial" w:cs="Arial"/>
          <w:lang w:val="en-US"/>
        </w:rPr>
        <w:t xml:space="preserve"> </w:t>
      </w:r>
      <w:r w:rsidRPr="00F6489A">
        <w:rPr>
          <w:rFonts w:ascii="Arial" w:hAnsi="Arial" w:cs="Arial"/>
          <w:lang w:val="en-US"/>
        </w:rPr>
        <w:t>(</w:t>
      </w:r>
      <w:r w:rsidRPr="00F6489A">
        <w:rPr>
          <w:rFonts w:ascii="Arial" w:hAnsi="Arial" w:cs="Arial"/>
          <w:b/>
          <w:bCs/>
          <w:lang w:val="en-US"/>
        </w:rPr>
        <w:t>A</w:t>
      </w:r>
      <w:r w:rsidRPr="00F6489A">
        <w:rPr>
          <w:rFonts w:ascii="Arial" w:hAnsi="Arial" w:cs="Arial"/>
          <w:lang w:val="en-US"/>
        </w:rPr>
        <w:t>) Top 58 genes (1-29 left column, 30-58 right column) within the CuratedRGD database term “aldosterone signaling pathway” enriched in knockout (-/-) compared to wildtype (+/+). (</w:t>
      </w:r>
      <w:r w:rsidRPr="00F6489A">
        <w:rPr>
          <w:rFonts w:ascii="Arial" w:hAnsi="Arial" w:cs="Arial"/>
          <w:b/>
          <w:bCs/>
          <w:lang w:val="en-US"/>
        </w:rPr>
        <w:t>B</w:t>
      </w:r>
      <w:r w:rsidRPr="00F6489A">
        <w:rPr>
          <w:rFonts w:ascii="Arial" w:hAnsi="Arial" w:cs="Arial"/>
          <w:lang w:val="en-US"/>
        </w:rPr>
        <w:t>) Top 60 genes (1-30 left column, 31-60 right column) within the GO Molecular Function ontology term “sodium ion transmembrane transporter activity” enriched in knockout (-/-) compared to wildtype (+/+). (</w:t>
      </w:r>
      <w:r w:rsidRPr="00F6489A">
        <w:rPr>
          <w:rFonts w:ascii="Arial" w:hAnsi="Arial" w:cs="Arial"/>
          <w:b/>
          <w:bCs/>
          <w:lang w:val="en-US"/>
        </w:rPr>
        <w:t>C</w:t>
      </w:r>
      <w:r w:rsidRPr="00F6489A">
        <w:rPr>
          <w:rFonts w:ascii="Arial" w:hAnsi="Arial" w:cs="Arial"/>
          <w:lang w:val="en-US"/>
        </w:rPr>
        <w:t xml:space="preserve">) Top 60 genes (1-30 left column, 31-60 right column) within the GO Molecular Function ontology term “potassium ion transmembrane transporter activity” enriched in knockout (-/-) compared to wildtype (+/+). Green indicates down-regulated genes, and red up-regulated genes. The two replicates are indicated for each genotype. </w:t>
      </w:r>
    </w:p>
    <w:p w14:paraId="021E3642" w14:textId="77777777" w:rsidR="00FB0AB8" w:rsidRDefault="00FB0AB8" w:rsidP="00FB0AB8">
      <w:pPr>
        <w:jc w:val="both"/>
        <w:rPr>
          <w:rFonts w:ascii="Arial" w:hAnsi="Arial" w:cs="Arial"/>
          <w:lang w:val="en-US"/>
        </w:rPr>
      </w:pPr>
    </w:p>
    <w:p w14:paraId="5C1438BF" w14:textId="77777777" w:rsidR="00FB0AB8" w:rsidRDefault="00FB0AB8" w:rsidP="00FB0AB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Supplemental </w:t>
      </w:r>
      <w:r w:rsidRPr="00F6489A">
        <w:rPr>
          <w:rFonts w:ascii="Arial" w:hAnsi="Arial" w:cs="Arial"/>
          <w:b/>
          <w:bCs/>
          <w:lang w:val="en-US"/>
        </w:rPr>
        <w:t xml:space="preserve">Figure </w:t>
      </w:r>
      <w:r>
        <w:rPr>
          <w:rFonts w:ascii="Arial" w:hAnsi="Arial" w:cs="Arial"/>
          <w:b/>
          <w:bCs/>
          <w:lang w:val="en-US"/>
        </w:rPr>
        <w:t>2</w:t>
      </w:r>
      <w:r w:rsidRPr="00F6489A">
        <w:rPr>
          <w:rFonts w:ascii="Arial" w:hAnsi="Arial" w:cs="Arial"/>
          <w:b/>
          <w:bCs/>
          <w:lang w:val="en-US"/>
        </w:rPr>
        <w:t xml:space="preserve">. </w:t>
      </w:r>
      <w:r w:rsidRPr="00F6489A">
        <w:rPr>
          <w:rFonts w:ascii="Arial" w:hAnsi="Arial" w:cs="Arial"/>
          <w:lang w:val="en-US"/>
        </w:rPr>
        <w:t>Generally applicable gene set enrichment analyses of Adgb wildtype and knockout kidneys following high K</w:t>
      </w:r>
      <w:r w:rsidRPr="00F6489A">
        <w:rPr>
          <w:rFonts w:ascii="Arial" w:hAnsi="Arial" w:cs="Arial"/>
          <w:vertAlign w:val="superscript"/>
          <w:lang w:val="en-US"/>
        </w:rPr>
        <w:t>+</w:t>
      </w:r>
      <w:r w:rsidRPr="00F6489A">
        <w:rPr>
          <w:rFonts w:ascii="Arial" w:hAnsi="Arial" w:cs="Arial"/>
          <w:lang w:val="en-US"/>
        </w:rPr>
        <w:t xml:space="preserve"> diet. (</w:t>
      </w:r>
      <w:r w:rsidRPr="00F6489A">
        <w:rPr>
          <w:rFonts w:ascii="Arial" w:hAnsi="Arial" w:cs="Arial"/>
          <w:b/>
          <w:bCs/>
          <w:lang w:val="en-US"/>
        </w:rPr>
        <w:t>A</w:t>
      </w:r>
      <w:r w:rsidRPr="00F6489A">
        <w:rPr>
          <w:rFonts w:ascii="Arial" w:hAnsi="Arial" w:cs="Arial"/>
          <w:lang w:val="en-US"/>
        </w:rPr>
        <w:t>) Top 60 genes (1-30 left column, 31-60 right column) within the GO Biological Process ontology term “cellular response to steroid hormone stimulus” enriched in knockout (-/-) compared to wildtype (+/+). (</w:t>
      </w:r>
      <w:r w:rsidRPr="00F6489A">
        <w:rPr>
          <w:rFonts w:ascii="Arial" w:hAnsi="Arial" w:cs="Arial"/>
          <w:b/>
          <w:bCs/>
          <w:lang w:val="en-US"/>
        </w:rPr>
        <w:t>B</w:t>
      </w:r>
      <w:r w:rsidRPr="00F6489A">
        <w:rPr>
          <w:rFonts w:ascii="Arial" w:hAnsi="Arial" w:cs="Arial"/>
          <w:lang w:val="en-US"/>
        </w:rPr>
        <w:t>) Top 60 genes (1-30 left column, 31-60 right column) within the GO Biological Process ontology term “sodium ion transport” enriched in knockout (-/-) compared to wildtype (+/+). (</w:t>
      </w:r>
      <w:r w:rsidRPr="00F6489A">
        <w:rPr>
          <w:rFonts w:ascii="Arial" w:hAnsi="Arial" w:cs="Arial"/>
          <w:b/>
          <w:bCs/>
          <w:lang w:val="en-US"/>
        </w:rPr>
        <w:t>C</w:t>
      </w:r>
      <w:r w:rsidRPr="00F6489A">
        <w:rPr>
          <w:rFonts w:ascii="Arial" w:hAnsi="Arial" w:cs="Arial"/>
          <w:lang w:val="en-US"/>
        </w:rPr>
        <w:t>) Top 60 genes (1-30 left column, 31-60 right column) within the GO Biological Process ontology term “potassium ion transport” enriched in knockout (-/-) compared to wildtype (+/+). Green indicates down-regulated genes, and red up-regulated genes. The replicates are indicated for each genotype.</w:t>
      </w:r>
    </w:p>
    <w:p w14:paraId="0ED1EF21" w14:textId="77777777" w:rsidR="00FB0AB8" w:rsidRDefault="00FB0AB8" w:rsidP="00FB0AB8">
      <w:pPr>
        <w:jc w:val="both"/>
        <w:rPr>
          <w:rFonts w:ascii="Arial" w:hAnsi="Arial" w:cs="Arial"/>
          <w:lang w:val="en-US"/>
        </w:rPr>
      </w:pPr>
    </w:p>
    <w:p w14:paraId="26CF7325" w14:textId="77777777" w:rsidR="00FB0AB8" w:rsidRPr="00F6489A" w:rsidRDefault="00FB0AB8" w:rsidP="00FB0AB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Supplemental </w:t>
      </w:r>
      <w:r w:rsidRPr="00F6489A">
        <w:rPr>
          <w:rFonts w:ascii="Arial" w:hAnsi="Arial" w:cs="Arial"/>
          <w:b/>
          <w:bCs/>
          <w:lang w:val="en-US"/>
        </w:rPr>
        <w:t xml:space="preserve">Figure </w:t>
      </w:r>
      <w:r>
        <w:rPr>
          <w:rFonts w:ascii="Arial" w:hAnsi="Arial" w:cs="Arial"/>
          <w:b/>
          <w:bCs/>
          <w:lang w:val="en-US"/>
        </w:rPr>
        <w:t>3</w:t>
      </w:r>
      <w:r w:rsidRPr="00F6489A">
        <w:rPr>
          <w:rFonts w:ascii="Arial" w:hAnsi="Arial" w:cs="Arial"/>
          <w:b/>
          <w:bCs/>
          <w:lang w:val="en-US"/>
        </w:rPr>
        <w:t xml:space="preserve">. </w:t>
      </w:r>
      <w:r w:rsidRPr="00F6489A">
        <w:rPr>
          <w:rFonts w:ascii="Arial" w:hAnsi="Arial" w:cs="Arial"/>
          <w:lang w:val="en-US"/>
        </w:rPr>
        <w:t>Protein expression of ENaC subunits and steroid hormone receptors in Adgb wildtype and knockout kidneys following high K</w:t>
      </w:r>
      <w:r w:rsidRPr="00F6489A">
        <w:rPr>
          <w:rFonts w:ascii="Arial" w:hAnsi="Arial" w:cs="Arial"/>
          <w:vertAlign w:val="superscript"/>
          <w:lang w:val="en-US"/>
        </w:rPr>
        <w:t>+</w:t>
      </w:r>
      <w:r w:rsidRPr="00F6489A">
        <w:rPr>
          <w:rFonts w:ascii="Arial" w:hAnsi="Arial" w:cs="Arial"/>
          <w:lang w:val="en-US"/>
        </w:rPr>
        <w:t xml:space="preserve"> diet. (</w:t>
      </w:r>
      <w:r w:rsidRPr="00F6489A">
        <w:rPr>
          <w:rFonts w:ascii="Arial" w:hAnsi="Arial" w:cs="Arial"/>
          <w:b/>
          <w:bCs/>
          <w:lang w:val="en-US"/>
        </w:rPr>
        <w:t>A</w:t>
      </w:r>
      <w:r w:rsidRPr="00F6489A">
        <w:rPr>
          <w:rFonts w:ascii="Arial" w:hAnsi="Arial" w:cs="Arial"/>
          <w:lang w:val="en-US"/>
        </w:rPr>
        <w:t xml:space="preserve">) Representative immunoblot of full-length and cleaved </w:t>
      </w:r>
      <w:r w:rsidRPr="002B3A28">
        <w:rPr>
          <w:rFonts w:ascii="Symbol" w:hAnsi="Symbol" w:cs="Arial"/>
          <w:lang w:val="en-US"/>
        </w:rPr>
        <w:t>a</w:t>
      </w:r>
      <w:r w:rsidRPr="00F6489A">
        <w:rPr>
          <w:rFonts w:ascii="Arial" w:hAnsi="Arial" w:cs="Arial"/>
          <w:lang w:val="en-US"/>
        </w:rPr>
        <w:t>-ENaC in Adgb wildtype (+/+, n=13) and knockout (-/-, n=13) kidneys, and (</w:t>
      </w:r>
      <w:r w:rsidRPr="00F6489A">
        <w:rPr>
          <w:rFonts w:ascii="Arial" w:hAnsi="Arial" w:cs="Arial"/>
          <w:b/>
          <w:bCs/>
          <w:lang w:val="en-US"/>
        </w:rPr>
        <w:t>B</w:t>
      </w:r>
      <w:r w:rsidRPr="00F6489A">
        <w:rPr>
          <w:rFonts w:ascii="Arial" w:hAnsi="Arial" w:cs="Arial"/>
          <w:lang w:val="en-US"/>
        </w:rPr>
        <w:t>) corresponding protein quantification. Actin was used as loading control. (</w:t>
      </w:r>
      <w:r w:rsidRPr="00F6489A">
        <w:rPr>
          <w:rFonts w:ascii="Arial" w:hAnsi="Arial" w:cs="Arial"/>
          <w:b/>
          <w:bCs/>
          <w:lang w:val="en-US"/>
        </w:rPr>
        <w:t>C</w:t>
      </w:r>
      <w:r w:rsidRPr="00F6489A">
        <w:rPr>
          <w:rFonts w:ascii="Arial" w:hAnsi="Arial" w:cs="Arial"/>
          <w:lang w:val="en-US"/>
        </w:rPr>
        <w:t xml:space="preserve">) Representative immunoblot of </w:t>
      </w:r>
      <w:r w:rsidRPr="002B3A28">
        <w:rPr>
          <w:rFonts w:ascii="Symbol" w:hAnsi="Symbol" w:cs="Arial"/>
          <w:lang w:val="en-US"/>
        </w:rPr>
        <w:t>b</w:t>
      </w:r>
      <w:r w:rsidRPr="00F6489A">
        <w:rPr>
          <w:rFonts w:ascii="Arial" w:hAnsi="Arial" w:cs="Arial"/>
          <w:lang w:val="en-US"/>
        </w:rPr>
        <w:t>-ENaC in Adgb wildtype (+/+, n=16) and knockout (-/-, n=15) kidneys, and (</w:t>
      </w:r>
      <w:r w:rsidRPr="00F6489A">
        <w:rPr>
          <w:rFonts w:ascii="Arial" w:hAnsi="Arial" w:cs="Arial"/>
          <w:b/>
          <w:bCs/>
          <w:lang w:val="en-US"/>
        </w:rPr>
        <w:t>D</w:t>
      </w:r>
      <w:r w:rsidRPr="00F6489A">
        <w:rPr>
          <w:rFonts w:ascii="Arial" w:hAnsi="Arial" w:cs="Arial"/>
          <w:lang w:val="en-US"/>
        </w:rPr>
        <w:t>) corresponding protein quantification. Ponceau staining was used as loading control. (</w:t>
      </w:r>
      <w:r w:rsidRPr="00F6489A">
        <w:rPr>
          <w:rFonts w:ascii="Arial" w:hAnsi="Arial" w:cs="Arial"/>
          <w:b/>
          <w:bCs/>
          <w:lang w:val="en-US"/>
        </w:rPr>
        <w:t>E</w:t>
      </w:r>
      <w:r w:rsidRPr="00F6489A">
        <w:rPr>
          <w:rFonts w:ascii="Arial" w:hAnsi="Arial" w:cs="Arial"/>
          <w:lang w:val="en-US"/>
        </w:rPr>
        <w:t xml:space="preserve">) Representative immunoblot of full-length and cleaved </w:t>
      </w:r>
      <w:r w:rsidRPr="002B3A28">
        <w:rPr>
          <w:rFonts w:ascii="Symbol" w:hAnsi="Symbol" w:cs="Arial"/>
          <w:lang w:val="en-US"/>
        </w:rPr>
        <w:t>g</w:t>
      </w:r>
      <w:r w:rsidRPr="00F6489A">
        <w:rPr>
          <w:rFonts w:ascii="Arial" w:hAnsi="Arial" w:cs="Arial"/>
          <w:lang w:val="en-US"/>
        </w:rPr>
        <w:t>-ENaC in Adgb wildtype (+/+, n=12) and knockout (-/-, n=11) kidneys, and (</w:t>
      </w:r>
      <w:r w:rsidRPr="00F6489A">
        <w:rPr>
          <w:rFonts w:ascii="Arial" w:hAnsi="Arial" w:cs="Arial"/>
          <w:b/>
          <w:bCs/>
          <w:lang w:val="en-US"/>
        </w:rPr>
        <w:t>F</w:t>
      </w:r>
      <w:r w:rsidRPr="00F6489A">
        <w:rPr>
          <w:rFonts w:ascii="Arial" w:hAnsi="Arial" w:cs="Arial"/>
          <w:lang w:val="en-US"/>
        </w:rPr>
        <w:t>) corresponding protein quantification. Ponceau staining was used as loading control. (</w:t>
      </w:r>
      <w:r w:rsidRPr="00F6489A">
        <w:rPr>
          <w:rFonts w:ascii="Arial" w:hAnsi="Arial" w:cs="Arial"/>
          <w:b/>
          <w:bCs/>
          <w:lang w:val="en-US"/>
        </w:rPr>
        <w:t>G</w:t>
      </w:r>
      <w:r w:rsidRPr="00F6489A">
        <w:rPr>
          <w:rFonts w:ascii="Arial" w:hAnsi="Arial" w:cs="Arial"/>
          <w:lang w:val="en-US"/>
        </w:rPr>
        <w:t>) Representative immunoblot of total and phosphorylated (pSGK1 Thr256) SGK1 in Adgb wildtype (+/+, n=4) and knockout (-/-, n=4) kidneys, and (</w:t>
      </w:r>
      <w:r w:rsidRPr="00F6489A">
        <w:rPr>
          <w:rFonts w:ascii="Arial" w:hAnsi="Arial" w:cs="Arial"/>
          <w:b/>
          <w:bCs/>
          <w:lang w:val="en-US"/>
        </w:rPr>
        <w:t>H</w:t>
      </w:r>
      <w:r w:rsidRPr="00F6489A">
        <w:rPr>
          <w:rFonts w:ascii="Arial" w:hAnsi="Arial" w:cs="Arial"/>
          <w:lang w:val="en-US"/>
        </w:rPr>
        <w:t>) protein quantification ratio of pSGK1 to total SGK1. Tubulin was used as loading control. (</w:t>
      </w:r>
      <w:r w:rsidRPr="00F6489A">
        <w:rPr>
          <w:rFonts w:ascii="Arial" w:hAnsi="Arial" w:cs="Arial"/>
          <w:b/>
          <w:bCs/>
          <w:lang w:val="en-US"/>
        </w:rPr>
        <w:t>I</w:t>
      </w:r>
      <w:r w:rsidRPr="00F6489A">
        <w:rPr>
          <w:rFonts w:ascii="Arial" w:hAnsi="Arial" w:cs="Arial"/>
          <w:lang w:val="en-US"/>
        </w:rPr>
        <w:t>) Representative immunoblot of Nedd4-2 in Adgb wildtype (+/+, n=6) and knockout (-/-, n=6) kidneys, and (</w:t>
      </w:r>
      <w:r w:rsidRPr="00F6489A">
        <w:rPr>
          <w:rFonts w:ascii="Arial" w:hAnsi="Arial" w:cs="Arial"/>
          <w:b/>
          <w:bCs/>
          <w:lang w:val="en-US"/>
        </w:rPr>
        <w:t>J</w:t>
      </w:r>
      <w:r w:rsidRPr="00F6489A">
        <w:rPr>
          <w:rFonts w:ascii="Arial" w:hAnsi="Arial" w:cs="Arial"/>
          <w:lang w:val="en-US"/>
        </w:rPr>
        <w:t xml:space="preserve">) corresponding protein quantification. Actin was used as loading control. Ponceau staining was used as loading control. * </w:t>
      </w:r>
      <w:r w:rsidRPr="00F6489A">
        <w:rPr>
          <w:rFonts w:ascii="Arial" w:hAnsi="Arial" w:cs="Arial"/>
          <w:i/>
          <w:iCs/>
          <w:lang w:val="en-US"/>
        </w:rPr>
        <w:t>p</w:t>
      </w:r>
      <w:r w:rsidRPr="00F6489A">
        <w:rPr>
          <w:rFonts w:ascii="Arial" w:hAnsi="Arial" w:cs="Arial"/>
          <w:lang w:val="en-US"/>
        </w:rPr>
        <w:t xml:space="preserve"> ≤ 0.05, ** </w:t>
      </w:r>
      <w:r w:rsidRPr="00F6489A">
        <w:rPr>
          <w:rFonts w:ascii="Arial" w:hAnsi="Arial" w:cs="Arial"/>
          <w:i/>
          <w:iCs/>
          <w:lang w:val="en-US"/>
        </w:rPr>
        <w:t>p</w:t>
      </w:r>
      <w:r w:rsidRPr="00F6489A">
        <w:rPr>
          <w:rFonts w:ascii="Arial" w:hAnsi="Arial" w:cs="Arial"/>
          <w:lang w:val="en-US"/>
        </w:rPr>
        <w:t xml:space="preserve"> ≤ 0.01.</w:t>
      </w:r>
    </w:p>
    <w:p w14:paraId="7F812815" w14:textId="77777777" w:rsidR="00FB0AB8" w:rsidRDefault="00FB0AB8" w:rsidP="00FB0AB8">
      <w:pPr>
        <w:jc w:val="both"/>
        <w:rPr>
          <w:rFonts w:ascii="Arial" w:hAnsi="Arial" w:cs="Arial"/>
          <w:lang w:val="en-US"/>
        </w:rPr>
      </w:pPr>
    </w:p>
    <w:p w14:paraId="18EB9F13" w14:textId="77777777" w:rsidR="00FB0AB8" w:rsidRPr="00F6489A" w:rsidRDefault="00FB0AB8" w:rsidP="00FB0AB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Supplemental </w:t>
      </w:r>
      <w:r w:rsidRPr="00F6489A">
        <w:rPr>
          <w:rFonts w:ascii="Arial" w:hAnsi="Arial" w:cs="Arial"/>
          <w:b/>
          <w:bCs/>
          <w:lang w:val="en-US"/>
        </w:rPr>
        <w:t xml:space="preserve">Figure </w:t>
      </w:r>
      <w:r>
        <w:rPr>
          <w:rFonts w:ascii="Arial" w:hAnsi="Arial" w:cs="Arial"/>
          <w:b/>
          <w:bCs/>
          <w:lang w:val="en-US"/>
        </w:rPr>
        <w:t>4</w:t>
      </w:r>
      <w:r w:rsidRPr="00F6489A">
        <w:rPr>
          <w:rFonts w:ascii="Arial" w:hAnsi="Arial" w:cs="Arial"/>
          <w:b/>
          <w:lang w:val="en-US"/>
        </w:rPr>
        <w:t xml:space="preserve">. </w:t>
      </w:r>
      <w:r w:rsidRPr="00F6489A">
        <w:rPr>
          <w:rFonts w:ascii="Arial" w:hAnsi="Arial" w:cs="Arial"/>
          <w:bCs/>
          <w:lang w:val="en-US"/>
        </w:rPr>
        <w:t>Gene-set enrichment analysis and enrichment plots following high K</w:t>
      </w:r>
      <w:r w:rsidRPr="00F6489A">
        <w:rPr>
          <w:rFonts w:ascii="Arial" w:hAnsi="Arial" w:cs="Arial"/>
          <w:bCs/>
          <w:vertAlign w:val="superscript"/>
          <w:lang w:val="en-US"/>
        </w:rPr>
        <w:t>+</w:t>
      </w:r>
      <w:r w:rsidRPr="00F6489A">
        <w:rPr>
          <w:rFonts w:ascii="Arial" w:hAnsi="Arial" w:cs="Arial"/>
          <w:bCs/>
          <w:lang w:val="en-US"/>
        </w:rPr>
        <w:t xml:space="preserve"> diet</w:t>
      </w:r>
      <w:r>
        <w:rPr>
          <w:rFonts w:ascii="Arial" w:hAnsi="Arial" w:cs="Arial"/>
          <w:bCs/>
          <w:lang w:val="en-US"/>
        </w:rPr>
        <w:t xml:space="preserve"> </w:t>
      </w:r>
      <w:r w:rsidRPr="00F6489A">
        <w:rPr>
          <w:rFonts w:ascii="Arial" w:hAnsi="Arial" w:cs="Arial"/>
          <w:bCs/>
          <w:lang w:val="en-US"/>
        </w:rPr>
        <w:t xml:space="preserve">in Adgb wildtype and knockout mice. </w:t>
      </w:r>
      <w:r w:rsidRPr="00F6489A">
        <w:rPr>
          <w:rFonts w:ascii="Arial" w:hAnsi="Arial" w:cs="Arial"/>
          <w:lang w:val="en-US"/>
        </w:rPr>
        <w:t>Top 60 genes (1-30 left column, 31-60 right column) within the HPO database term “abnormality of acid base homeostasis” enriched in knockout (-/-) compared to wildtype (+/+) following high K</w:t>
      </w:r>
      <w:r w:rsidRPr="00F6489A">
        <w:rPr>
          <w:rFonts w:ascii="Arial" w:hAnsi="Arial" w:cs="Arial"/>
          <w:vertAlign w:val="superscript"/>
          <w:lang w:val="en-US"/>
        </w:rPr>
        <w:t>+</w:t>
      </w:r>
      <w:r w:rsidRPr="00F6489A">
        <w:rPr>
          <w:rFonts w:ascii="Arial" w:hAnsi="Arial" w:cs="Arial"/>
          <w:lang w:val="en-US"/>
        </w:rPr>
        <w:t xml:space="preserve"> diet. Red indicates up-regulated genes, and blue down-regulated genes. The replicates are indicated for each genotype. (</w:t>
      </w:r>
      <w:r>
        <w:rPr>
          <w:rFonts w:ascii="Arial" w:hAnsi="Arial" w:cs="Arial"/>
          <w:b/>
          <w:bCs/>
          <w:lang w:val="en-US"/>
        </w:rPr>
        <w:t>B</w:t>
      </w:r>
      <w:r w:rsidRPr="00F6489A">
        <w:rPr>
          <w:rFonts w:ascii="Arial" w:hAnsi="Arial" w:cs="Arial"/>
          <w:lang w:val="en-US"/>
        </w:rPr>
        <w:t>) Corresponding enrichment plot for genes associated with “abnormality of acid base homeostasis”</w:t>
      </w:r>
      <w:r>
        <w:rPr>
          <w:rFonts w:ascii="Arial" w:hAnsi="Arial" w:cs="Arial"/>
          <w:lang w:val="en-US"/>
        </w:rPr>
        <w:t>.</w:t>
      </w:r>
      <w:r w:rsidRPr="00F6489A">
        <w:rPr>
          <w:rFonts w:ascii="Arial" w:hAnsi="Arial" w:cs="Arial"/>
          <w:lang w:val="en-US"/>
        </w:rPr>
        <w:t xml:space="preserve"> </w:t>
      </w:r>
    </w:p>
    <w:p w14:paraId="22424FAE" w14:textId="77777777" w:rsidR="00FB0AB8" w:rsidRPr="00F6489A" w:rsidRDefault="00FB0AB8" w:rsidP="00FB0AB8">
      <w:pPr>
        <w:jc w:val="both"/>
        <w:rPr>
          <w:rFonts w:ascii="Arial" w:hAnsi="Arial" w:cs="Arial"/>
          <w:lang w:val="en-US"/>
        </w:rPr>
      </w:pPr>
    </w:p>
    <w:p w14:paraId="64F78D64" w14:textId="77777777" w:rsidR="00FB0AB8" w:rsidRPr="00F6489A" w:rsidRDefault="00FB0AB8" w:rsidP="00FB0AB8">
      <w:pPr>
        <w:jc w:val="both"/>
        <w:rPr>
          <w:rFonts w:ascii="Arial" w:hAnsi="Arial" w:cs="Arial"/>
          <w:lang w:val="en-US"/>
        </w:rPr>
      </w:pPr>
    </w:p>
    <w:p w14:paraId="07F8249A" w14:textId="77777777" w:rsidR="00FB0AB8" w:rsidRPr="00F6489A" w:rsidRDefault="00FB0AB8" w:rsidP="00FB0AB8">
      <w:pPr>
        <w:jc w:val="both"/>
        <w:rPr>
          <w:rFonts w:ascii="Arial" w:hAnsi="Arial" w:cs="Arial"/>
          <w:lang w:val="en-US"/>
        </w:rPr>
      </w:pPr>
    </w:p>
    <w:p w14:paraId="55A0D14E" w14:textId="77777777" w:rsidR="00FB0AB8" w:rsidRPr="00DF166A" w:rsidRDefault="00FB0AB8" w:rsidP="00FB0AB8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DF166A">
        <w:rPr>
          <w:rFonts w:ascii="Arial" w:hAnsi="Arial" w:cs="Arial"/>
          <w:b/>
          <w:lang w:val="en-US"/>
        </w:rPr>
        <w:lastRenderedPageBreak/>
        <w:t>Supplemental files</w:t>
      </w:r>
    </w:p>
    <w:p w14:paraId="158A815E" w14:textId="77777777" w:rsidR="00FB0AB8" w:rsidRDefault="00FB0AB8" w:rsidP="00FB0AB8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Supplemental file 1 – Uncropped blots Fig. 2</w:t>
      </w:r>
    </w:p>
    <w:p w14:paraId="7D91B96E" w14:textId="77777777" w:rsidR="00FB0AB8" w:rsidRDefault="00FB0AB8" w:rsidP="00FB0AB8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Supplemental file 2 – Uncropped blots Fig. 3</w:t>
      </w:r>
    </w:p>
    <w:p w14:paraId="5A839956" w14:textId="77777777" w:rsidR="00FB0AB8" w:rsidRDefault="00FB0AB8" w:rsidP="00FB0AB8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Supplemental file 3 – Uncropped blots Suppl. Fig.3</w:t>
      </w:r>
    </w:p>
    <w:p w14:paraId="059E5322" w14:textId="77777777" w:rsidR="00FB0AB8" w:rsidRDefault="00FB0AB8" w:rsidP="00FB0AB8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Supplemental file 4 – Uncropped blots Fig. 7</w:t>
      </w:r>
    </w:p>
    <w:p w14:paraId="25E7FF7E" w14:textId="77777777" w:rsidR="00FB0AB8" w:rsidRPr="00253E11" w:rsidRDefault="00FB0AB8" w:rsidP="00FB0AB8">
      <w:pPr>
        <w:spacing w:line="480" w:lineRule="auto"/>
        <w:jc w:val="both"/>
        <w:rPr>
          <w:rFonts w:ascii="Arial" w:hAnsi="Arial" w:cs="Arial"/>
          <w:highlight w:val="yellow"/>
          <w:lang w:val="en-US"/>
        </w:rPr>
      </w:pPr>
      <w:r>
        <w:rPr>
          <w:rFonts w:ascii="Arial" w:hAnsi="Arial" w:cs="Arial"/>
          <w:lang w:val="en-US"/>
        </w:rPr>
        <w:t xml:space="preserve">Supplemental file 5 – Uncropped </w:t>
      </w:r>
      <w:r w:rsidRPr="003446C7">
        <w:rPr>
          <w:rFonts w:ascii="Arial" w:hAnsi="Arial" w:cs="Arial"/>
          <w:lang w:val="en-US"/>
        </w:rPr>
        <w:t xml:space="preserve">blots Fig. </w:t>
      </w:r>
      <w:r>
        <w:rPr>
          <w:rFonts w:ascii="Arial" w:hAnsi="Arial" w:cs="Arial"/>
          <w:lang w:val="en-US"/>
        </w:rPr>
        <w:t>8</w:t>
      </w:r>
    </w:p>
    <w:p w14:paraId="50414AD5" w14:textId="77777777" w:rsidR="00FB0AB8" w:rsidRPr="005F67E7" w:rsidRDefault="00FB0AB8" w:rsidP="00FB0AB8">
      <w:pPr>
        <w:spacing w:line="480" w:lineRule="auto"/>
        <w:jc w:val="both"/>
        <w:rPr>
          <w:rFonts w:ascii="Arial" w:hAnsi="Arial" w:cs="Arial"/>
          <w:lang w:val="en-US"/>
        </w:rPr>
      </w:pPr>
      <w:r w:rsidRPr="003446C7">
        <w:rPr>
          <w:rFonts w:ascii="Arial" w:hAnsi="Arial" w:cs="Arial"/>
          <w:lang w:val="en-US"/>
        </w:rPr>
        <w:t>Supplemental file 6 – Uncropped blots Fig. 9</w:t>
      </w:r>
    </w:p>
    <w:p w14:paraId="73E0A0D9" w14:textId="77777777" w:rsidR="00FB0AB8" w:rsidRDefault="00FB0AB8" w:rsidP="00FB0AB8">
      <w:pPr>
        <w:spacing w:line="480" w:lineRule="auto"/>
        <w:jc w:val="both"/>
        <w:rPr>
          <w:rFonts w:ascii="Arial" w:hAnsi="Arial" w:cs="Arial"/>
          <w:lang w:val="en-US"/>
        </w:rPr>
      </w:pPr>
    </w:p>
    <w:p w14:paraId="0B878C03" w14:textId="77777777" w:rsidR="00E023F9" w:rsidRDefault="00E023F9"/>
    <w:sectPr w:rsidR="00E023F9" w:rsidSect="00FB0AB8">
      <w:footerReference w:type="even" r:id="rId4"/>
      <w:footerReference w:type="default" r:id="rId5"/>
      <w:pgSz w:w="11906" w:h="16838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74369472"/>
      <w:docPartObj>
        <w:docPartGallery w:val="Page Numbers (Bottom of Page)"/>
        <w:docPartUnique/>
      </w:docPartObj>
    </w:sdtPr>
    <w:sdtContent>
      <w:p w14:paraId="6794C0F4" w14:textId="77777777" w:rsidR="00FB0AB8" w:rsidRDefault="00FB0AB8" w:rsidP="00EC07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20</w:t>
        </w:r>
        <w:r>
          <w:rPr>
            <w:rStyle w:val="PageNumber"/>
          </w:rPr>
          <w:fldChar w:fldCharType="end"/>
        </w:r>
      </w:p>
    </w:sdtContent>
  </w:sdt>
  <w:p w14:paraId="50BB2D2E" w14:textId="77777777" w:rsidR="00FB0AB8" w:rsidRDefault="00FB0AB8" w:rsidP="0078387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97411582"/>
      <w:docPartObj>
        <w:docPartGallery w:val="Page Numbers (Bottom of Page)"/>
        <w:docPartUnique/>
      </w:docPartObj>
    </w:sdtPr>
    <w:sdtContent>
      <w:p w14:paraId="054412D0" w14:textId="77777777" w:rsidR="00FB0AB8" w:rsidRDefault="00FB0AB8" w:rsidP="00EC07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926BBD" w14:textId="77777777" w:rsidR="00FB0AB8" w:rsidRDefault="00FB0AB8" w:rsidP="0078387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B8"/>
    <w:rsid w:val="000C4033"/>
    <w:rsid w:val="00173ED8"/>
    <w:rsid w:val="002F50B1"/>
    <w:rsid w:val="004B42CB"/>
    <w:rsid w:val="005F2B46"/>
    <w:rsid w:val="006E1731"/>
    <w:rsid w:val="0074154A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46FC9"/>
  <w15:chartTrackingRefBased/>
  <w15:docId w15:val="{76A57317-4047-4BC7-9422-D8A0FC5F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AB8"/>
    <w:pPr>
      <w:spacing w:after="0" w:line="240" w:lineRule="auto"/>
    </w:pPr>
    <w:rPr>
      <w:rFonts w:ascii="Times New Roman" w:eastAsia="Times New Roman" w:hAnsi="Times New Roman" w:cs="Times New Roman"/>
      <w:kern w:val="0"/>
      <w:lang w:val="fr-CH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A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A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A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A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A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AB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AB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AB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AB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A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A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A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0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AB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0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AB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0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AB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0A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A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AB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B0A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AB8"/>
    <w:rPr>
      <w:rFonts w:ascii="Times New Roman" w:eastAsia="Times New Roman" w:hAnsi="Times New Roman" w:cs="Times New Roman"/>
      <w:kern w:val="0"/>
      <w:lang w:val="fr-CH" w:eastAsia="fr-FR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B0AB8"/>
  </w:style>
  <w:style w:type="character" w:styleId="LineNumber">
    <w:name w:val="line number"/>
    <w:basedOn w:val="DefaultParagraphFont"/>
    <w:uiPriority w:val="99"/>
    <w:semiHidden/>
    <w:unhideWhenUsed/>
    <w:rsid w:val="00FB0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2026-08-20T06:26:00Z</dcterms:created>
  <dcterms:modified xsi:type="dcterms:W3CDTF">2026-08-20T06:26:00Z</dcterms:modified>
</cp:coreProperties>
</file>