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5F9A31" w14:textId="31F6AC5D" w:rsidR="00F7300A" w:rsidRPr="000A66B7" w:rsidRDefault="00DA22F9" w:rsidP="000A66B7">
      <w:pPr>
        <w:rPr>
          <w:rStyle w:val="Strong"/>
        </w:rPr>
      </w:pPr>
      <w:r w:rsidRPr="000A66B7">
        <w:rPr>
          <w:rStyle w:val="Strong"/>
        </w:rPr>
        <w:t>Additional File 5</w:t>
      </w:r>
      <w:r w:rsidR="00F7300A" w:rsidRPr="000A66B7">
        <w:rPr>
          <w:rStyle w:val="Strong"/>
        </w:rPr>
        <w:t>:</w:t>
      </w:r>
      <w:bookmarkStart w:id="0" w:name="_GoBack"/>
      <w:bookmarkEnd w:id="0"/>
    </w:p>
    <w:p w14:paraId="1804BA8F" w14:textId="5F3F4A0B" w:rsidR="00570BCA" w:rsidRPr="000A66B7" w:rsidRDefault="00DD5218" w:rsidP="00570BCA">
      <w:pPr>
        <w:keepNext/>
        <w:keepLines/>
        <w:spacing w:before="40" w:after="0"/>
        <w:outlineLvl w:val="1"/>
        <w:rPr>
          <w:rStyle w:val="Strong"/>
        </w:rPr>
      </w:pPr>
      <w:r w:rsidRPr="000A66B7">
        <w:rPr>
          <w:rStyle w:val="Strong"/>
        </w:rPr>
        <w:t>Terminology and measures identified to infer ‘experience’ outcomes</w:t>
      </w:r>
    </w:p>
    <w:p w14:paraId="20C39304" w14:textId="77777777" w:rsidR="00F65EB1" w:rsidRDefault="00F65EB1"/>
    <w:p w14:paraId="3B0F5EDA" w14:textId="77777777" w:rsidR="00F65EB1" w:rsidRPr="0016283D" w:rsidRDefault="00F65EB1" w:rsidP="0016283D">
      <w:pPr>
        <w:pStyle w:val="ListParagraph"/>
        <w:numPr>
          <w:ilvl w:val="0"/>
          <w:numId w:val="26"/>
        </w:numPr>
        <w:spacing w:after="0" w:line="240" w:lineRule="auto"/>
        <w:rPr>
          <w:sz w:val="24"/>
          <w:szCs w:val="24"/>
        </w:rPr>
      </w:pPr>
      <w:r w:rsidRPr="0016283D">
        <w:rPr>
          <w:sz w:val="24"/>
          <w:szCs w:val="24"/>
        </w:rPr>
        <w:t>Satisfaction’ within a ‘quality of life measure’, for example, the Pediatric Refractive Error Profile (PREP)</w:t>
      </w:r>
      <w:r w:rsidRPr="0016283D">
        <w:rPr>
          <w:sz w:val="24"/>
          <w:szCs w:val="24"/>
        </w:rPr>
        <w:fldChar w:fldCharType="begin"/>
      </w:r>
      <w:r w:rsidRPr="0016283D">
        <w:rPr>
          <w:sz w:val="24"/>
          <w:szCs w:val="24"/>
        </w:rPr>
        <w:instrText xml:space="preserve"> ADDIN EN.CITE &lt;EndNote&gt;&lt;Cite&gt;&lt;Author&gt;Walline&lt;/Author&gt;&lt;Year&gt;2007&lt;/Year&gt;&lt;RecNum&gt;441&lt;/RecNum&gt;&lt;DisplayText&gt;(Walline et al., 2007)&lt;/DisplayText&gt;&lt;record&gt;&lt;rec-number&gt;441&lt;/rec-number&gt;&lt;foreign-keys&gt;&lt;key app="EN" db-id="rxfz0a25xv0psrevwe7x9r03sx2z9x2dp2wf" timestamp="1615818802"&gt;441&lt;/key&gt;&lt;/foreign-keys&gt;&lt;ref-type name="Journal Article"&gt;17&lt;/ref-type&gt;&lt;contributors&gt;&lt;authors&gt;&lt;author&gt;Walline, Jeffrey J&lt;/author&gt;&lt;author&gt;Gaume, Amber&lt;/author&gt;&lt;author&gt;Jones, Lisa A&lt;/author&gt;&lt;author&gt;Rah, Marjorie J&lt;/author&gt;&lt;author&gt;Manny, Ruth E&lt;/author&gt;&lt;author&gt;Berntsen, David A&lt;/author&gt;&lt;author&gt;Chitkara, Monica&lt;/author&gt;&lt;author&gt;Kim, Ailene&lt;/author&gt;&lt;author&gt;Quinn, Nicole&lt;/author&gt;&lt;/authors&gt;&lt;/contributors&gt;&lt;titles&gt;&lt;title&gt;Benefits of contact lens wear for children and teens&lt;/title&gt;&lt;secondary-title&gt;Eye &amp;amp; contact lens&lt;/secondary-title&gt;&lt;/titles&gt;&lt;periodical&gt;&lt;full-title&gt;Eye &amp;amp; contact lens&lt;/full-title&gt;&lt;/periodical&gt;&lt;pages&gt;317-321&lt;/pages&gt;&lt;volume&gt;33&lt;/volume&gt;&lt;number&gt;6&lt;/number&gt;&lt;dates&gt;&lt;year&gt;2007&lt;/year&gt;&lt;/dates&gt;&lt;isbn&gt;1542-2321&lt;/isbn&gt;&lt;urls&gt;&lt;/urls&gt;&lt;/record&gt;&lt;/Cite&gt;&lt;/EndNote&gt;</w:instrText>
      </w:r>
      <w:r w:rsidRPr="0016283D">
        <w:rPr>
          <w:sz w:val="24"/>
          <w:szCs w:val="24"/>
        </w:rPr>
        <w:fldChar w:fldCharType="separate"/>
      </w:r>
      <w:r w:rsidRPr="0016283D">
        <w:rPr>
          <w:noProof/>
          <w:sz w:val="24"/>
          <w:szCs w:val="24"/>
        </w:rPr>
        <w:t>(Walline et al., 2007)</w:t>
      </w:r>
      <w:r w:rsidRPr="0016283D">
        <w:rPr>
          <w:sz w:val="24"/>
          <w:szCs w:val="24"/>
        </w:rPr>
        <w:fldChar w:fldCharType="end"/>
      </w:r>
      <w:r w:rsidRPr="0016283D">
        <w:rPr>
          <w:sz w:val="24"/>
          <w:szCs w:val="24"/>
        </w:rPr>
        <w:t>.</w:t>
      </w:r>
    </w:p>
    <w:p w14:paraId="57B6A7BD" w14:textId="77777777" w:rsidR="00F65EB1" w:rsidRPr="0016283D" w:rsidRDefault="00F65EB1" w:rsidP="0016283D">
      <w:pPr>
        <w:numPr>
          <w:ilvl w:val="0"/>
          <w:numId w:val="26"/>
        </w:numPr>
        <w:spacing w:line="240" w:lineRule="auto"/>
        <w:contextualSpacing/>
        <w:rPr>
          <w:sz w:val="24"/>
          <w:szCs w:val="24"/>
        </w:rPr>
      </w:pPr>
      <w:r w:rsidRPr="0016283D">
        <w:rPr>
          <w:sz w:val="24"/>
          <w:szCs w:val="24"/>
        </w:rPr>
        <w:t xml:space="preserve">‘Impact of treatment’, measuring the impact or burden of the intervention for the child.  For example, the Amblyopia Treatment Index (ATI) </w:t>
      </w:r>
      <w:r w:rsidRPr="0016283D">
        <w:rPr>
          <w:sz w:val="24"/>
          <w:szCs w:val="24"/>
        </w:rPr>
        <w:fldChar w:fldCharType="begin"/>
      </w:r>
      <w:r w:rsidRPr="0016283D">
        <w:rPr>
          <w:sz w:val="24"/>
          <w:szCs w:val="24"/>
        </w:rPr>
        <w:instrText xml:space="preserve"> ADDIN EN.CITE &lt;EndNote&gt;&lt;Cite&gt;&lt;Author&gt;Pediatric Eye Disease Investigator Group Writing Committee&lt;/Author&gt;&lt;Year&gt;2010&lt;/Year&gt;&lt;RecNum&gt;172&lt;/RecNum&gt;&lt;DisplayText&gt;(Pediatric Eye Disease Investigator Group Writing Committee, 2010)&lt;/DisplayText&gt;&lt;record&gt;&lt;rec-number&gt;172&lt;/rec-number&gt;&lt;foreign-keys&gt;&lt;key app="EN" db-id="rxfz0a25xv0psrevwe7x9r03sx2z9x2dp2wf" timestamp="1564405034"&gt;172&lt;/key&gt;&lt;/foreign-keys&gt;&lt;ref-type name="Journal Article"&gt;17&lt;/ref-type&gt;&lt;contributors&gt;&lt;authors&gt;&lt;author&gt;Pediatric Eye Disease Investigator Group Writing Committee,&lt;/author&gt;&lt;/authors&gt;&lt;/contributors&gt;&lt;titles&gt;&lt;title&gt;A randomized trial comparing Bangerter filters and patching for the treatment of moderate amblyopia in children&lt;/title&gt;&lt;secondary-title&gt;Ophthalmology&lt;/secondary-title&gt;&lt;/titles&gt;&lt;periodical&gt;&lt;full-title&gt;Ophthalmology&lt;/full-title&gt;&lt;/periodical&gt;&lt;pages&gt;998-1004. e6&lt;/pages&gt;&lt;volume&gt;117&lt;/volume&gt;&lt;number&gt;5&lt;/number&gt;&lt;dates&gt;&lt;year&gt;2010&lt;/year&gt;&lt;/dates&gt;&lt;isbn&gt;0161-6420&lt;/isbn&gt;&lt;urls&gt;&lt;/urls&gt;&lt;/record&gt;&lt;/Cite&gt;&lt;/EndNote&gt;</w:instrText>
      </w:r>
      <w:r w:rsidRPr="0016283D">
        <w:rPr>
          <w:sz w:val="24"/>
          <w:szCs w:val="24"/>
        </w:rPr>
        <w:fldChar w:fldCharType="separate"/>
      </w:r>
      <w:r w:rsidRPr="0016283D">
        <w:rPr>
          <w:noProof/>
          <w:sz w:val="24"/>
          <w:szCs w:val="24"/>
        </w:rPr>
        <w:t>(Pediatric Eye Disease Investigator Group Writing Committee, 2010)</w:t>
      </w:r>
      <w:r w:rsidRPr="0016283D">
        <w:rPr>
          <w:sz w:val="24"/>
          <w:szCs w:val="24"/>
        </w:rPr>
        <w:fldChar w:fldCharType="end"/>
      </w:r>
      <w:r w:rsidRPr="0016283D">
        <w:rPr>
          <w:sz w:val="24"/>
          <w:szCs w:val="24"/>
        </w:rPr>
        <w:t>.</w:t>
      </w:r>
    </w:p>
    <w:p w14:paraId="154DCFA2" w14:textId="2D3931D1" w:rsidR="00F65EB1" w:rsidRPr="0016283D" w:rsidRDefault="00F65EB1" w:rsidP="0016283D">
      <w:pPr>
        <w:numPr>
          <w:ilvl w:val="0"/>
          <w:numId w:val="26"/>
        </w:numPr>
        <w:spacing w:line="240" w:lineRule="auto"/>
        <w:contextualSpacing/>
        <w:rPr>
          <w:sz w:val="24"/>
          <w:szCs w:val="24"/>
        </w:rPr>
      </w:pPr>
      <w:r w:rsidRPr="0016283D">
        <w:rPr>
          <w:sz w:val="24"/>
          <w:szCs w:val="24"/>
        </w:rPr>
        <w:t xml:space="preserve">‘Adverse events’ which collected valuable information about experiences of side </w:t>
      </w:r>
      <w:proofErr w:type="gramStart"/>
      <w:r w:rsidRPr="0016283D">
        <w:rPr>
          <w:sz w:val="24"/>
          <w:szCs w:val="24"/>
        </w:rPr>
        <w:t>effect</w:t>
      </w:r>
      <w:r w:rsidR="0016283D">
        <w:rPr>
          <w:sz w:val="24"/>
          <w:szCs w:val="24"/>
        </w:rPr>
        <w:t>s</w:t>
      </w:r>
      <w:proofErr w:type="gramEnd"/>
      <w:r w:rsidR="0016283D">
        <w:rPr>
          <w:sz w:val="24"/>
          <w:szCs w:val="24"/>
        </w:rPr>
        <w:t xml:space="preserve"> from interventions. A</w:t>
      </w:r>
      <w:r w:rsidRPr="0016283D">
        <w:rPr>
          <w:sz w:val="24"/>
          <w:szCs w:val="24"/>
        </w:rPr>
        <w:t>ll intervention studies monitor adverse events; from t</w:t>
      </w:r>
      <w:r w:rsidR="0016283D">
        <w:rPr>
          <w:sz w:val="24"/>
          <w:szCs w:val="24"/>
        </w:rPr>
        <w:t>his review we would recommend it could be u</w:t>
      </w:r>
      <w:r w:rsidRPr="0016283D">
        <w:rPr>
          <w:sz w:val="24"/>
          <w:szCs w:val="24"/>
        </w:rPr>
        <w:t xml:space="preserve">seful </w:t>
      </w:r>
      <w:r w:rsidR="0016283D">
        <w:rPr>
          <w:sz w:val="24"/>
          <w:szCs w:val="24"/>
        </w:rPr>
        <w:t>to differentiate between</w:t>
      </w:r>
      <w:r w:rsidRPr="0016283D">
        <w:rPr>
          <w:sz w:val="24"/>
          <w:szCs w:val="24"/>
        </w:rPr>
        <w:t xml:space="preserve"> adverse events which are specifically related to the </w:t>
      </w:r>
      <w:r w:rsidRPr="0016283D">
        <w:rPr>
          <w:i/>
          <w:iCs/>
          <w:sz w:val="24"/>
          <w:szCs w:val="24"/>
        </w:rPr>
        <w:t>acceptability</w:t>
      </w:r>
      <w:r w:rsidRPr="0016283D">
        <w:rPr>
          <w:sz w:val="24"/>
          <w:szCs w:val="24"/>
        </w:rPr>
        <w:t xml:space="preserve"> of the intervention. </w:t>
      </w:r>
    </w:p>
    <w:p w14:paraId="652348C0" w14:textId="77777777" w:rsidR="00F65EB1" w:rsidRPr="0016283D" w:rsidRDefault="00F65EB1" w:rsidP="0016283D">
      <w:pPr>
        <w:numPr>
          <w:ilvl w:val="0"/>
          <w:numId w:val="26"/>
        </w:numPr>
        <w:spacing w:line="240" w:lineRule="auto"/>
        <w:contextualSpacing/>
        <w:rPr>
          <w:sz w:val="24"/>
          <w:szCs w:val="24"/>
        </w:rPr>
      </w:pPr>
      <w:r w:rsidRPr="0016283D">
        <w:rPr>
          <w:sz w:val="24"/>
          <w:szCs w:val="24"/>
        </w:rPr>
        <w:t xml:space="preserve">‘Discontinuation narratives’ or ‘reasons for withdrawal’ which were mostly informally presented, but often gave valuable insights of the experience of the intervention. For example, </w:t>
      </w:r>
      <w:r w:rsidRPr="0016283D">
        <w:rPr>
          <w:sz w:val="24"/>
          <w:szCs w:val="24"/>
        </w:rPr>
        <w:fldChar w:fldCharType="begin"/>
      </w:r>
      <w:r w:rsidRPr="0016283D">
        <w:rPr>
          <w:sz w:val="24"/>
          <w:szCs w:val="24"/>
        </w:rPr>
        <w:instrText xml:space="preserve"> ADDIN EN.CITE &lt;EndNote&gt;&lt;Cite AuthorYear="1"&gt;&lt;Author&gt;Cho&lt;/Author&gt;&lt;Year&gt;2012&lt;/Year&gt;&lt;RecNum&gt;438&lt;/RecNum&gt;&lt;DisplayText&gt;Cho and Cheung (2012)&lt;/DisplayText&gt;&lt;record&gt;&lt;rec-number&gt;438&lt;/rec-number&gt;&lt;foreign-keys&gt;&lt;key app="EN" db-id="rxfz0a25xv0psrevwe7x9r03sx2z9x2dp2wf" timestamp="1615814039"&gt;438&lt;/key&gt;&lt;/foreign-keys&gt;&lt;ref-type name="Journal Article"&gt;17&lt;/ref-type&gt;&lt;contributors&gt;&lt;authors&gt;&lt;author&gt;Cho, Pauline&lt;/author&gt;&lt;author&gt;Cheung, Sin-Wan&lt;/author&gt;&lt;/authors&gt;&lt;/contributors&gt;&lt;titles&gt;&lt;title&gt;Retardation of myopia in Orthokeratology (ROMIO) study: a 2-year randomized clinical trial&lt;/title&gt;&lt;secondary-title&gt;Investigative ophthalmology &amp;amp; visual science&lt;/secondary-title&gt;&lt;/titles&gt;&lt;periodical&gt;&lt;full-title&gt;Investigative ophthalmology &amp;amp; visual science&lt;/full-title&gt;&lt;/periodical&gt;&lt;pages&gt;7077-7085&lt;/pages&gt;&lt;volume&gt;53&lt;/volume&gt;&lt;number&gt;11&lt;/number&gt;&lt;dates&gt;&lt;year&gt;2012&lt;/year&gt;&lt;/dates&gt;&lt;isbn&gt;1552-5783&lt;/isbn&gt;&lt;urls&gt;&lt;/urls&gt;&lt;/record&gt;&lt;/Cite&gt;&lt;/EndNote&gt;</w:instrText>
      </w:r>
      <w:r w:rsidRPr="0016283D">
        <w:rPr>
          <w:sz w:val="24"/>
          <w:szCs w:val="24"/>
        </w:rPr>
        <w:fldChar w:fldCharType="separate"/>
      </w:r>
      <w:r w:rsidRPr="0016283D">
        <w:rPr>
          <w:noProof/>
          <w:sz w:val="24"/>
          <w:szCs w:val="24"/>
        </w:rPr>
        <w:t>Cho and Cheung (2012)</w:t>
      </w:r>
      <w:r w:rsidRPr="0016283D">
        <w:rPr>
          <w:sz w:val="24"/>
          <w:szCs w:val="24"/>
        </w:rPr>
        <w:fldChar w:fldCharType="end"/>
      </w:r>
      <w:r w:rsidRPr="0016283D">
        <w:rPr>
          <w:sz w:val="24"/>
          <w:szCs w:val="24"/>
        </w:rPr>
        <w:t xml:space="preserve"> where participants were documented to discontinue owing to failure to comply with treatment. </w:t>
      </w:r>
    </w:p>
    <w:p w14:paraId="15AAD1DB" w14:textId="77777777" w:rsidR="00F65EB1" w:rsidRPr="0016283D" w:rsidRDefault="00F65EB1" w:rsidP="0016283D">
      <w:pPr>
        <w:numPr>
          <w:ilvl w:val="0"/>
          <w:numId w:val="26"/>
        </w:numPr>
        <w:spacing w:line="240" w:lineRule="auto"/>
        <w:contextualSpacing/>
        <w:rPr>
          <w:sz w:val="24"/>
          <w:szCs w:val="24"/>
        </w:rPr>
      </w:pPr>
      <w:r w:rsidRPr="0016283D">
        <w:rPr>
          <w:sz w:val="24"/>
          <w:szCs w:val="24"/>
        </w:rPr>
        <w:t xml:space="preserve">‘Concordance with a test’, ‘success with a test’ or ‘test completion’ which were used for studies evaluating the experience of an assessment. Such terminology often reflected the health professional’s assessment of the test experience. We found that these terms can sometimes be used interchangeably within a study. For example, in </w:t>
      </w:r>
      <w:r w:rsidRPr="0016283D">
        <w:rPr>
          <w:sz w:val="24"/>
          <w:szCs w:val="24"/>
        </w:rPr>
        <w:fldChar w:fldCharType="begin"/>
      </w:r>
      <w:r w:rsidRPr="0016283D">
        <w:rPr>
          <w:sz w:val="24"/>
          <w:szCs w:val="24"/>
        </w:rPr>
        <w:instrText xml:space="preserve"> ADDIN EN.CITE &lt;EndNote&gt;&lt;Cite AuthorYear="1"&gt;&lt;Author&gt;Birch&lt;/Author&gt;&lt;Year&gt;1997&lt;/Year&gt;&lt;RecNum&gt;436&lt;/RecNum&gt;&lt;DisplayText&gt;Birch et al. (1997)&lt;/DisplayText&gt;&lt;record&gt;&lt;rec-number&gt;436&lt;/rec-number&gt;&lt;foreign-keys&gt;&lt;key app="EN" db-id="rxfz0a25xv0psrevwe7x9r03sx2z9x2dp2wf" timestamp="1615806753"&gt;436&lt;/key&gt;&lt;/foreign-keys&gt;&lt;ref-type name="Journal Article"&gt;17&lt;/ref-type&gt;&lt;contributors&gt;&lt;authors&gt;&lt;author&gt;Birch, E.&lt;/author&gt;&lt;author&gt;Williams, C.&lt;/author&gt;&lt;author&gt;Hunter, J.&lt;/author&gt;&lt;author&gt;Lapa, M. C.&lt;/author&gt;&lt;/authors&gt;&lt;/contributors&gt;&lt;auth-address&gt;Retina Foundation of the Southwest, Dallas, TX 75231, USA.&lt;/auth-address&gt;&lt;titles&gt;&lt;title&gt;Random dot stereoacuity of preschool children. ALSPAC &amp;quot;Children in Focus&amp;quot; Study Team&lt;/title&gt;&lt;secondary-title&gt;J Pediatr Ophthalmol Strabismus&lt;/secondary-title&gt;&lt;alt-title&gt;Journal of pediatric ophthalmology and strabismus&lt;/alt-title&gt;&lt;/titles&gt;&lt;periodical&gt;&lt;full-title&gt;J Pediatr Ophthalmol Strabismus&lt;/full-title&gt;&lt;abbr-1&gt;Journal of pediatric ophthalmology and strabismus&lt;/abbr-1&gt;&lt;/periodical&gt;&lt;alt-periodical&gt;&lt;full-title&gt;J Pediatr Ophthalmol Strabismus&lt;/full-title&gt;&lt;abbr-1&gt;Journal of pediatric ophthalmology and strabismus&lt;/abbr-1&gt;&lt;/alt-periodical&gt;&lt;pages&gt;217-22; quiz 247-8&lt;/pages&gt;&lt;volume&gt;34&lt;/volume&gt;&lt;number&gt;4&lt;/number&gt;&lt;edition&gt;1997/07/01&lt;/edition&gt;&lt;keywords&gt;&lt;keyword&gt;Child, Preschool&lt;/keyword&gt;&lt;keyword&gt;Depth Perception/*physiology&lt;/keyword&gt;&lt;keyword&gt;Humans&lt;/keyword&gt;&lt;keyword&gt;Reproducibility of Results&lt;/keyword&gt;&lt;keyword&gt;Sensitivity and Specificity&lt;/keyword&gt;&lt;keyword&gt;Vision Disorders/diagnosis/physiopathology&lt;/keyword&gt;&lt;keyword&gt;Vision Tests/*methods&lt;/keyword&gt;&lt;keyword&gt;Visual Acuity/*physiology&lt;/keyword&gt;&lt;/keywords&gt;&lt;dates&gt;&lt;year&gt;1997&lt;/year&gt;&lt;pub-dates&gt;&lt;date&gt;Jul-Aug&lt;/date&gt;&lt;/pub-dates&gt;&lt;/dates&gt;&lt;isbn&gt;0191-3913 (Print)&amp;#xD;0191-3913&lt;/isbn&gt;&lt;accession-num&gt;9253735&lt;/accession-num&gt;&lt;urls&gt;&lt;/urls&gt;&lt;remote-database-provider&gt;NLM&lt;/remote-database-provider&gt;&lt;language&gt;eng&lt;/language&gt;&lt;/record&gt;&lt;/Cite&gt;&lt;/EndNote&gt;</w:instrText>
      </w:r>
      <w:r w:rsidRPr="0016283D">
        <w:rPr>
          <w:sz w:val="24"/>
          <w:szCs w:val="24"/>
        </w:rPr>
        <w:fldChar w:fldCharType="separate"/>
      </w:r>
      <w:r w:rsidRPr="0016283D">
        <w:rPr>
          <w:noProof/>
          <w:sz w:val="24"/>
          <w:szCs w:val="24"/>
        </w:rPr>
        <w:t>Birch et al. (1997)</w:t>
      </w:r>
      <w:r w:rsidRPr="0016283D">
        <w:rPr>
          <w:sz w:val="24"/>
          <w:szCs w:val="24"/>
        </w:rPr>
        <w:fldChar w:fldCharType="end"/>
      </w:r>
      <w:r w:rsidRPr="0016283D">
        <w:rPr>
          <w:sz w:val="24"/>
          <w:szCs w:val="24"/>
        </w:rPr>
        <w:t xml:space="preserve"> ‘Concordance with a test’ was used in the abstract, then in the full text this was actually measured by a health professional, and rated as a ‘success’ or ‘failure’. Other studies graded an assessment as a ‘success’ if they are ‘completed’.</w:t>
      </w:r>
    </w:p>
    <w:p w14:paraId="55418BCF" w14:textId="7D75C582" w:rsidR="00F65EB1" w:rsidRPr="0016283D" w:rsidRDefault="00F65EB1" w:rsidP="0016283D">
      <w:pPr>
        <w:numPr>
          <w:ilvl w:val="0"/>
          <w:numId w:val="26"/>
        </w:numPr>
        <w:spacing w:line="240" w:lineRule="auto"/>
        <w:contextualSpacing/>
        <w:rPr>
          <w:sz w:val="24"/>
          <w:szCs w:val="24"/>
        </w:rPr>
      </w:pPr>
      <w:r w:rsidRPr="0016283D">
        <w:rPr>
          <w:sz w:val="24"/>
          <w:szCs w:val="24"/>
        </w:rPr>
        <w:t>‘Well tolerated’ which we found to have a variety of meanings, relating to ‘compliance’ with a treatment or the ‘acceptability’ of a treatment or relating to ‘adverse events’ as a safety measure, for example.</w:t>
      </w:r>
    </w:p>
    <w:p w14:paraId="64EE2D59" w14:textId="2EF8A46F" w:rsidR="00F65EB1" w:rsidRDefault="00F65EB1" w:rsidP="00F65EB1"/>
    <w:p w14:paraId="21F05D22" w14:textId="77777777" w:rsidR="0016283D" w:rsidRPr="0016283D" w:rsidRDefault="00F65EB1" w:rsidP="0016283D">
      <w:pPr>
        <w:pStyle w:val="EndNoteBibliography"/>
        <w:spacing w:after="0"/>
        <w:ind w:left="720" w:hanging="720"/>
      </w:pPr>
      <w:r>
        <w:fldChar w:fldCharType="begin"/>
      </w:r>
      <w:r>
        <w:instrText xml:space="preserve"> ADDIN EN.REFLIST </w:instrText>
      </w:r>
      <w:r>
        <w:fldChar w:fldCharType="separate"/>
      </w:r>
      <w:r w:rsidR="0016283D" w:rsidRPr="0016283D">
        <w:t xml:space="preserve">BIRCH, E., WILLIAMS, C., HUNTER, J. &amp; LAPA, M. C. 1997. Random dot stereoacuity of preschool children. ALSPAC "Children in Focus" Study Team. </w:t>
      </w:r>
      <w:r w:rsidR="0016283D" w:rsidRPr="0016283D">
        <w:rPr>
          <w:i/>
        </w:rPr>
        <w:t>J Pediatr Ophthalmol Strabismus,</w:t>
      </w:r>
      <w:r w:rsidR="0016283D" w:rsidRPr="0016283D">
        <w:t xml:space="preserve"> 34</w:t>
      </w:r>
      <w:r w:rsidR="0016283D" w:rsidRPr="0016283D">
        <w:rPr>
          <w:b/>
        </w:rPr>
        <w:t>,</w:t>
      </w:r>
      <w:r w:rsidR="0016283D" w:rsidRPr="0016283D">
        <w:t xml:space="preserve"> 217-22; quiz 247-8.</w:t>
      </w:r>
    </w:p>
    <w:p w14:paraId="185D61FE" w14:textId="77777777" w:rsidR="0016283D" w:rsidRPr="0016283D" w:rsidRDefault="0016283D" w:rsidP="0016283D">
      <w:pPr>
        <w:pStyle w:val="EndNoteBibliography"/>
        <w:spacing w:after="0"/>
        <w:ind w:left="720" w:hanging="720"/>
      </w:pPr>
      <w:r w:rsidRPr="0016283D">
        <w:t xml:space="preserve">CHO, P. &amp; CHEUNG, S.-W. 2012. Retardation of myopia in Orthokeratology (ROMIO) study: a 2-year randomized clinical trial. </w:t>
      </w:r>
      <w:r w:rsidRPr="0016283D">
        <w:rPr>
          <w:i/>
        </w:rPr>
        <w:t>Investigative ophthalmology &amp; visual science,</w:t>
      </w:r>
      <w:r w:rsidRPr="0016283D">
        <w:t xml:space="preserve"> 53</w:t>
      </w:r>
      <w:r w:rsidRPr="0016283D">
        <w:rPr>
          <w:b/>
        </w:rPr>
        <w:t>,</w:t>
      </w:r>
      <w:r w:rsidRPr="0016283D">
        <w:t xml:space="preserve"> 7077-7085.</w:t>
      </w:r>
    </w:p>
    <w:p w14:paraId="4A624FDB" w14:textId="77777777" w:rsidR="0016283D" w:rsidRPr="0016283D" w:rsidRDefault="0016283D" w:rsidP="0016283D">
      <w:pPr>
        <w:pStyle w:val="EndNoteBibliography"/>
        <w:spacing w:after="0"/>
        <w:ind w:left="720" w:hanging="720"/>
      </w:pPr>
      <w:r w:rsidRPr="0016283D">
        <w:t xml:space="preserve">PEDIATRIC EYE DISEASE INVESTIGATOR GROUP WRITING COMMITTEE 2010. A randomized trial comparing Bangerter filters and patching for the treatment of moderate amblyopia in children. </w:t>
      </w:r>
      <w:r w:rsidRPr="0016283D">
        <w:rPr>
          <w:i/>
        </w:rPr>
        <w:t>Ophthalmology,</w:t>
      </w:r>
      <w:r w:rsidRPr="0016283D">
        <w:t xml:space="preserve"> 117</w:t>
      </w:r>
      <w:r w:rsidRPr="0016283D">
        <w:rPr>
          <w:b/>
        </w:rPr>
        <w:t>,</w:t>
      </w:r>
      <w:r w:rsidRPr="0016283D">
        <w:t xml:space="preserve"> 998-1004. e6.</w:t>
      </w:r>
    </w:p>
    <w:p w14:paraId="25C5C117" w14:textId="77777777" w:rsidR="0016283D" w:rsidRPr="0016283D" w:rsidRDefault="0016283D" w:rsidP="0016283D">
      <w:pPr>
        <w:pStyle w:val="EndNoteBibliography"/>
        <w:ind w:left="720" w:hanging="720"/>
      </w:pPr>
      <w:r w:rsidRPr="0016283D">
        <w:t xml:space="preserve">WALLINE, J. J., GAUME, A., JONES, L. A., RAH, M. J., MANNY, R. E., BERNTSEN, D. A., CHITKARA, M., KIM, A. &amp; QUINN, N. 2007. Benefits of contact lens wear for children and teens. </w:t>
      </w:r>
      <w:r w:rsidRPr="0016283D">
        <w:rPr>
          <w:i/>
        </w:rPr>
        <w:t>Eye &amp; contact lens,</w:t>
      </w:r>
      <w:r w:rsidRPr="0016283D">
        <w:t xml:space="preserve"> 33</w:t>
      </w:r>
      <w:r w:rsidRPr="0016283D">
        <w:rPr>
          <w:b/>
        </w:rPr>
        <w:t>,</w:t>
      </w:r>
      <w:r w:rsidRPr="0016283D">
        <w:t xml:space="preserve"> 317-321.</w:t>
      </w:r>
    </w:p>
    <w:p w14:paraId="1CA1666B" w14:textId="2F67376B" w:rsidR="00F51E26" w:rsidRDefault="00F65EB1" w:rsidP="00F65EB1">
      <w:r>
        <w:fldChar w:fldCharType="end"/>
      </w:r>
    </w:p>
    <w:sectPr w:rsidR="00F51E26">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29E19D" w14:textId="77777777" w:rsidR="00F7300A" w:rsidRDefault="00F7300A" w:rsidP="00F7300A">
      <w:pPr>
        <w:spacing w:after="0" w:line="240" w:lineRule="auto"/>
      </w:pPr>
      <w:r>
        <w:separator/>
      </w:r>
    </w:p>
  </w:endnote>
  <w:endnote w:type="continuationSeparator" w:id="0">
    <w:p w14:paraId="7644E4CD" w14:textId="77777777" w:rsidR="00F7300A" w:rsidRDefault="00F7300A" w:rsidP="00F73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DD187" w14:textId="77777777" w:rsidR="00F7300A" w:rsidRDefault="00F730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C0FE0" w14:textId="77777777" w:rsidR="00F7300A" w:rsidRDefault="00F730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16579" w14:textId="77777777" w:rsidR="00F7300A" w:rsidRDefault="00F730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153881" w14:textId="77777777" w:rsidR="00F7300A" w:rsidRDefault="00F7300A" w:rsidP="00F7300A">
      <w:pPr>
        <w:spacing w:after="0" w:line="240" w:lineRule="auto"/>
      </w:pPr>
      <w:r>
        <w:separator/>
      </w:r>
    </w:p>
  </w:footnote>
  <w:footnote w:type="continuationSeparator" w:id="0">
    <w:p w14:paraId="69B2E1C8" w14:textId="77777777" w:rsidR="00F7300A" w:rsidRDefault="00F7300A" w:rsidP="00F730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11C25" w14:textId="77777777" w:rsidR="00F7300A" w:rsidRDefault="00F730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2CA6F" w14:textId="77777777" w:rsidR="00F7300A" w:rsidRDefault="00F730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05026" w14:textId="77777777" w:rsidR="00F7300A" w:rsidRDefault="00F730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61C8C"/>
    <w:multiLevelType w:val="hybridMultilevel"/>
    <w:tmpl w:val="C22A6BAC"/>
    <w:lvl w:ilvl="0" w:tplc="C3124120">
      <w:start w:val="1"/>
      <w:numFmt w:val="decimal"/>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 w15:restartNumberingAfterBreak="0">
    <w:nsid w:val="0AF04B04"/>
    <w:multiLevelType w:val="hybridMultilevel"/>
    <w:tmpl w:val="C1C8CE1A"/>
    <w:lvl w:ilvl="0" w:tplc="3EE64C3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7C32C7"/>
    <w:multiLevelType w:val="hybridMultilevel"/>
    <w:tmpl w:val="7972A4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B04E6A"/>
    <w:multiLevelType w:val="hybridMultilevel"/>
    <w:tmpl w:val="6720B8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DB178D"/>
    <w:multiLevelType w:val="hybridMultilevel"/>
    <w:tmpl w:val="6F1626D4"/>
    <w:lvl w:ilvl="0" w:tplc="7DF81FF4">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943BD9"/>
    <w:multiLevelType w:val="hybridMultilevel"/>
    <w:tmpl w:val="524CC4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C74DED"/>
    <w:multiLevelType w:val="hybridMultilevel"/>
    <w:tmpl w:val="68D2C3E8"/>
    <w:lvl w:ilvl="0" w:tplc="1E7E4EA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4F6980"/>
    <w:multiLevelType w:val="hybridMultilevel"/>
    <w:tmpl w:val="38F22714"/>
    <w:lvl w:ilvl="0" w:tplc="FAAC44EA">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3D0B62"/>
    <w:multiLevelType w:val="hybridMultilevel"/>
    <w:tmpl w:val="3C141E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8C5854"/>
    <w:multiLevelType w:val="hybridMultilevel"/>
    <w:tmpl w:val="150A9A22"/>
    <w:lvl w:ilvl="0" w:tplc="B3703E8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D7D4001"/>
    <w:multiLevelType w:val="hybridMultilevel"/>
    <w:tmpl w:val="4894C1D6"/>
    <w:lvl w:ilvl="0" w:tplc="F2B0CA92">
      <w:start w:val="1"/>
      <w:numFmt w:val="bullet"/>
      <w:lvlText w:val=""/>
      <w:lvlJc w:val="left"/>
      <w:pPr>
        <w:ind w:left="1080" w:hanging="360"/>
      </w:pPr>
      <w:rPr>
        <w:rFonts w:ascii="Wingdings" w:hAnsi="Wingdings" w:hint="default"/>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68A0BE0"/>
    <w:multiLevelType w:val="hybridMultilevel"/>
    <w:tmpl w:val="10BC67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17328A"/>
    <w:multiLevelType w:val="hybridMultilevel"/>
    <w:tmpl w:val="5B5667E6"/>
    <w:lvl w:ilvl="0" w:tplc="F2B0CA92">
      <w:start w:val="1"/>
      <w:numFmt w:val="bullet"/>
      <w:lvlText w:val=""/>
      <w:lvlJc w:val="left"/>
      <w:pPr>
        <w:ind w:left="1080" w:hanging="360"/>
      </w:pPr>
      <w:rPr>
        <w:rFonts w:ascii="Wingdings" w:hAnsi="Wingdings" w:hint="default"/>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1BF757C"/>
    <w:multiLevelType w:val="hybridMultilevel"/>
    <w:tmpl w:val="404E7C0A"/>
    <w:lvl w:ilvl="0" w:tplc="E674AF0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E44CEA"/>
    <w:multiLevelType w:val="hybridMultilevel"/>
    <w:tmpl w:val="F0EC1C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71434D"/>
    <w:multiLevelType w:val="hybridMultilevel"/>
    <w:tmpl w:val="E620D8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AC1A56"/>
    <w:multiLevelType w:val="hybridMultilevel"/>
    <w:tmpl w:val="94F858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F1569C"/>
    <w:multiLevelType w:val="hybridMultilevel"/>
    <w:tmpl w:val="25CA01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18B7958"/>
    <w:multiLevelType w:val="hybridMultilevel"/>
    <w:tmpl w:val="9886F402"/>
    <w:lvl w:ilvl="0" w:tplc="B8AE67F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9DB62D4"/>
    <w:multiLevelType w:val="hybridMultilevel"/>
    <w:tmpl w:val="52642D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F575558"/>
    <w:multiLevelType w:val="hybridMultilevel"/>
    <w:tmpl w:val="9CCCCED6"/>
    <w:lvl w:ilvl="0" w:tplc="597EC63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456510"/>
    <w:multiLevelType w:val="hybridMultilevel"/>
    <w:tmpl w:val="276C9E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F1013B1"/>
    <w:multiLevelType w:val="hybridMultilevel"/>
    <w:tmpl w:val="90B85EE4"/>
    <w:lvl w:ilvl="0" w:tplc="0FAA6B3E">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FE329D8"/>
    <w:multiLevelType w:val="hybridMultilevel"/>
    <w:tmpl w:val="F774BFCE"/>
    <w:lvl w:ilvl="0" w:tplc="39A83C0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29B7506"/>
    <w:multiLevelType w:val="hybridMultilevel"/>
    <w:tmpl w:val="8866269A"/>
    <w:lvl w:ilvl="0" w:tplc="7DF81FF4">
      <w:start w:val="1"/>
      <w:numFmt w:val="decimal"/>
      <w:lvlText w:val="%1."/>
      <w:lvlJc w:val="left"/>
      <w:pPr>
        <w:ind w:left="720" w:hanging="360"/>
      </w:pPr>
      <w:rPr>
        <w:rFonts w:hint="default"/>
        <w:b w:val="0"/>
        <w:i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D1C67F1"/>
    <w:multiLevelType w:val="hybridMultilevel"/>
    <w:tmpl w:val="918E87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4"/>
  </w:num>
  <w:num w:numId="2">
    <w:abstractNumId w:val="5"/>
  </w:num>
  <w:num w:numId="3">
    <w:abstractNumId w:val="4"/>
  </w:num>
  <w:num w:numId="4">
    <w:abstractNumId w:val="6"/>
  </w:num>
  <w:num w:numId="5">
    <w:abstractNumId w:val="14"/>
  </w:num>
  <w:num w:numId="6">
    <w:abstractNumId w:val="21"/>
  </w:num>
  <w:num w:numId="7">
    <w:abstractNumId w:val="0"/>
  </w:num>
  <w:num w:numId="8">
    <w:abstractNumId w:val="16"/>
  </w:num>
  <w:num w:numId="9">
    <w:abstractNumId w:val="19"/>
  </w:num>
  <w:num w:numId="10">
    <w:abstractNumId w:val="15"/>
  </w:num>
  <w:num w:numId="11">
    <w:abstractNumId w:val="2"/>
  </w:num>
  <w:num w:numId="12">
    <w:abstractNumId w:val="3"/>
  </w:num>
  <w:num w:numId="13">
    <w:abstractNumId w:val="17"/>
  </w:num>
  <w:num w:numId="14">
    <w:abstractNumId w:val="11"/>
  </w:num>
  <w:num w:numId="15">
    <w:abstractNumId w:val="25"/>
  </w:num>
  <w:num w:numId="16">
    <w:abstractNumId w:val="8"/>
  </w:num>
  <w:num w:numId="17">
    <w:abstractNumId w:val="9"/>
  </w:num>
  <w:num w:numId="18">
    <w:abstractNumId w:val="20"/>
  </w:num>
  <w:num w:numId="19">
    <w:abstractNumId w:val="1"/>
  </w:num>
  <w:num w:numId="20">
    <w:abstractNumId w:val="23"/>
  </w:num>
  <w:num w:numId="21">
    <w:abstractNumId w:val="18"/>
  </w:num>
  <w:num w:numId="22">
    <w:abstractNumId w:val="22"/>
  </w:num>
  <w:num w:numId="23">
    <w:abstractNumId w:val="13"/>
  </w:num>
  <w:num w:numId="24">
    <w:abstractNumId w:val="10"/>
  </w:num>
  <w:num w:numId="25">
    <w:abstractNumId w:val="12"/>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3"/>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xfz0a25xv0psrevwe7x9r03sx2z9x2dp2wf&quot;&gt;Endnote Library Ci2i&lt;record-ids&gt;&lt;item&gt;172&lt;/item&gt;&lt;item&gt;436&lt;/item&gt;&lt;item&gt;438&lt;/item&gt;&lt;item&gt;441&lt;/item&gt;&lt;/record-ids&gt;&lt;/item&gt;&lt;/Libraries&gt;"/>
  </w:docVars>
  <w:rsids>
    <w:rsidRoot w:val="00F7300A"/>
    <w:rsid w:val="000A66B7"/>
    <w:rsid w:val="0016283D"/>
    <w:rsid w:val="00570BCA"/>
    <w:rsid w:val="0059658F"/>
    <w:rsid w:val="00A7251D"/>
    <w:rsid w:val="00DA22F9"/>
    <w:rsid w:val="00DD5218"/>
    <w:rsid w:val="00E25702"/>
    <w:rsid w:val="00E37125"/>
    <w:rsid w:val="00F65EB1"/>
    <w:rsid w:val="00F730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358E96"/>
  <w15:chartTrackingRefBased/>
  <w15:docId w15:val="{401D4EF1-1126-4333-9A9D-1D0232654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300A"/>
  </w:style>
  <w:style w:type="paragraph" w:styleId="Heading2">
    <w:name w:val="heading 2"/>
    <w:basedOn w:val="Normal"/>
    <w:next w:val="Normal"/>
    <w:link w:val="Heading2Char"/>
    <w:uiPriority w:val="9"/>
    <w:unhideWhenUsed/>
    <w:qFormat/>
    <w:rsid w:val="00DA22F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30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F7300A"/>
    <w:pPr>
      <w:ind w:left="720"/>
      <w:contextualSpacing/>
    </w:pPr>
  </w:style>
  <w:style w:type="character" w:styleId="Hyperlink">
    <w:name w:val="Hyperlink"/>
    <w:basedOn w:val="DefaultParagraphFont"/>
    <w:uiPriority w:val="99"/>
    <w:unhideWhenUsed/>
    <w:rsid w:val="00F7300A"/>
    <w:rPr>
      <w:color w:val="0563C1" w:themeColor="hyperlink"/>
      <w:u w:val="single"/>
    </w:rPr>
  </w:style>
  <w:style w:type="paragraph" w:customStyle="1" w:styleId="EndNoteBibliographyTitle">
    <w:name w:val="EndNote Bibliography Title"/>
    <w:basedOn w:val="Normal"/>
    <w:link w:val="EndNoteBibliographyTitleChar"/>
    <w:rsid w:val="00F7300A"/>
    <w:pPr>
      <w:spacing w:after="0"/>
      <w:jc w:val="center"/>
    </w:pPr>
    <w:rPr>
      <w:rFonts w:ascii="Calibri" w:hAnsi="Calibri" w:cs="Calibri"/>
      <w:noProof/>
      <w:lang w:val="en-US"/>
    </w:rPr>
  </w:style>
  <w:style w:type="character" w:customStyle="1" w:styleId="ListParagraphChar">
    <w:name w:val="List Paragraph Char"/>
    <w:basedOn w:val="DefaultParagraphFont"/>
    <w:link w:val="ListParagraph"/>
    <w:uiPriority w:val="34"/>
    <w:rsid w:val="00F7300A"/>
  </w:style>
  <w:style w:type="character" w:customStyle="1" w:styleId="EndNoteBibliographyTitleChar">
    <w:name w:val="EndNote Bibliography Title Char"/>
    <w:basedOn w:val="ListParagraphChar"/>
    <w:link w:val="EndNoteBibliographyTitle"/>
    <w:rsid w:val="00F7300A"/>
    <w:rPr>
      <w:rFonts w:ascii="Calibri" w:hAnsi="Calibri" w:cs="Calibri"/>
      <w:noProof/>
      <w:lang w:val="en-US"/>
    </w:rPr>
  </w:style>
  <w:style w:type="paragraph" w:customStyle="1" w:styleId="EndNoteBibliography">
    <w:name w:val="EndNote Bibliography"/>
    <w:basedOn w:val="Normal"/>
    <w:link w:val="EndNoteBibliographyChar"/>
    <w:rsid w:val="00F7300A"/>
    <w:pPr>
      <w:spacing w:line="240" w:lineRule="auto"/>
    </w:pPr>
    <w:rPr>
      <w:rFonts w:ascii="Calibri" w:hAnsi="Calibri" w:cs="Calibri"/>
      <w:noProof/>
      <w:lang w:val="en-US"/>
    </w:rPr>
  </w:style>
  <w:style w:type="character" w:customStyle="1" w:styleId="EndNoteBibliographyChar">
    <w:name w:val="EndNote Bibliography Char"/>
    <w:basedOn w:val="ListParagraphChar"/>
    <w:link w:val="EndNoteBibliography"/>
    <w:rsid w:val="00F7300A"/>
    <w:rPr>
      <w:rFonts w:ascii="Calibri" w:hAnsi="Calibri" w:cs="Calibri"/>
      <w:noProof/>
      <w:lang w:val="en-US"/>
    </w:rPr>
  </w:style>
  <w:style w:type="paragraph" w:styleId="Header">
    <w:name w:val="header"/>
    <w:basedOn w:val="Normal"/>
    <w:link w:val="HeaderChar"/>
    <w:uiPriority w:val="99"/>
    <w:unhideWhenUsed/>
    <w:rsid w:val="00F730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300A"/>
  </w:style>
  <w:style w:type="paragraph" w:styleId="Footer">
    <w:name w:val="footer"/>
    <w:basedOn w:val="Normal"/>
    <w:link w:val="FooterChar"/>
    <w:uiPriority w:val="99"/>
    <w:unhideWhenUsed/>
    <w:rsid w:val="00F730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300A"/>
  </w:style>
  <w:style w:type="character" w:styleId="CommentReference">
    <w:name w:val="annotation reference"/>
    <w:basedOn w:val="DefaultParagraphFont"/>
    <w:uiPriority w:val="99"/>
    <w:semiHidden/>
    <w:unhideWhenUsed/>
    <w:rsid w:val="00F65EB1"/>
    <w:rPr>
      <w:sz w:val="16"/>
      <w:szCs w:val="16"/>
    </w:rPr>
  </w:style>
  <w:style w:type="paragraph" w:styleId="CommentText">
    <w:name w:val="annotation text"/>
    <w:basedOn w:val="Normal"/>
    <w:link w:val="CommentTextChar"/>
    <w:uiPriority w:val="99"/>
    <w:unhideWhenUsed/>
    <w:rsid w:val="00F65EB1"/>
    <w:pPr>
      <w:spacing w:line="240" w:lineRule="auto"/>
    </w:pPr>
    <w:rPr>
      <w:sz w:val="20"/>
      <w:szCs w:val="20"/>
    </w:rPr>
  </w:style>
  <w:style w:type="character" w:customStyle="1" w:styleId="CommentTextChar">
    <w:name w:val="Comment Text Char"/>
    <w:basedOn w:val="DefaultParagraphFont"/>
    <w:link w:val="CommentText"/>
    <w:uiPriority w:val="99"/>
    <w:rsid w:val="00F65EB1"/>
    <w:rPr>
      <w:sz w:val="20"/>
      <w:szCs w:val="20"/>
    </w:rPr>
  </w:style>
  <w:style w:type="paragraph" w:styleId="BalloonText">
    <w:name w:val="Balloon Text"/>
    <w:basedOn w:val="Normal"/>
    <w:link w:val="BalloonTextChar"/>
    <w:uiPriority w:val="99"/>
    <w:semiHidden/>
    <w:unhideWhenUsed/>
    <w:rsid w:val="00F65E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5EB1"/>
    <w:rPr>
      <w:rFonts w:ascii="Segoe UI" w:hAnsi="Segoe UI" w:cs="Segoe UI"/>
      <w:sz w:val="18"/>
      <w:szCs w:val="18"/>
    </w:rPr>
  </w:style>
  <w:style w:type="character" w:customStyle="1" w:styleId="Heading2Char">
    <w:name w:val="Heading 2 Char"/>
    <w:basedOn w:val="DefaultParagraphFont"/>
    <w:link w:val="Heading2"/>
    <w:uiPriority w:val="9"/>
    <w:rsid w:val="00DA22F9"/>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0A66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4AA1263BF9A94AA9788C465BB62912" ma:contentTypeVersion="14" ma:contentTypeDescription="Create a new document." ma:contentTypeScope="" ma:versionID="5a3bd1e55e8909f499d48f232f568c8a">
  <xsd:schema xmlns:xsd="http://www.w3.org/2001/XMLSchema" xmlns:xs="http://www.w3.org/2001/XMLSchema" xmlns:p="http://schemas.microsoft.com/office/2006/metadata/properties" xmlns:ns3="c85be2ce-b8f5-47bd-b81f-18ae77b46b3c" xmlns:ns4="e230ece1-f64b-47ee-a340-ad707d85240d" targetNamespace="http://schemas.microsoft.com/office/2006/metadata/properties" ma:root="true" ma:fieldsID="828439b850baddb28a9ba29c9db986d7" ns3:_="" ns4:_="">
    <xsd:import namespace="c85be2ce-b8f5-47bd-b81f-18ae77b46b3c"/>
    <xsd:import namespace="e230ece1-f64b-47ee-a340-ad707d85240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EventHashCode" minOccurs="0"/>
                <xsd:element ref="ns3:MediaServiceGenerationTime" minOccurs="0"/>
                <xsd:element ref="ns3:MediaServiceOCR"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5be2ce-b8f5-47bd-b81f-18ae77b46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30ece1-f64b-47ee-a340-ad707d85240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B333C6-A169-47AA-8F23-0435ABFDAA34}">
  <ds:schemaRefs>
    <ds:schemaRef ds:uri="http://purl.org/dc/elements/1.1/"/>
    <ds:schemaRef ds:uri="http://schemas.microsoft.com/office/2006/metadata/properties"/>
    <ds:schemaRef ds:uri="http://purl.org/dc/terms/"/>
    <ds:schemaRef ds:uri="e230ece1-f64b-47ee-a340-ad707d85240d"/>
    <ds:schemaRef ds:uri="http://schemas.microsoft.com/office/2006/documentManagement/types"/>
    <ds:schemaRef ds:uri="c85be2ce-b8f5-47bd-b81f-18ae77b46b3c"/>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B5F32FBB-B27C-426F-B0EE-80D2C5937B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5be2ce-b8f5-47bd-b81f-18ae77b46b3c"/>
    <ds:schemaRef ds:uri="e230ece1-f64b-47ee-a340-ad707d8524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71AB57-9B32-40DE-A372-3B54F383F4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1122</Words>
  <Characters>6400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City University London</Company>
  <LinksUpToDate>false</LinksUpToDate>
  <CharactersWithSpaces>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Jac</dc:creator>
  <cp:keywords/>
  <dc:description/>
  <cp:lastModifiedBy>Miller, Jac</cp:lastModifiedBy>
  <cp:revision>3</cp:revision>
  <dcterms:created xsi:type="dcterms:W3CDTF">2021-10-29T15:33:00Z</dcterms:created>
  <dcterms:modified xsi:type="dcterms:W3CDTF">2021-11-02T11:01:00Z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0x010100EB4AA1263BF9A94AA9788C465BB62912</vt:lpwstr>
  </property>
</Properties>
</file>