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76" w:lineRule="auto"/>
        <w:jc w:val="left"/>
      </w:pPr>
      <w:r>
        <w:rPr>
          <w:rFonts w:ascii="Times New Roman Regular" w:hAnsi="Times New Roman Regular" w:cs="Times New Roman Regular"/>
          <w:b/>
          <w:sz w:val="20"/>
          <w:szCs w:val="20"/>
        </w:rPr>
        <w:t xml:space="preserve">Table </w:t>
      </w:r>
      <w:r>
        <w:rPr>
          <w:rFonts w:hint="eastAsia" w:ascii="Times New Roman Regular" w:hAnsi="Times New Roman Regular" w:eastAsia="宋体" w:cs="Times New Roman Regular"/>
          <w:b/>
          <w:sz w:val="20"/>
          <w:szCs w:val="20"/>
        </w:rPr>
        <w:t>2</w:t>
      </w:r>
      <w:r>
        <w:rPr>
          <w:rFonts w:ascii="Times New Roman Regular" w:hAnsi="Times New Roman Regular" w:cs="Times New Roman Regular"/>
          <w:b/>
          <w:sz w:val="20"/>
          <w:szCs w:val="20"/>
        </w:rPr>
        <w:t xml:space="preserve">. </w:t>
      </w:r>
      <w:r>
        <w:rPr>
          <w:rFonts w:ascii="Times New Roman Regular" w:hAnsi="Times New Roman Regular" w:eastAsia="宋体" w:cs="Times New Roman Regular"/>
          <w:b/>
          <w:bCs/>
          <w:color w:val="000000"/>
          <w:kern w:val="0"/>
          <w:sz w:val="20"/>
          <w:szCs w:val="20"/>
          <w:lang w:bidi="ar"/>
          <w14:ligatures w14:val="standardContextual"/>
        </w:rPr>
        <w:t>Overall Response.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2033"/>
        <w:gridCol w:w="2499"/>
        <w:gridCol w:w="123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tcBorders>
              <w:top w:val="single" w:color="auto" w:sz="4" w:space="0"/>
              <w:bottom w:val="single" w:color="auto" w:sz="4" w:space="0"/>
            </w:tcBorders>
            <w:noWrap/>
            <w:vAlign w:val="bottom"/>
          </w:tcPr>
          <w:p>
            <w:pPr>
              <w:widowControl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 xml:space="preserve">Variable </w:t>
            </w:r>
          </w:p>
        </w:tc>
        <w:tc>
          <w:tcPr>
            <w:tcW w:w="1193" w:type="pc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IA Group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(n=43)</w:t>
            </w:r>
          </w:p>
        </w:tc>
        <w:tc>
          <w:tcPr>
            <w:tcW w:w="1467" w:type="pc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VEN-HMA Group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(n=32)</w:t>
            </w:r>
          </w:p>
        </w:tc>
        <w:tc>
          <w:tcPr>
            <w:tcW w:w="724" w:type="pct"/>
            <w:tcBorders>
              <w:top w:val="single" w:color="auto" w:sz="4" w:space="0"/>
              <w:bottom w:val="single" w:color="auto" w:sz="4" w:space="0"/>
            </w:tcBorders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tcBorders>
              <w:top w:val="single" w:color="auto" w:sz="4" w:space="0"/>
            </w:tcBorders>
            <w:noWrap/>
            <w:vAlign w:val="bottom"/>
          </w:tcPr>
          <w:p>
            <w:pPr>
              <w:widowControl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CRc</w:t>
            </w: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1193" w:type="pct"/>
            <w:tcBorders>
              <w:top w:val="single" w:color="auto" w:sz="4" w:space="0"/>
            </w:tcBorders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19/43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(44.2)</w:t>
            </w:r>
          </w:p>
        </w:tc>
        <w:tc>
          <w:tcPr>
            <w:tcW w:w="1467" w:type="pct"/>
            <w:tcBorders>
              <w:top w:val="single" w:color="auto" w:sz="4" w:space="0"/>
            </w:tcBorders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23/32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(71.9)</w:t>
            </w:r>
          </w:p>
        </w:tc>
        <w:tc>
          <w:tcPr>
            <w:tcW w:w="724" w:type="pct"/>
            <w:tcBorders>
              <w:top w:val="single" w:color="auto" w:sz="4" w:space="0"/>
            </w:tcBorders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widowControl/>
              <w:spacing w:line="276" w:lineRule="auto"/>
              <w:ind w:firstLine="200" w:firstLineChars="100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CR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17/43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39.5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20/32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62.5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724" w:type="pct"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widowControl/>
              <w:spacing w:line="276" w:lineRule="auto"/>
              <w:ind w:firstLine="200" w:firstLineChars="100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CRi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2/43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(4.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3/32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9.4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4276" w:type="pct"/>
            <w:gridSpan w:val="3"/>
            <w:noWrap/>
            <w:vAlign w:val="bottom"/>
          </w:tcPr>
          <w:p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MRD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0.038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widowControl/>
              <w:spacing w:line="276" w:lineRule="auto"/>
              <w:ind w:firstLine="20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</w:pPr>
            <w:r>
              <w:rPr>
                <w:rFonts w:ascii="Times New Roman Bold" w:hAnsi="Times New Roman Bold" w:eastAsia="PingFang SC" w:cs="Times New Roman Bold"/>
                <w:b/>
                <w:bCs/>
                <w:sz w:val="20"/>
                <w:szCs w:val="20"/>
              </w:rPr>
              <w:t>≥</w:t>
            </w: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1 log reduction,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/38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(31.6)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17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/30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(56.7)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color w:val="C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widowControl/>
              <w:spacing w:line="276" w:lineRule="auto"/>
              <w:ind w:firstLine="300" w:firstLineChars="150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</w:pP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MRD negative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2/38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.3)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3/30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(10.0)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3-4 log reduction,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3/38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7.9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4/30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13.3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 log reduction,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3/38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7.9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/30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(20.0)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log reduction,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/38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0.5)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/30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(13.3)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16" w:type="pct"/>
            <w:noWrap/>
            <w:vAlign w:val="bottom"/>
          </w:tcPr>
          <w:p>
            <w:pPr>
              <w:spacing w:line="276" w:lineRule="auto"/>
              <w:ind w:firstLine="200" w:firstLineChars="100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&lt;1 log reduction, n (%)</w:t>
            </w:r>
          </w:p>
        </w:tc>
        <w:tc>
          <w:tcPr>
            <w:tcW w:w="1193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/38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8.4)</w:t>
            </w:r>
          </w:p>
        </w:tc>
        <w:tc>
          <w:tcPr>
            <w:tcW w:w="1467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/30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(43.3)</w:t>
            </w:r>
          </w:p>
        </w:tc>
        <w:tc>
          <w:tcPr>
            <w:tcW w:w="724" w:type="pct"/>
            <w:noWrap/>
            <w:vAlign w:val="bottom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r>
        <w:rPr>
          <w:rFonts w:ascii="Times New Roman" w:hAnsi="Times New Roman" w:cs="Times New Roman"/>
          <w:sz w:val="18"/>
          <w:szCs w:val="18"/>
        </w:rPr>
        <w:t>Abbreviation:</w:t>
      </w:r>
      <w:r>
        <w:rPr>
          <w:rFonts w:hint="eastAsia" w:ascii="Times New Roman" w:hAnsi="Times New Roman" w:cs="Times New Roman"/>
          <w:sz w:val="18"/>
          <w:szCs w:val="18"/>
        </w:rPr>
        <w:t xml:space="preserve"> IA, </w:t>
      </w:r>
      <w:r>
        <w:rPr>
          <w:rFonts w:ascii="Times New Roman" w:hAnsi="Times New Roman" w:cs="Times New Roman"/>
          <w:sz w:val="18"/>
          <w:szCs w:val="18"/>
        </w:rPr>
        <w:t>idarubicin</w:t>
      </w:r>
      <w:r>
        <w:rPr>
          <w:rFonts w:hint="eastAsia" w:ascii="Times New Roman" w:hAnsi="Times New Roman" w:cs="Times New Roman"/>
          <w:sz w:val="18"/>
          <w:szCs w:val="18"/>
        </w:rPr>
        <w:t xml:space="preserve"> + </w:t>
      </w:r>
      <w:r>
        <w:rPr>
          <w:rFonts w:ascii="Times New Roman" w:hAnsi="Times New Roman" w:cs="Times New Roman"/>
          <w:sz w:val="18"/>
          <w:szCs w:val="18"/>
        </w:rPr>
        <w:t>cytarabine</w:t>
      </w:r>
      <w:r>
        <w:rPr>
          <w:rFonts w:hint="eastAsia"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VEN-HMA</w:t>
      </w:r>
      <w:r>
        <w:rPr>
          <w:rFonts w:hint="eastAsia" w:ascii="Times New Roman" w:hAnsi="Times New Roman" w:cs="Times New Roman"/>
          <w:sz w:val="18"/>
          <w:szCs w:val="18"/>
        </w:rPr>
        <w:t>, v</w:t>
      </w:r>
      <w:r>
        <w:rPr>
          <w:rFonts w:ascii="Times New Roman" w:hAnsi="Times New Roman" w:cs="Times New Roman"/>
          <w:sz w:val="18"/>
          <w:szCs w:val="18"/>
        </w:rPr>
        <w:t>enetoclax combined with hypomethylating agent</w:t>
      </w:r>
      <w:r>
        <w:rPr>
          <w:rFonts w:hint="eastAsia" w:ascii="Times New Roman" w:hAnsi="Times New Roman" w:cs="Times New Roman"/>
          <w:sz w:val="18"/>
          <w:szCs w:val="18"/>
        </w:rPr>
        <w:t xml:space="preserve">; CRc, </w:t>
      </w:r>
      <w:r>
        <w:rPr>
          <w:rFonts w:ascii="Times New Roman" w:hAnsi="Times New Roman" w:cs="Times New Roman"/>
          <w:sz w:val="18"/>
          <w:szCs w:val="18"/>
        </w:rPr>
        <w:t>composite complete remission</w:t>
      </w:r>
      <w:r>
        <w:rPr>
          <w:rFonts w:hint="eastAsia" w:ascii="Times New Roman" w:hAnsi="Times New Roman" w:cs="Times New Roman"/>
          <w:sz w:val="18"/>
          <w:szCs w:val="18"/>
        </w:rPr>
        <w:t xml:space="preserve">; CRi, </w:t>
      </w:r>
      <w:r>
        <w:rPr>
          <w:rFonts w:ascii="Times New Roman" w:hAnsi="Times New Roman" w:cs="Times New Roman"/>
          <w:sz w:val="18"/>
          <w:szCs w:val="18"/>
        </w:rPr>
        <w:t>CR with incomplete hematological recovery</w:t>
      </w:r>
      <w:r>
        <w:rPr>
          <w:rFonts w:hint="eastAsia" w:ascii="Times New Roman" w:hAnsi="Times New Roman" w:cs="Times New Roman"/>
          <w:sz w:val="18"/>
          <w:szCs w:val="18"/>
        </w:rPr>
        <w:t xml:space="preserve">; MRD, </w:t>
      </w:r>
      <w:r>
        <w:rPr>
          <w:rFonts w:ascii="Times New Roman" w:hAnsi="Times New Roman" w:cs="Times New Roman"/>
          <w:sz w:val="18"/>
          <w:szCs w:val="18"/>
        </w:rPr>
        <w:t>measurable residual disease</w:t>
      </w:r>
      <w:r>
        <w:rPr>
          <w:rFonts w:hint="eastAsia" w:ascii="Times New Roman" w:hAnsi="Times New Roman" w:cs="Times New Roman"/>
          <w:sz w:val="18"/>
          <w:szCs w:val="18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EA5EC"/>
    <w:rsid w:val="007852B5"/>
    <w:rsid w:val="007D4EC7"/>
    <w:rsid w:val="00B358BC"/>
    <w:rsid w:val="00C42FAE"/>
    <w:rsid w:val="00CB1ABF"/>
    <w:rsid w:val="00E10C1A"/>
    <w:rsid w:val="00E632DB"/>
    <w:rsid w:val="00F1025F"/>
    <w:rsid w:val="7FFEA5EC"/>
    <w:rsid w:val="DDFF759E"/>
    <w:rsid w:val="FCFB9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624</Characters>
  <Lines>5</Lines>
  <Paragraphs>1</Paragraphs>
  <TotalTime>38</TotalTime>
  <ScaleCrop>false</ScaleCrop>
  <LinksUpToDate>false</LinksUpToDate>
  <CharactersWithSpaces>732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2026-02-13T07:14:00Z</dcterms:created>
  <dc:creator>王淋淋</dc:creator>
  <cp:lastModifiedBy>王淋淋</cp:lastModifiedBy>
  <dcterms:modified xsi:type="dcterms:W3CDTF">2026-02-15T23:07:07Z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AB2DDF7C1764C76DED7D8D69146C921C_41</vt:lpwstr>
  </property>
</Properties>
</file>