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rPr>
          <w:rFonts w:ascii="Times New Roman Bold" w:hAnsi="Times New Roman Bold" w:cs="Times New Roman Bold"/>
          <w:b/>
        </w:rPr>
      </w:pPr>
      <w:r>
        <w:rPr>
          <w:rFonts w:ascii="Times New Roman Bold" w:hAnsi="Times New Roman Bold" w:cs="Times New Roman Bold"/>
          <w:b/>
          <w:sz w:val="20"/>
          <w:szCs w:val="20"/>
        </w:rPr>
        <w:t xml:space="preserve">Table 1. Patient demographic and clinical characteristics.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560"/>
        <w:gridCol w:w="1699"/>
        <w:gridCol w:w="1561"/>
        <w:gridCol w:w="90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91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cohort</w:t>
            </w:r>
          </w:p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(n=79)</w:t>
            </w:r>
          </w:p>
        </w:tc>
        <w:tc>
          <w:tcPr>
            <w:tcW w:w="997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IA Group</w:t>
            </w:r>
          </w:p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 (n=45)</w:t>
            </w:r>
          </w:p>
        </w:tc>
        <w:tc>
          <w:tcPr>
            <w:tcW w:w="915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VEN-HMA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 (n=34)</w:t>
            </w:r>
          </w:p>
        </w:tc>
        <w:tc>
          <w:tcPr>
            <w:tcW w:w="529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tcBorders>
              <w:top w:val="single" w:color="auto" w:sz="4" w:space="0"/>
            </w:tcBorders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Male/Female</w:t>
            </w:r>
          </w:p>
        </w:tc>
        <w:tc>
          <w:tcPr>
            <w:tcW w:w="915" w:type="pct"/>
            <w:tcBorders>
              <w:top w:val="single" w:color="auto" w:sz="4" w:space="0"/>
            </w:tcBorders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38/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41</w:t>
            </w:r>
          </w:p>
        </w:tc>
        <w:tc>
          <w:tcPr>
            <w:tcW w:w="997" w:type="pct"/>
            <w:tcBorders>
              <w:top w:val="single" w:color="auto" w:sz="4" w:space="0"/>
            </w:tcBorders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17/2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8</w:t>
            </w:r>
          </w:p>
        </w:tc>
        <w:tc>
          <w:tcPr>
            <w:tcW w:w="915" w:type="pct"/>
            <w:tcBorders>
              <w:top w:val="single" w:color="auto" w:sz="4" w:space="0"/>
            </w:tcBorders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21/1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</w:t>
            </w:r>
          </w:p>
        </w:tc>
        <w:tc>
          <w:tcPr>
            <w:tcW w:w="529" w:type="pct"/>
            <w:tcBorders>
              <w:top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0.035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Median age (years)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 (19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 (19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 (22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4471" w:type="pct"/>
            <w:gridSpan w:val="4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ECOG performance status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0-1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 (65.8)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 (95.6)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(26.5)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 (34.2)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 (4.4)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 (73.5)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WBC (×10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/l)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86.8 (1.4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346.1)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84.6 (10.5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346.1)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86.8 (1.4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212.9)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HB (g/l)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 (53–139)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 (56–134)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 (53–139)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PLT (×10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/l)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 (10–448)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51.5 (19–448)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 (10–341)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 blast (%)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 (14.8–94)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 (29–92)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 (14.8–94)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4471" w:type="pct"/>
            <w:gridSpan w:val="4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Patients with gene mutations detected in pretreatment sample, n (%)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FLT3-TKD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K/NRAS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PTPN11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6.5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TET2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WT1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(13.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(11.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615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IDH2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8.9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0.2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standardContextual"/>
              </w:rPr>
              <w:t>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IDH1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 Bold" w:hAnsi="Times New Roman Bold" w:eastAsia="宋体" w:cs="Times New Roman Bold"/>
                <w:b/>
                <w:bCs/>
                <w:sz w:val="20"/>
                <w:szCs w:val="20"/>
              </w:rPr>
              <w:t>Early death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20"/>
                <w:szCs w:val="20"/>
                <w:lang w:val="en-US" w:eastAsia="zh-CN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 (5.1)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 (4.4)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 (5.9)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Allo</w:t>
            </w:r>
            <w:r>
              <w:rPr>
                <w:rFonts w:hint="eastAsia" w:ascii="Times New Roman Bold" w:hAnsi="Times New Roman Bold" w:cs="Times New Roman Bold"/>
                <w:b/>
                <w:bCs/>
                <w:sz w:val="20"/>
                <w:szCs w:val="20"/>
              </w:rPr>
              <w:t>-HSCT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47/75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(62.7)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28/43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(65.1)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19/32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(59.4)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0.134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20"/>
                <w:szCs w:val="20"/>
              </w:rPr>
              <w:t>Disease stage pre-SCT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97" w:type="pct"/>
            <w:noWrap/>
          </w:tcPr>
          <w:p>
            <w:pPr>
              <w:spacing w:line="276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15" w:type="pct"/>
            <w:noWrap/>
          </w:tcPr>
          <w:p>
            <w:pPr>
              <w:spacing w:line="276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0.367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CRi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26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76" w:lineRule="auto"/>
              <w:ind w:firstLine="200" w:firstLineChars="100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Relapse/refractory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21</w:t>
            </w:r>
          </w:p>
        </w:tc>
        <w:tc>
          <w:tcPr>
            <w:tcW w:w="997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915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529" w:type="pct"/>
            <w:noWrap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val="de-CH" w:eastAsia="en-US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1643" w:type="pct"/>
            <w:noWrap/>
          </w:tcPr>
          <w:p>
            <w:pPr>
              <w:spacing w:line="240" w:lineRule="auto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  <w:t>FLT3 inhibitors using after induction therapy</w:t>
            </w:r>
            <w:r>
              <w:rPr>
                <w:rFonts w:ascii="AdvOTfe809cc4 + 20" w:hAnsi="AdvOTfe809cc4 + 20" w:eastAsia="AdvOTfe809cc4 + 20" w:cs="AdvOTfe809cc4 + 20"/>
                <w:color w:val="00000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†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915" w:type="pct"/>
            <w:noWrap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12/75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(16.0)</w:t>
            </w:r>
          </w:p>
        </w:tc>
        <w:tc>
          <w:tcPr>
            <w:tcW w:w="997" w:type="pct"/>
            <w:noWrap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  <w:t>6/43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(14.0)</w:t>
            </w:r>
          </w:p>
        </w:tc>
        <w:tc>
          <w:tcPr>
            <w:tcW w:w="915" w:type="pct"/>
            <w:noWrap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standardContextual"/>
              </w:rPr>
              <w:t>6/32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(18.8)</w:t>
            </w:r>
          </w:p>
        </w:tc>
        <w:tc>
          <w:tcPr>
            <w:tcW w:w="529" w:type="pct"/>
            <w:noWrap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 w:eastAsiaTheme="minorHAnsi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  <w14:ligatures w14:val="standardContextual"/>
              </w:rPr>
              <w:t>0.575</w:t>
            </w:r>
          </w:p>
        </w:tc>
      </w:tr>
    </w:tbl>
    <w:p>
      <w:pPr>
        <w:spacing w:line="276" w:lineRule="auto"/>
        <w:rPr>
          <w:rFonts w:hint="eastAsia"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Abbreviation:</w:t>
      </w:r>
      <w:r>
        <w:rPr>
          <w:rFonts w:hint="eastAsia" w:ascii="Times New Roman" w:hAnsi="Times New Roman" w:cs="Times New Roman"/>
          <w:sz w:val="18"/>
          <w:szCs w:val="18"/>
        </w:rPr>
        <w:t xml:space="preserve"> IA, </w:t>
      </w:r>
      <w:r>
        <w:rPr>
          <w:rFonts w:ascii="Times New Roman" w:hAnsi="Times New Roman" w:cs="Times New Roman"/>
          <w:sz w:val="18"/>
          <w:szCs w:val="18"/>
        </w:rPr>
        <w:t>idarubicin</w:t>
      </w:r>
      <w:r>
        <w:rPr>
          <w:rFonts w:hint="eastAsia" w:ascii="Times New Roman" w:hAnsi="Times New Roman" w:cs="Times New Roman"/>
          <w:sz w:val="18"/>
          <w:szCs w:val="18"/>
        </w:rPr>
        <w:t xml:space="preserve"> + </w:t>
      </w:r>
      <w:r>
        <w:rPr>
          <w:rFonts w:ascii="Times New Roman" w:hAnsi="Times New Roman" w:cs="Times New Roman"/>
          <w:sz w:val="18"/>
          <w:szCs w:val="18"/>
        </w:rPr>
        <w:t>cytarabine</w:t>
      </w:r>
      <w:r>
        <w:rPr>
          <w:rFonts w:hint="eastAsia" w:ascii="Times New Roman" w:hAnsi="Times New Roman" w:cs="Times New Roman"/>
          <w:sz w:val="18"/>
          <w:szCs w:val="18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>VEN-HMA</w:t>
      </w:r>
      <w:r>
        <w:rPr>
          <w:rFonts w:hint="eastAsia" w:ascii="Times New Roman" w:hAnsi="Times New Roman" w:cs="Times New Roman"/>
          <w:sz w:val="18"/>
          <w:szCs w:val="18"/>
        </w:rPr>
        <w:t>, v</w:t>
      </w:r>
      <w:r>
        <w:rPr>
          <w:rFonts w:ascii="Times New Roman" w:hAnsi="Times New Roman" w:cs="Times New Roman"/>
          <w:sz w:val="18"/>
          <w:szCs w:val="18"/>
        </w:rPr>
        <w:t>enetoclax combined with hypomethylating agent</w:t>
      </w:r>
      <w:r>
        <w:rPr>
          <w:rFonts w:hint="eastAsia" w:ascii="Times New Roman" w:hAnsi="Times New Roman" w:cs="Times New Roman"/>
          <w:sz w:val="18"/>
          <w:szCs w:val="18"/>
        </w:rPr>
        <w:t xml:space="preserve">; ECOG, </w:t>
      </w:r>
      <w:r>
        <w:rPr>
          <w:rFonts w:ascii="Times New Roman" w:hAnsi="Times New Roman" w:cs="Times New Roman"/>
          <w:sz w:val="18"/>
          <w:szCs w:val="18"/>
        </w:rPr>
        <w:t>Eastern Cooperative Oncology Group</w:t>
      </w:r>
      <w:r>
        <w:rPr>
          <w:rFonts w:hint="eastAsia" w:ascii="Times New Roman" w:hAnsi="Times New Roman" w:cs="Times New Roman"/>
          <w:sz w:val="18"/>
          <w:szCs w:val="18"/>
        </w:rPr>
        <w:t xml:space="preserve">; WBC, </w:t>
      </w:r>
      <w:r>
        <w:rPr>
          <w:rFonts w:ascii="Times New Roman" w:hAnsi="Times New Roman" w:cs="Times New Roman"/>
          <w:sz w:val="18"/>
          <w:szCs w:val="18"/>
        </w:rPr>
        <w:t>white blood cell</w:t>
      </w:r>
      <w:r>
        <w:rPr>
          <w:rFonts w:hint="eastAsia" w:ascii="Times New Roman" w:hAnsi="Times New Roman" w:cs="Times New Roman"/>
          <w:sz w:val="18"/>
          <w:szCs w:val="18"/>
        </w:rPr>
        <w:t xml:space="preserve">; HB, </w:t>
      </w:r>
      <w:r>
        <w:rPr>
          <w:rFonts w:ascii="Times New Roman" w:hAnsi="Times New Roman" w:cs="Times New Roman"/>
          <w:sz w:val="18"/>
          <w:szCs w:val="18"/>
        </w:rPr>
        <w:t>hemoglobin</w:t>
      </w:r>
      <w:r>
        <w:rPr>
          <w:rFonts w:hint="eastAsia" w:ascii="Times New Roman" w:hAnsi="Times New Roman" w:cs="Times New Roman"/>
          <w:sz w:val="18"/>
          <w:szCs w:val="18"/>
        </w:rPr>
        <w:t xml:space="preserve">; PLT, </w:t>
      </w:r>
      <w:r>
        <w:rPr>
          <w:rFonts w:ascii="Times New Roman" w:hAnsi="Times New Roman" w:cs="Times New Roman"/>
          <w:sz w:val="18"/>
          <w:szCs w:val="18"/>
        </w:rPr>
        <w:t>platelet</w:t>
      </w:r>
      <w:r>
        <w:rPr>
          <w:rFonts w:hint="eastAsia" w:ascii="Times New Roman" w:hAnsi="Times New Roman" w:cs="Times New Roman"/>
          <w:sz w:val="18"/>
          <w:szCs w:val="18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>BM</w:t>
      </w:r>
      <w:r>
        <w:rPr>
          <w:rFonts w:hint="eastAsia"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bone marrow;</w:t>
      </w:r>
      <w:r>
        <w:rPr>
          <w:rFonts w:hint="eastAsia" w:ascii="Times New Roman" w:hAnsi="Times New Roman" w:cs="Times New Roman"/>
          <w:sz w:val="18"/>
          <w:szCs w:val="18"/>
        </w:rPr>
        <w:t xml:space="preserve"> allo-</w:t>
      </w:r>
      <w:r>
        <w:rPr>
          <w:rFonts w:ascii="Times New Roman" w:hAnsi="Times New Roman" w:cs="Times New Roman"/>
          <w:sz w:val="18"/>
          <w:szCs w:val="18"/>
        </w:rPr>
        <w:t>HSCT</w:t>
      </w:r>
      <w:r>
        <w:rPr>
          <w:rFonts w:hint="eastAsia"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allogeneic hematopoietic stem cell transplantation</w:t>
      </w:r>
      <w:r>
        <w:rPr>
          <w:rFonts w:hint="eastAsia" w:ascii="Times New Roman" w:hAnsi="Times New Roman" w:cs="Times New Roman"/>
          <w:sz w:val="18"/>
          <w:szCs w:val="18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>CR, complete remission</w:t>
      </w:r>
      <w:r>
        <w:rPr>
          <w:rFonts w:hint="eastAsia" w:ascii="Times New Roman" w:hAnsi="Times New Roman" w:cs="Times New Roman"/>
          <w:sz w:val="18"/>
          <w:szCs w:val="18"/>
        </w:rPr>
        <w:t xml:space="preserve">, CRi, </w:t>
      </w:r>
      <w:r>
        <w:rPr>
          <w:rFonts w:ascii="Times New Roman" w:hAnsi="Times New Roman" w:cs="Times New Roman"/>
          <w:sz w:val="18"/>
          <w:szCs w:val="18"/>
        </w:rPr>
        <w:t>CR with incomplete hematological recovery</w:t>
      </w:r>
      <w:r>
        <w:rPr>
          <w:rFonts w:hint="eastAsia" w:ascii="Times New Roman" w:hAnsi="Times New Roman" w:cs="Times New Roman"/>
          <w:sz w:val="18"/>
          <w:szCs w:val="18"/>
        </w:rPr>
        <w:t>.</w:t>
      </w:r>
    </w:p>
    <w:p>
      <w:pPr>
        <w:widowControl/>
        <w:numPr>
          <w:ilvl w:val="-1"/>
          <w:numId w:val="0"/>
        </w:numPr>
        <w:spacing w:line="240" w:lineRule="auto"/>
        <w:jc w:val="both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*</w:t>
      </w: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en-US" w:eastAsia="zh-CN"/>
        </w:rPr>
        <w:t>T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/>
        </w:rPr>
        <w:t>he causes of early death in the 4 patients were</w:t>
      </w:r>
      <w:r>
        <w:rPr>
          <w:rFonts w:hint="eastAsia" w:ascii="Times New Roman Regular" w:hAnsi="Times New Roman Regular" w:cs="Times New Roman Regular"/>
          <w:color w:val="auto"/>
          <w:sz w:val="20"/>
          <w:szCs w:val="20"/>
          <w:lang w:val="en-US" w:eastAsia="zh-CN"/>
        </w:rPr>
        <w:t xml:space="preserve"> cerebral hemorrhage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 w:eastAsia="zh-CN"/>
        </w:rPr>
        <w:t xml:space="preserve"> (2 patients), pneumorrhagia</w:t>
      </w:r>
      <w:r>
        <w:rPr>
          <w:rFonts w:hint="eastAsia" w:ascii="Times New Roman Regular" w:hAnsi="Times New Roman Regular" w:cs="Times New Roman Regular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 w:eastAsia="zh-CN"/>
        </w:rPr>
        <w:t>(1 patient) and</w:t>
      </w:r>
      <w:r>
        <w:rPr>
          <w:rFonts w:hint="eastAsia" w:ascii="Times New Roman Regular" w:hAnsi="Times New Roman Regular" w:cs="Times New Roman Regular"/>
          <w:color w:val="auto"/>
          <w:sz w:val="20"/>
          <w:szCs w:val="20"/>
          <w:lang w:val="en-US" w:eastAsia="zh-CN"/>
        </w:rPr>
        <w:t xml:space="preserve"> gastrointestinal bleeding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 w:eastAsia="zh-CN"/>
        </w:rPr>
        <w:t xml:space="preserve"> (1 patient).</w:t>
      </w:r>
    </w:p>
    <w:p>
      <w:pPr>
        <w:widowControl/>
        <w:spacing w:line="240" w:lineRule="auto"/>
        <w:rPr>
          <w:rFonts w:hint="default" w:ascii="Times New Roman Regular" w:hAnsi="Times New Roman Regular" w:eastAsia="宋体" w:cs="Times New Roman Regular"/>
          <w:b/>
          <w:bCs/>
          <w:color w:val="000000"/>
          <w:kern w:val="0"/>
          <w:sz w:val="20"/>
          <w:szCs w:val="20"/>
          <w:lang w:bidi="ar"/>
        </w:rPr>
      </w:pPr>
      <w:r>
        <w:rPr>
          <w:rFonts w:ascii="Times New Roman Regular" w:hAnsi="Times New Roman Regular" w:eastAsia="AdvOTfe809cc4 + 20" w:cs="Times New Roman Regular"/>
          <w:color w:val="000000"/>
          <w:kern w:val="0"/>
          <w:sz w:val="20"/>
          <w:szCs w:val="20"/>
          <w:lang w:val="en-US" w:eastAsia="zh-CN" w:bidi="ar"/>
          <w14:ligatures w14:val="standardContextual"/>
        </w:rPr>
        <w:t>†</w:t>
      </w:r>
      <w:r>
        <w:rPr>
          <w:rFonts w:hint="default" w:ascii="Times New Roman Regular" w:hAnsi="Times New Roman Regular" w:eastAsia="AdvOTfe809cc4 + 20" w:cs="Times New Roman Regular"/>
          <w:color w:val="000000"/>
          <w:kern w:val="0"/>
          <w:sz w:val="20"/>
          <w:szCs w:val="20"/>
          <w:lang w:val="en-US" w:eastAsia="zh-CN" w:bidi="ar"/>
          <w14:ligatures w14:val="standardContextual"/>
        </w:rPr>
        <w:t xml:space="preserve"> </w:t>
      </w:r>
      <w:r>
        <w:rPr>
          <w:rFonts w:ascii="Times New Roman Regular" w:hAnsi="Times New Roman Regular" w:cs="Times New Roman Regular"/>
          <w:color w:val="auto"/>
          <w:sz w:val="20"/>
          <w:szCs w:val="20"/>
        </w:rPr>
        <w:t>A total of 12 patients received FLT3 inhibitors after induction. Among them, 9 received them after failing to achieve remission following first induction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/>
        </w:rPr>
        <w:t>,</w:t>
      </w:r>
      <w:r>
        <w:rPr>
          <w:rFonts w:ascii="Times New Roman Regular" w:hAnsi="Times New Roman Regular" w:cs="Times New Roman Regular"/>
          <w:color w:val="auto"/>
          <w:sz w:val="20"/>
          <w:szCs w:val="20"/>
        </w:rPr>
        <w:t xml:space="preserve"> 1 received FLT3 inhibitors during consolidation to attain molecular remission before transplantation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/>
        </w:rPr>
        <w:t xml:space="preserve">, </w:t>
      </w:r>
      <w:r>
        <w:rPr>
          <w:rFonts w:ascii="Times New Roman Regular" w:hAnsi="Times New Roman Regular" w:cs="Times New Roman Regular"/>
          <w:color w:val="auto"/>
          <w:sz w:val="20"/>
          <w:szCs w:val="20"/>
        </w:rPr>
        <w:t>and 2 received them at relapse.</w:t>
      </w:r>
    </w:p>
    <w:p>
      <w:pPr>
        <w:spacing w:line="276" w:lineRule="auto"/>
        <w:rPr>
          <w:rFonts w:hint="eastAsia" w:ascii="Times New Roman" w:hAnsi="Times New Roman" w:cs="Times New Roman"/>
          <w:sz w:val="18"/>
          <w:szCs w:val="1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dvOTfe809cc4 + 2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BFFE0A9"/>
    <w:rsid w:val="000E56C9"/>
    <w:rsid w:val="00124600"/>
    <w:rsid w:val="001A1928"/>
    <w:rsid w:val="001F0257"/>
    <w:rsid w:val="002B4A00"/>
    <w:rsid w:val="002D0DCA"/>
    <w:rsid w:val="003A0F2A"/>
    <w:rsid w:val="00540CDE"/>
    <w:rsid w:val="005C095E"/>
    <w:rsid w:val="00666033"/>
    <w:rsid w:val="006B2136"/>
    <w:rsid w:val="00810BB0"/>
    <w:rsid w:val="008238B2"/>
    <w:rsid w:val="00A5443E"/>
    <w:rsid w:val="00BD1AE8"/>
    <w:rsid w:val="00CB1ABF"/>
    <w:rsid w:val="00D84DE7"/>
    <w:rsid w:val="ABFFE0A9"/>
    <w:rsid w:val="D57E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1339</Characters>
  <Lines>11</Lines>
  <Paragraphs>3</Paragraphs>
  <TotalTime>0</TotalTime>
  <ScaleCrop>false</ScaleCrop>
  <LinksUpToDate>false</LinksUpToDate>
  <CharactersWithSpaces>1570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2026-02-12T22:50:00Z</dcterms:created>
  <dc:creator>王淋淋</dc:creator>
  <cp:lastModifiedBy>王淋淋</cp:lastModifiedBy>
  <dcterms:modified xsi:type="dcterms:W3CDTF">2026-04-13T12:53:23Z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90819A9EDEF3DC4E31788D69894E5244_41</vt:lpwstr>
  </property>
</Properties>
</file>