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AD8010">
      <w:pPr>
        <w:jc w:val="left"/>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Supplementary Material</w:t>
      </w:r>
    </w:p>
    <w:p w14:paraId="782D0FFE">
      <w:pPr>
        <w:numPr>
          <w:ilvl w:val="0"/>
          <w:numId w:val="0"/>
        </w:numPr>
        <w:jc w:val="both"/>
        <w:outlineLvl w:val="9"/>
        <w:rPr>
          <w:rFonts w:hint="default" w:ascii="Times New Roman" w:hAnsi="Times New Roman" w:cs="Times New Roman"/>
          <w:b/>
          <w:bCs/>
          <w:color w:val="auto"/>
          <w:sz w:val="21"/>
          <w:szCs w:val="21"/>
          <w:highlight w:val="none"/>
        </w:rPr>
      </w:pPr>
    </w:p>
    <w:p w14:paraId="6BBDED77">
      <w:pPr>
        <w:jc w:val="left"/>
        <w:rPr>
          <w:rFonts w:hint="eastAsia" w:ascii="Times New Roman" w:hAnsi="Times New Roman" w:cs="Times New Roman"/>
          <w:b/>
          <w:color w:val="auto"/>
          <w:sz w:val="24"/>
          <w:szCs w:val="24"/>
          <w:highlight w:val="none"/>
          <w:lang w:val="en-US" w:eastAsia="zh-CN"/>
        </w:rPr>
      </w:pPr>
      <w:r>
        <w:rPr>
          <w:rFonts w:hint="default" w:ascii="Times New Roman" w:hAnsi="Times New Roman" w:cs="Times New Roman"/>
          <w:b/>
          <w:color w:val="auto"/>
          <w:sz w:val="24"/>
          <w:szCs w:val="24"/>
          <w:highlight w:val="none"/>
        </w:rPr>
        <w:t xml:space="preserve">Supplementary </w:t>
      </w:r>
      <w:r>
        <w:rPr>
          <w:rFonts w:hint="eastAsia" w:ascii="Times New Roman" w:hAnsi="Times New Roman" w:cs="Times New Roman"/>
          <w:b/>
          <w:color w:val="auto"/>
          <w:sz w:val="24"/>
          <w:szCs w:val="24"/>
          <w:highlight w:val="none"/>
          <w:lang w:val="en-US" w:eastAsia="zh-CN"/>
        </w:rPr>
        <w:t>Tables</w:t>
      </w:r>
    </w:p>
    <w:p w14:paraId="31ED421F">
      <w:pPr>
        <w:jc w:val="left"/>
        <w:rPr>
          <w:rFonts w:hint="eastAsia" w:ascii="Times New Roman" w:hAnsi="Times New Roman" w:cs="Times New Roman"/>
          <w:b/>
          <w:color w:val="auto"/>
          <w:sz w:val="24"/>
          <w:szCs w:val="24"/>
          <w:highlight w:val="none"/>
          <w:lang w:val="en-US" w:eastAsia="zh-CN"/>
        </w:rPr>
      </w:pPr>
    </w:p>
    <w:p w14:paraId="040EE07A">
      <w:pPr>
        <w:jc w:val="left"/>
        <w:rPr>
          <w:rFonts w:hint="default" w:ascii="Times New Roman" w:hAnsi="Times New Roman" w:cs="Times New Roman"/>
          <w:b/>
          <w:color w:val="auto"/>
          <w:sz w:val="24"/>
          <w:szCs w:val="24"/>
          <w:highlight w:val="none"/>
          <w:lang w:val="en-US" w:eastAsia="zh-CN"/>
        </w:rPr>
      </w:pPr>
    </w:p>
    <w:p w14:paraId="410314A2">
      <w:pPr>
        <w:outlineLvl w:val="2"/>
        <w:rPr>
          <w:rFonts w:hint="default" w:ascii="Times New Roman" w:hAnsi="Times New Roman" w:eastAsia="宋体" w:cs="Times New Roman"/>
          <w:b/>
          <w:bCs/>
          <w:color w:val="auto"/>
          <w:sz w:val="21"/>
          <w:szCs w:val="21"/>
          <w:highlight w:val="none"/>
          <w:lang w:eastAsia="zh-CN"/>
        </w:rPr>
      </w:pPr>
      <w:r>
        <w:rPr>
          <w:rFonts w:hint="default" w:ascii="Times New Roman" w:hAnsi="Times New Roman" w:cs="Times New Roman"/>
          <w:b/>
          <w:bCs/>
          <w:color w:val="auto"/>
          <w:sz w:val="21"/>
          <w:szCs w:val="21"/>
          <w:highlight w:val="none"/>
        </w:rPr>
        <w:t xml:space="preserve">Supplementary </w:t>
      </w:r>
      <w:r>
        <w:rPr>
          <w:rFonts w:hint="default" w:ascii="Times New Roman" w:hAnsi="Times New Roman" w:eastAsia="宋体" w:cs="Times New Roman"/>
          <w:b/>
          <w:bCs/>
          <w:color w:val="auto"/>
          <w:sz w:val="21"/>
          <w:szCs w:val="21"/>
          <w:highlight w:val="none"/>
        </w:rPr>
        <w:t xml:space="preserve">Table </w:t>
      </w:r>
      <w:r>
        <w:rPr>
          <w:rFonts w:hint="default" w:ascii="Times New Roman" w:hAnsi="Times New Roman" w:eastAsia="宋体" w:cs="Times New Roman"/>
          <w:b/>
          <w:bCs/>
          <w:color w:val="auto"/>
          <w:sz w:val="21"/>
          <w:szCs w:val="21"/>
          <w:highlight w:val="none"/>
          <w:lang w:val="en-US" w:eastAsia="zh-CN"/>
        </w:rPr>
        <w:t>1</w:t>
      </w:r>
      <w:r>
        <w:rPr>
          <w:rFonts w:hint="default" w:ascii="Times New Roman" w:hAnsi="Times New Roman" w:eastAsia="宋体" w:cs="Times New Roman"/>
          <w:b/>
          <w:bCs/>
          <w:color w:val="auto"/>
          <w:sz w:val="21"/>
          <w:szCs w:val="21"/>
          <w:highlight w:val="none"/>
        </w:rPr>
        <w:t xml:space="preserve"> Comparison of associations of five composite indices with incident CMM in CHARLS and ELSA</w:t>
      </w:r>
    </w:p>
    <w:tbl>
      <w:tblPr>
        <w:tblStyle w:val="4"/>
        <w:tblW w:w="10906" w:type="dxa"/>
        <w:jc w:val="center"/>
        <w:tblLayout w:type="fixed"/>
        <w:tblCellMar>
          <w:top w:w="0" w:type="dxa"/>
          <w:left w:w="108" w:type="dxa"/>
          <w:bottom w:w="0" w:type="dxa"/>
          <w:right w:w="108" w:type="dxa"/>
        </w:tblCellMar>
      </w:tblPr>
      <w:tblGrid>
        <w:gridCol w:w="1218"/>
        <w:gridCol w:w="1221"/>
        <w:gridCol w:w="1333"/>
        <w:gridCol w:w="1241"/>
        <w:gridCol w:w="913"/>
        <w:gridCol w:w="1231"/>
        <w:gridCol w:w="1353"/>
        <w:gridCol w:w="1375"/>
        <w:gridCol w:w="1021"/>
      </w:tblGrid>
      <w:tr w14:paraId="770480F4">
        <w:tblPrEx>
          <w:tblCellMar>
            <w:top w:w="0" w:type="dxa"/>
            <w:left w:w="108" w:type="dxa"/>
            <w:bottom w:w="0" w:type="dxa"/>
            <w:right w:w="108" w:type="dxa"/>
          </w:tblCellMar>
        </w:tblPrEx>
        <w:trPr>
          <w:tblHeader/>
          <w:jc w:val="center"/>
        </w:trPr>
        <w:tc>
          <w:tcPr>
            <w:tcW w:w="1218" w:type="dxa"/>
            <w:vMerge w:val="restart"/>
            <w:tcBorders>
              <w:top w:val="single" w:color="auto" w:sz="12" w:space="0"/>
              <w:left w:val="nil"/>
              <w:bottom w:val="nil"/>
              <w:right w:val="nil"/>
            </w:tcBorders>
            <w:tcMar>
              <w:top w:w="-1" w:type="dxa"/>
              <w:left w:w="-1" w:type="dxa"/>
              <w:bottom w:w="-1" w:type="dxa"/>
              <w:right w:w="-1" w:type="dxa"/>
            </w:tcMar>
            <w:vAlign w:val="center"/>
          </w:tcPr>
          <w:p w14:paraId="56684AC6">
            <w:pPr>
              <w:widowControl/>
              <w:snapToGrid w:val="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kern w:val="0"/>
                <w:sz w:val="21"/>
                <w:szCs w:val="21"/>
                <w:highlight w:val="none"/>
                <w:lang w:bidi="ar"/>
              </w:rPr>
              <w:t>Indicator</w:t>
            </w:r>
          </w:p>
        </w:tc>
        <w:tc>
          <w:tcPr>
            <w:tcW w:w="4708" w:type="dxa"/>
            <w:gridSpan w:val="4"/>
            <w:tcBorders>
              <w:top w:val="single" w:color="auto" w:sz="12" w:space="0"/>
              <w:left w:val="nil"/>
              <w:bottom w:val="single" w:color="auto" w:sz="4" w:space="0"/>
              <w:right w:val="nil"/>
            </w:tcBorders>
            <w:tcMar>
              <w:top w:w="-1" w:type="dxa"/>
              <w:left w:w="-1" w:type="dxa"/>
              <w:bottom w:w="-1" w:type="dxa"/>
              <w:right w:w="-1" w:type="dxa"/>
            </w:tcMar>
            <w:vAlign w:val="center"/>
          </w:tcPr>
          <w:p w14:paraId="7A09775A">
            <w:pPr>
              <w:widowControl/>
              <w:snapToGrid w:val="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kern w:val="0"/>
                <w:sz w:val="21"/>
                <w:szCs w:val="21"/>
                <w:highlight w:val="none"/>
                <w:lang w:bidi="ar"/>
              </w:rPr>
              <w:t>CHARLS</w:t>
            </w:r>
          </w:p>
        </w:tc>
        <w:tc>
          <w:tcPr>
            <w:tcW w:w="4980" w:type="dxa"/>
            <w:gridSpan w:val="4"/>
            <w:tcBorders>
              <w:top w:val="single" w:color="auto" w:sz="12" w:space="0"/>
              <w:left w:val="nil"/>
              <w:bottom w:val="single" w:color="auto" w:sz="4" w:space="0"/>
              <w:right w:val="nil"/>
            </w:tcBorders>
            <w:tcMar>
              <w:top w:w="-1" w:type="dxa"/>
              <w:left w:w="-1" w:type="dxa"/>
              <w:bottom w:w="-1" w:type="dxa"/>
              <w:right w:w="-1" w:type="dxa"/>
            </w:tcMar>
            <w:vAlign w:val="center"/>
          </w:tcPr>
          <w:p w14:paraId="5834A756">
            <w:pPr>
              <w:widowControl/>
              <w:snapToGrid w:val="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kern w:val="0"/>
                <w:sz w:val="21"/>
                <w:szCs w:val="21"/>
                <w:highlight w:val="none"/>
                <w:lang w:bidi="ar"/>
              </w:rPr>
              <w:t>ELSA</w:t>
            </w:r>
          </w:p>
        </w:tc>
      </w:tr>
      <w:tr w14:paraId="4CE99381">
        <w:tblPrEx>
          <w:tblCellMar>
            <w:top w:w="0" w:type="dxa"/>
            <w:left w:w="108" w:type="dxa"/>
            <w:bottom w:w="0" w:type="dxa"/>
            <w:right w:w="108" w:type="dxa"/>
          </w:tblCellMar>
        </w:tblPrEx>
        <w:trPr>
          <w:tblHeader/>
          <w:jc w:val="center"/>
        </w:trPr>
        <w:tc>
          <w:tcPr>
            <w:tcW w:w="1218" w:type="dxa"/>
            <w:vMerge w:val="continue"/>
            <w:tcBorders>
              <w:top w:val="nil"/>
              <w:left w:val="nil"/>
              <w:bottom w:val="nil"/>
              <w:right w:val="nil"/>
            </w:tcBorders>
            <w:tcMar>
              <w:top w:w="-1" w:type="dxa"/>
              <w:left w:w="-1" w:type="dxa"/>
              <w:bottom w:w="-1" w:type="dxa"/>
              <w:right w:w="-1" w:type="dxa"/>
            </w:tcMar>
            <w:vAlign w:val="center"/>
          </w:tcPr>
          <w:p w14:paraId="02D4145E">
            <w:pPr>
              <w:snapToGrid w:val="0"/>
              <w:jc w:val="center"/>
              <w:rPr>
                <w:rFonts w:hint="default" w:ascii="Times New Roman" w:hAnsi="Times New Roman" w:eastAsia="宋体" w:cs="Times New Roman"/>
                <w:b/>
                <w:bCs/>
                <w:color w:val="auto"/>
                <w:sz w:val="21"/>
                <w:szCs w:val="21"/>
                <w:highlight w:val="none"/>
              </w:rPr>
            </w:pPr>
          </w:p>
        </w:tc>
        <w:tc>
          <w:tcPr>
            <w:tcW w:w="1221" w:type="dxa"/>
            <w:tcBorders>
              <w:top w:val="single" w:color="auto" w:sz="4" w:space="0"/>
              <w:left w:val="nil"/>
              <w:bottom w:val="nil"/>
              <w:right w:val="nil"/>
            </w:tcBorders>
            <w:tcMar>
              <w:top w:w="-1" w:type="dxa"/>
              <w:left w:w="-1" w:type="dxa"/>
              <w:bottom w:w="-1" w:type="dxa"/>
              <w:right w:w="-1" w:type="dxa"/>
            </w:tcMar>
            <w:vAlign w:val="center"/>
          </w:tcPr>
          <w:p w14:paraId="1D1E1A37">
            <w:pPr>
              <w:widowControl/>
              <w:snapToGrid w:val="0"/>
              <w:jc w:val="center"/>
              <w:textAlignment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kern w:val="0"/>
                <w:sz w:val="21"/>
                <w:szCs w:val="21"/>
                <w:highlight w:val="none"/>
                <w:lang w:bidi="ar"/>
              </w:rPr>
              <w:t>Q2 vs Q1</w:t>
            </w:r>
          </w:p>
        </w:tc>
        <w:tc>
          <w:tcPr>
            <w:tcW w:w="1333" w:type="dxa"/>
            <w:tcBorders>
              <w:top w:val="single" w:color="auto" w:sz="4" w:space="0"/>
              <w:left w:val="nil"/>
              <w:bottom w:val="nil"/>
              <w:right w:val="nil"/>
            </w:tcBorders>
            <w:tcMar>
              <w:top w:w="-1" w:type="dxa"/>
              <w:left w:w="-1" w:type="dxa"/>
              <w:bottom w:w="-1" w:type="dxa"/>
              <w:right w:w="-1" w:type="dxa"/>
            </w:tcMar>
            <w:vAlign w:val="center"/>
          </w:tcPr>
          <w:p w14:paraId="26E06F13">
            <w:pPr>
              <w:widowControl/>
              <w:snapToGrid w:val="0"/>
              <w:jc w:val="center"/>
              <w:textAlignment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kern w:val="0"/>
                <w:sz w:val="21"/>
                <w:szCs w:val="21"/>
                <w:highlight w:val="none"/>
                <w:lang w:bidi="ar"/>
              </w:rPr>
              <w:t>Q3 vs Q1</w:t>
            </w:r>
          </w:p>
        </w:tc>
        <w:tc>
          <w:tcPr>
            <w:tcW w:w="1241" w:type="dxa"/>
            <w:tcBorders>
              <w:top w:val="single" w:color="auto" w:sz="4" w:space="0"/>
              <w:left w:val="nil"/>
              <w:bottom w:val="nil"/>
              <w:right w:val="nil"/>
            </w:tcBorders>
            <w:tcMar>
              <w:top w:w="-1" w:type="dxa"/>
              <w:left w:w="-1" w:type="dxa"/>
              <w:bottom w:w="-1" w:type="dxa"/>
              <w:right w:w="-1" w:type="dxa"/>
            </w:tcMar>
            <w:vAlign w:val="center"/>
          </w:tcPr>
          <w:p w14:paraId="0B11F423">
            <w:pPr>
              <w:widowControl/>
              <w:snapToGrid w:val="0"/>
              <w:jc w:val="center"/>
              <w:textAlignment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kern w:val="0"/>
                <w:sz w:val="21"/>
                <w:szCs w:val="21"/>
                <w:highlight w:val="none"/>
                <w:lang w:bidi="ar"/>
              </w:rPr>
              <w:t>Q4 vs Q1</w:t>
            </w:r>
          </w:p>
        </w:tc>
        <w:tc>
          <w:tcPr>
            <w:tcW w:w="913" w:type="dxa"/>
            <w:tcBorders>
              <w:top w:val="single" w:color="auto" w:sz="4" w:space="0"/>
              <w:left w:val="nil"/>
              <w:bottom w:val="nil"/>
              <w:right w:val="nil"/>
            </w:tcBorders>
            <w:tcMar>
              <w:top w:w="-1" w:type="dxa"/>
              <w:left w:w="-1" w:type="dxa"/>
              <w:bottom w:w="-1" w:type="dxa"/>
              <w:right w:w="-1" w:type="dxa"/>
            </w:tcMar>
            <w:vAlign w:val="center"/>
          </w:tcPr>
          <w:p w14:paraId="4ACF9A16">
            <w:pPr>
              <w:widowControl/>
              <w:snapToGrid w:val="0"/>
              <w:jc w:val="center"/>
              <w:textAlignment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kern w:val="0"/>
                <w:sz w:val="21"/>
                <w:szCs w:val="21"/>
                <w:highlight w:val="none"/>
                <w:lang w:bidi="ar"/>
              </w:rPr>
              <w:t>P for trend</w:t>
            </w:r>
          </w:p>
        </w:tc>
        <w:tc>
          <w:tcPr>
            <w:tcW w:w="1231" w:type="dxa"/>
            <w:tcBorders>
              <w:top w:val="single" w:color="auto" w:sz="4" w:space="0"/>
              <w:left w:val="nil"/>
              <w:bottom w:val="nil"/>
              <w:right w:val="nil"/>
            </w:tcBorders>
            <w:tcMar>
              <w:top w:w="-1" w:type="dxa"/>
              <w:left w:w="-1" w:type="dxa"/>
              <w:bottom w:w="-1" w:type="dxa"/>
              <w:right w:w="-1" w:type="dxa"/>
            </w:tcMar>
            <w:vAlign w:val="center"/>
          </w:tcPr>
          <w:p w14:paraId="195720C0">
            <w:pPr>
              <w:widowControl/>
              <w:snapToGrid w:val="0"/>
              <w:jc w:val="center"/>
              <w:textAlignment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kern w:val="0"/>
                <w:sz w:val="21"/>
                <w:szCs w:val="21"/>
                <w:highlight w:val="none"/>
                <w:lang w:bidi="ar"/>
              </w:rPr>
              <w:t>Q2 vs Q1</w:t>
            </w:r>
          </w:p>
        </w:tc>
        <w:tc>
          <w:tcPr>
            <w:tcW w:w="1353" w:type="dxa"/>
            <w:tcBorders>
              <w:top w:val="single" w:color="auto" w:sz="4" w:space="0"/>
              <w:left w:val="nil"/>
              <w:bottom w:val="nil"/>
              <w:right w:val="nil"/>
            </w:tcBorders>
            <w:tcMar>
              <w:top w:w="-1" w:type="dxa"/>
              <w:left w:w="-1" w:type="dxa"/>
              <w:bottom w:w="-1" w:type="dxa"/>
              <w:right w:w="-1" w:type="dxa"/>
            </w:tcMar>
            <w:vAlign w:val="center"/>
          </w:tcPr>
          <w:p w14:paraId="3E9028A9">
            <w:pPr>
              <w:widowControl/>
              <w:snapToGrid w:val="0"/>
              <w:jc w:val="center"/>
              <w:textAlignment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kern w:val="0"/>
                <w:sz w:val="21"/>
                <w:szCs w:val="21"/>
                <w:highlight w:val="none"/>
                <w:lang w:bidi="ar"/>
              </w:rPr>
              <w:t>Q3 vs Q1</w:t>
            </w:r>
          </w:p>
        </w:tc>
        <w:tc>
          <w:tcPr>
            <w:tcW w:w="1375" w:type="dxa"/>
            <w:tcBorders>
              <w:top w:val="single" w:color="auto" w:sz="4" w:space="0"/>
              <w:left w:val="nil"/>
              <w:bottom w:val="nil"/>
              <w:right w:val="nil"/>
            </w:tcBorders>
            <w:tcMar>
              <w:top w:w="-1" w:type="dxa"/>
              <w:left w:w="-1" w:type="dxa"/>
              <w:bottom w:w="-1" w:type="dxa"/>
              <w:right w:w="-1" w:type="dxa"/>
            </w:tcMar>
            <w:vAlign w:val="center"/>
          </w:tcPr>
          <w:p w14:paraId="3B74BD1A">
            <w:pPr>
              <w:widowControl/>
              <w:snapToGrid w:val="0"/>
              <w:jc w:val="center"/>
              <w:textAlignment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kern w:val="0"/>
                <w:sz w:val="21"/>
                <w:szCs w:val="21"/>
                <w:highlight w:val="none"/>
                <w:lang w:bidi="ar"/>
              </w:rPr>
              <w:t>Q4 vs Q1</w:t>
            </w:r>
          </w:p>
        </w:tc>
        <w:tc>
          <w:tcPr>
            <w:tcW w:w="1021" w:type="dxa"/>
            <w:tcBorders>
              <w:top w:val="single" w:color="auto" w:sz="4" w:space="0"/>
              <w:left w:val="nil"/>
              <w:bottom w:val="nil"/>
              <w:right w:val="nil"/>
            </w:tcBorders>
            <w:tcMar>
              <w:top w:w="-1" w:type="dxa"/>
              <w:left w:w="-1" w:type="dxa"/>
              <w:bottom w:w="-1" w:type="dxa"/>
              <w:right w:w="-1" w:type="dxa"/>
            </w:tcMar>
            <w:vAlign w:val="center"/>
          </w:tcPr>
          <w:p w14:paraId="088762E5">
            <w:pPr>
              <w:widowControl/>
              <w:snapToGrid w:val="0"/>
              <w:jc w:val="center"/>
              <w:textAlignment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kern w:val="0"/>
                <w:sz w:val="21"/>
                <w:szCs w:val="21"/>
                <w:highlight w:val="none"/>
                <w:lang w:bidi="ar"/>
              </w:rPr>
              <w:t>P for trend</w:t>
            </w:r>
          </w:p>
        </w:tc>
      </w:tr>
      <w:tr w14:paraId="4BB6E20F">
        <w:tblPrEx>
          <w:tblCellMar>
            <w:top w:w="0" w:type="dxa"/>
            <w:left w:w="108" w:type="dxa"/>
            <w:bottom w:w="0" w:type="dxa"/>
            <w:right w:w="108" w:type="dxa"/>
          </w:tblCellMar>
        </w:tblPrEx>
        <w:trPr>
          <w:jc w:val="center"/>
        </w:trPr>
        <w:tc>
          <w:tcPr>
            <w:tcW w:w="1218" w:type="dxa"/>
            <w:tcBorders>
              <w:top w:val="single" w:color="auto" w:sz="4" w:space="0"/>
              <w:left w:val="nil"/>
              <w:bottom w:val="nil"/>
              <w:right w:val="nil"/>
            </w:tcBorders>
            <w:tcMar>
              <w:top w:w="-1" w:type="dxa"/>
              <w:left w:w="-1" w:type="dxa"/>
              <w:bottom w:w="-1" w:type="dxa"/>
              <w:right w:w="-1" w:type="dxa"/>
            </w:tcMar>
            <w:vAlign w:val="center"/>
          </w:tcPr>
          <w:p w14:paraId="37CC8B10">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TyG-WHtR</w:t>
            </w:r>
          </w:p>
        </w:tc>
        <w:tc>
          <w:tcPr>
            <w:tcW w:w="1221" w:type="dxa"/>
            <w:tcBorders>
              <w:top w:val="single" w:color="000000" w:sz="4" w:space="0"/>
              <w:left w:val="nil"/>
              <w:bottom w:val="nil"/>
              <w:right w:val="nil"/>
            </w:tcBorders>
            <w:tcMar>
              <w:top w:w="-1" w:type="dxa"/>
              <w:left w:w="-1" w:type="dxa"/>
              <w:bottom w:w="-1" w:type="dxa"/>
              <w:right w:w="-1" w:type="dxa"/>
            </w:tcMar>
            <w:vAlign w:val="center"/>
          </w:tcPr>
          <w:p w14:paraId="3CFFBE6D">
            <w:pPr>
              <w:widowControl/>
              <w:snapToGrid w:val="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1.30 (1.09–1.57)</w:t>
            </w:r>
          </w:p>
        </w:tc>
        <w:tc>
          <w:tcPr>
            <w:tcW w:w="1333" w:type="dxa"/>
            <w:tcBorders>
              <w:top w:val="single" w:color="000000" w:sz="4" w:space="0"/>
              <w:left w:val="nil"/>
              <w:bottom w:val="nil"/>
              <w:right w:val="nil"/>
            </w:tcBorders>
            <w:tcMar>
              <w:top w:w="-1" w:type="dxa"/>
              <w:left w:w="-1" w:type="dxa"/>
              <w:bottom w:w="-1" w:type="dxa"/>
              <w:right w:w="-1" w:type="dxa"/>
            </w:tcMar>
            <w:vAlign w:val="center"/>
          </w:tcPr>
          <w:p w14:paraId="3A393EBA">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1.84 (1.54–2.18)</w:t>
            </w:r>
          </w:p>
        </w:tc>
        <w:tc>
          <w:tcPr>
            <w:tcW w:w="1241" w:type="dxa"/>
            <w:tcBorders>
              <w:top w:val="single" w:color="000000" w:sz="4" w:space="0"/>
              <w:left w:val="nil"/>
              <w:bottom w:val="nil"/>
              <w:right w:val="nil"/>
            </w:tcBorders>
            <w:tcMar>
              <w:top w:w="-1" w:type="dxa"/>
              <w:left w:w="-1" w:type="dxa"/>
              <w:bottom w:w="-1" w:type="dxa"/>
              <w:right w:w="-1" w:type="dxa"/>
            </w:tcMar>
            <w:vAlign w:val="center"/>
          </w:tcPr>
          <w:p w14:paraId="41284B53">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3.18 (2.70–3.74)</w:t>
            </w:r>
          </w:p>
        </w:tc>
        <w:tc>
          <w:tcPr>
            <w:tcW w:w="913" w:type="dxa"/>
            <w:tcBorders>
              <w:top w:val="single" w:color="000000" w:sz="4" w:space="0"/>
              <w:left w:val="nil"/>
              <w:bottom w:val="nil"/>
              <w:right w:val="nil"/>
            </w:tcBorders>
            <w:tcMar>
              <w:top w:w="-1" w:type="dxa"/>
              <w:left w:w="-1" w:type="dxa"/>
              <w:bottom w:w="-1" w:type="dxa"/>
              <w:right w:w="-1" w:type="dxa"/>
            </w:tcMar>
            <w:vAlign w:val="center"/>
          </w:tcPr>
          <w:p w14:paraId="41DE7C41">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&lt;0.001</w:t>
            </w:r>
          </w:p>
        </w:tc>
        <w:tc>
          <w:tcPr>
            <w:tcW w:w="1231" w:type="dxa"/>
            <w:tcBorders>
              <w:top w:val="single" w:color="000000" w:sz="4" w:space="0"/>
              <w:left w:val="nil"/>
              <w:bottom w:val="nil"/>
              <w:right w:val="nil"/>
            </w:tcBorders>
            <w:tcMar>
              <w:top w:w="-1" w:type="dxa"/>
              <w:left w:w="-1" w:type="dxa"/>
              <w:bottom w:w="-1" w:type="dxa"/>
              <w:right w:w="-1" w:type="dxa"/>
            </w:tcMar>
            <w:vAlign w:val="center"/>
          </w:tcPr>
          <w:p w14:paraId="0F519FEF">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1.03 (0.78–1.36)</w:t>
            </w:r>
          </w:p>
        </w:tc>
        <w:tc>
          <w:tcPr>
            <w:tcW w:w="1353" w:type="dxa"/>
            <w:tcBorders>
              <w:top w:val="single" w:color="000000" w:sz="4" w:space="0"/>
              <w:left w:val="nil"/>
              <w:bottom w:val="nil"/>
              <w:right w:val="nil"/>
            </w:tcBorders>
            <w:tcMar>
              <w:top w:w="-1" w:type="dxa"/>
              <w:left w:w="-1" w:type="dxa"/>
              <w:bottom w:w="-1" w:type="dxa"/>
              <w:right w:w="-1" w:type="dxa"/>
            </w:tcMar>
            <w:vAlign w:val="center"/>
          </w:tcPr>
          <w:p w14:paraId="497150E4">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1.18 (0.89–1.55)</w:t>
            </w:r>
          </w:p>
        </w:tc>
        <w:tc>
          <w:tcPr>
            <w:tcW w:w="1375" w:type="dxa"/>
            <w:tcBorders>
              <w:top w:val="single" w:color="000000" w:sz="4" w:space="0"/>
              <w:left w:val="nil"/>
              <w:bottom w:val="nil"/>
              <w:right w:val="nil"/>
            </w:tcBorders>
            <w:tcMar>
              <w:top w:w="-1" w:type="dxa"/>
              <w:left w:w="-1" w:type="dxa"/>
              <w:bottom w:w="-1" w:type="dxa"/>
              <w:right w:w="-1" w:type="dxa"/>
            </w:tcMar>
            <w:vAlign w:val="center"/>
          </w:tcPr>
          <w:p w14:paraId="1B391618">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1.49 (1.14–1.95)</w:t>
            </w:r>
          </w:p>
        </w:tc>
        <w:tc>
          <w:tcPr>
            <w:tcW w:w="1021" w:type="dxa"/>
            <w:tcBorders>
              <w:top w:val="single" w:color="000000" w:sz="4" w:space="0"/>
              <w:left w:val="nil"/>
              <w:bottom w:val="nil"/>
              <w:right w:val="nil"/>
            </w:tcBorders>
            <w:tcMar>
              <w:top w:w="-1" w:type="dxa"/>
              <w:left w:w="-1" w:type="dxa"/>
              <w:bottom w:w="-1" w:type="dxa"/>
              <w:right w:w="-1" w:type="dxa"/>
            </w:tcMar>
            <w:vAlign w:val="center"/>
          </w:tcPr>
          <w:p w14:paraId="78115355">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0.001</w:t>
            </w:r>
          </w:p>
        </w:tc>
      </w:tr>
      <w:tr w14:paraId="58D2C36E">
        <w:tblPrEx>
          <w:tblCellMar>
            <w:top w:w="0" w:type="dxa"/>
            <w:left w:w="108" w:type="dxa"/>
            <w:bottom w:w="0" w:type="dxa"/>
            <w:right w:w="108" w:type="dxa"/>
          </w:tblCellMar>
        </w:tblPrEx>
        <w:trPr>
          <w:jc w:val="center"/>
        </w:trPr>
        <w:tc>
          <w:tcPr>
            <w:tcW w:w="1218" w:type="dxa"/>
            <w:tcBorders>
              <w:top w:val="nil"/>
              <w:left w:val="nil"/>
              <w:bottom w:val="nil"/>
              <w:right w:val="nil"/>
            </w:tcBorders>
            <w:tcMar>
              <w:top w:w="-1" w:type="dxa"/>
              <w:left w:w="-1" w:type="dxa"/>
              <w:bottom w:w="-1" w:type="dxa"/>
              <w:right w:w="-1" w:type="dxa"/>
            </w:tcMar>
            <w:vAlign w:val="center"/>
          </w:tcPr>
          <w:p w14:paraId="420B2ECB">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TyG-BRI</w:t>
            </w:r>
          </w:p>
        </w:tc>
        <w:tc>
          <w:tcPr>
            <w:tcW w:w="1221" w:type="dxa"/>
            <w:tcBorders>
              <w:top w:val="nil"/>
              <w:left w:val="nil"/>
              <w:bottom w:val="nil"/>
              <w:right w:val="nil"/>
            </w:tcBorders>
            <w:tcMar>
              <w:top w:w="-1" w:type="dxa"/>
              <w:left w:w="-1" w:type="dxa"/>
              <w:bottom w:w="-1" w:type="dxa"/>
              <w:right w:w="-1" w:type="dxa"/>
            </w:tcMar>
            <w:vAlign w:val="center"/>
          </w:tcPr>
          <w:p w14:paraId="420EF750">
            <w:pPr>
              <w:widowControl/>
              <w:snapToGrid w:val="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1.34 (1.12–1.61)</w:t>
            </w:r>
          </w:p>
        </w:tc>
        <w:tc>
          <w:tcPr>
            <w:tcW w:w="1333" w:type="dxa"/>
            <w:tcBorders>
              <w:top w:val="nil"/>
              <w:left w:val="nil"/>
              <w:bottom w:val="nil"/>
              <w:right w:val="nil"/>
            </w:tcBorders>
            <w:tcMar>
              <w:top w:w="-1" w:type="dxa"/>
              <w:left w:w="-1" w:type="dxa"/>
              <w:bottom w:w="-1" w:type="dxa"/>
              <w:right w:w="-1" w:type="dxa"/>
            </w:tcMar>
            <w:vAlign w:val="center"/>
          </w:tcPr>
          <w:p w14:paraId="5332A289">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1.78 (1.49–2.11)</w:t>
            </w:r>
          </w:p>
        </w:tc>
        <w:tc>
          <w:tcPr>
            <w:tcW w:w="1241" w:type="dxa"/>
            <w:tcBorders>
              <w:top w:val="nil"/>
              <w:left w:val="nil"/>
              <w:bottom w:val="nil"/>
              <w:right w:val="nil"/>
            </w:tcBorders>
            <w:tcMar>
              <w:top w:w="-1" w:type="dxa"/>
              <w:left w:w="-1" w:type="dxa"/>
              <w:bottom w:w="-1" w:type="dxa"/>
              <w:right w:w="-1" w:type="dxa"/>
            </w:tcMar>
            <w:vAlign w:val="center"/>
          </w:tcPr>
          <w:p w14:paraId="58923FE1">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3.06 (2.60–3.61)</w:t>
            </w:r>
          </w:p>
        </w:tc>
        <w:tc>
          <w:tcPr>
            <w:tcW w:w="913" w:type="dxa"/>
            <w:tcBorders>
              <w:top w:val="nil"/>
              <w:left w:val="nil"/>
              <w:bottom w:val="nil"/>
              <w:right w:val="nil"/>
            </w:tcBorders>
            <w:tcMar>
              <w:top w:w="-1" w:type="dxa"/>
              <w:left w:w="-1" w:type="dxa"/>
              <w:bottom w:w="-1" w:type="dxa"/>
              <w:right w:w="-1" w:type="dxa"/>
            </w:tcMar>
            <w:vAlign w:val="center"/>
          </w:tcPr>
          <w:p w14:paraId="7DA979F8">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&lt;0.001</w:t>
            </w:r>
          </w:p>
        </w:tc>
        <w:tc>
          <w:tcPr>
            <w:tcW w:w="1231" w:type="dxa"/>
            <w:tcBorders>
              <w:top w:val="nil"/>
              <w:left w:val="nil"/>
              <w:bottom w:val="nil"/>
              <w:right w:val="nil"/>
            </w:tcBorders>
            <w:tcMar>
              <w:top w:w="-1" w:type="dxa"/>
              <w:left w:w="-1" w:type="dxa"/>
              <w:bottom w:w="-1" w:type="dxa"/>
              <w:right w:w="-1" w:type="dxa"/>
            </w:tcMar>
            <w:vAlign w:val="center"/>
          </w:tcPr>
          <w:p w14:paraId="69B91A20">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1.05 (0.79–1.39)</w:t>
            </w:r>
          </w:p>
        </w:tc>
        <w:tc>
          <w:tcPr>
            <w:tcW w:w="1353" w:type="dxa"/>
            <w:tcBorders>
              <w:top w:val="nil"/>
              <w:left w:val="nil"/>
              <w:bottom w:val="nil"/>
              <w:right w:val="nil"/>
            </w:tcBorders>
            <w:tcMar>
              <w:top w:w="-1" w:type="dxa"/>
              <w:left w:w="-1" w:type="dxa"/>
              <w:bottom w:w="-1" w:type="dxa"/>
              <w:right w:w="-1" w:type="dxa"/>
            </w:tcMar>
            <w:vAlign w:val="center"/>
          </w:tcPr>
          <w:p w14:paraId="7D2C215A">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1.19 (0.91–1.57)</w:t>
            </w:r>
          </w:p>
        </w:tc>
        <w:tc>
          <w:tcPr>
            <w:tcW w:w="1375" w:type="dxa"/>
            <w:tcBorders>
              <w:top w:val="nil"/>
              <w:left w:val="nil"/>
              <w:bottom w:val="nil"/>
              <w:right w:val="nil"/>
            </w:tcBorders>
            <w:tcMar>
              <w:top w:w="-1" w:type="dxa"/>
              <w:left w:w="-1" w:type="dxa"/>
              <w:bottom w:w="-1" w:type="dxa"/>
              <w:right w:w="-1" w:type="dxa"/>
            </w:tcMar>
            <w:vAlign w:val="center"/>
          </w:tcPr>
          <w:p w14:paraId="210870D5">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1.42 (1.08–1.86)</w:t>
            </w:r>
          </w:p>
        </w:tc>
        <w:tc>
          <w:tcPr>
            <w:tcW w:w="1021" w:type="dxa"/>
            <w:tcBorders>
              <w:top w:val="nil"/>
              <w:left w:val="nil"/>
              <w:bottom w:val="nil"/>
              <w:right w:val="nil"/>
            </w:tcBorders>
            <w:tcMar>
              <w:top w:w="-1" w:type="dxa"/>
              <w:left w:w="-1" w:type="dxa"/>
              <w:bottom w:w="-1" w:type="dxa"/>
              <w:right w:w="-1" w:type="dxa"/>
            </w:tcMar>
            <w:vAlign w:val="center"/>
          </w:tcPr>
          <w:p w14:paraId="5BDD6E06">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0.006</w:t>
            </w:r>
          </w:p>
        </w:tc>
      </w:tr>
      <w:tr w14:paraId="5CBBADCD">
        <w:tblPrEx>
          <w:tblCellMar>
            <w:top w:w="0" w:type="dxa"/>
            <w:left w:w="108" w:type="dxa"/>
            <w:bottom w:w="0" w:type="dxa"/>
            <w:right w:w="108" w:type="dxa"/>
          </w:tblCellMar>
        </w:tblPrEx>
        <w:trPr>
          <w:jc w:val="center"/>
        </w:trPr>
        <w:tc>
          <w:tcPr>
            <w:tcW w:w="1218" w:type="dxa"/>
            <w:tcBorders>
              <w:top w:val="nil"/>
              <w:left w:val="nil"/>
              <w:bottom w:val="nil"/>
              <w:right w:val="nil"/>
            </w:tcBorders>
            <w:tcMar>
              <w:top w:w="-1" w:type="dxa"/>
              <w:left w:w="-1" w:type="dxa"/>
              <w:bottom w:w="-1" w:type="dxa"/>
              <w:right w:w="-1" w:type="dxa"/>
            </w:tcMar>
            <w:vAlign w:val="center"/>
          </w:tcPr>
          <w:p w14:paraId="28A03857">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AIP-WHtR</w:t>
            </w:r>
          </w:p>
        </w:tc>
        <w:tc>
          <w:tcPr>
            <w:tcW w:w="1221" w:type="dxa"/>
            <w:tcBorders>
              <w:top w:val="nil"/>
              <w:left w:val="nil"/>
              <w:bottom w:val="nil"/>
              <w:right w:val="nil"/>
            </w:tcBorders>
            <w:tcMar>
              <w:top w:w="-1" w:type="dxa"/>
              <w:left w:w="-1" w:type="dxa"/>
              <w:bottom w:w="-1" w:type="dxa"/>
              <w:right w:w="-1" w:type="dxa"/>
            </w:tcMar>
            <w:vAlign w:val="center"/>
          </w:tcPr>
          <w:p w14:paraId="259E323B">
            <w:pPr>
              <w:widowControl/>
              <w:snapToGrid w:val="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1.04 (0.88–1.23)</w:t>
            </w:r>
          </w:p>
        </w:tc>
        <w:tc>
          <w:tcPr>
            <w:tcW w:w="1333" w:type="dxa"/>
            <w:tcBorders>
              <w:top w:val="nil"/>
              <w:left w:val="nil"/>
              <w:bottom w:val="nil"/>
              <w:right w:val="nil"/>
            </w:tcBorders>
            <w:tcMar>
              <w:top w:w="-1" w:type="dxa"/>
              <w:left w:w="-1" w:type="dxa"/>
              <w:bottom w:w="-1" w:type="dxa"/>
              <w:right w:w="-1" w:type="dxa"/>
            </w:tcMar>
            <w:vAlign w:val="center"/>
          </w:tcPr>
          <w:p w14:paraId="40F9C5FE">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1.47 (1.26–1.72)</w:t>
            </w:r>
          </w:p>
        </w:tc>
        <w:tc>
          <w:tcPr>
            <w:tcW w:w="1241" w:type="dxa"/>
            <w:tcBorders>
              <w:top w:val="nil"/>
              <w:left w:val="nil"/>
              <w:bottom w:val="nil"/>
              <w:right w:val="nil"/>
            </w:tcBorders>
            <w:tcMar>
              <w:top w:w="-1" w:type="dxa"/>
              <w:left w:w="-1" w:type="dxa"/>
              <w:bottom w:w="-1" w:type="dxa"/>
              <w:right w:w="-1" w:type="dxa"/>
            </w:tcMar>
            <w:vAlign w:val="center"/>
          </w:tcPr>
          <w:p w14:paraId="492D82D4">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2.10 (1.81–2.44)</w:t>
            </w:r>
          </w:p>
        </w:tc>
        <w:tc>
          <w:tcPr>
            <w:tcW w:w="913" w:type="dxa"/>
            <w:tcBorders>
              <w:top w:val="nil"/>
              <w:left w:val="nil"/>
              <w:bottom w:val="nil"/>
              <w:right w:val="nil"/>
            </w:tcBorders>
            <w:tcMar>
              <w:top w:w="-1" w:type="dxa"/>
              <w:left w:w="-1" w:type="dxa"/>
              <w:bottom w:w="-1" w:type="dxa"/>
              <w:right w:w="-1" w:type="dxa"/>
            </w:tcMar>
            <w:vAlign w:val="center"/>
          </w:tcPr>
          <w:p w14:paraId="7200EBE2">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&lt;0.001</w:t>
            </w:r>
          </w:p>
        </w:tc>
        <w:tc>
          <w:tcPr>
            <w:tcW w:w="1231" w:type="dxa"/>
            <w:tcBorders>
              <w:top w:val="nil"/>
              <w:left w:val="nil"/>
              <w:bottom w:val="nil"/>
              <w:right w:val="nil"/>
            </w:tcBorders>
            <w:tcMar>
              <w:top w:w="-1" w:type="dxa"/>
              <w:left w:w="-1" w:type="dxa"/>
              <w:bottom w:w="-1" w:type="dxa"/>
              <w:right w:w="-1" w:type="dxa"/>
            </w:tcMar>
            <w:vAlign w:val="center"/>
          </w:tcPr>
          <w:p w14:paraId="28663A62">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1.11 (0.85–1.45)</w:t>
            </w:r>
          </w:p>
        </w:tc>
        <w:tc>
          <w:tcPr>
            <w:tcW w:w="1353" w:type="dxa"/>
            <w:tcBorders>
              <w:top w:val="nil"/>
              <w:left w:val="nil"/>
              <w:bottom w:val="nil"/>
              <w:right w:val="nil"/>
            </w:tcBorders>
            <w:tcMar>
              <w:top w:w="-1" w:type="dxa"/>
              <w:left w:w="-1" w:type="dxa"/>
              <w:bottom w:w="-1" w:type="dxa"/>
              <w:right w:w="-1" w:type="dxa"/>
            </w:tcMar>
            <w:vAlign w:val="center"/>
          </w:tcPr>
          <w:p w14:paraId="74DA900C">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1.16 (0.89–1.52)</w:t>
            </w:r>
          </w:p>
        </w:tc>
        <w:tc>
          <w:tcPr>
            <w:tcW w:w="1375" w:type="dxa"/>
            <w:tcBorders>
              <w:top w:val="nil"/>
              <w:left w:val="nil"/>
              <w:bottom w:val="nil"/>
              <w:right w:val="nil"/>
            </w:tcBorders>
            <w:tcMar>
              <w:top w:w="-1" w:type="dxa"/>
              <w:left w:w="-1" w:type="dxa"/>
              <w:bottom w:w="-1" w:type="dxa"/>
              <w:right w:w="-1" w:type="dxa"/>
            </w:tcMar>
            <w:vAlign w:val="center"/>
          </w:tcPr>
          <w:p w14:paraId="7FD52360">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1.41 (1.08–1.84)</w:t>
            </w:r>
          </w:p>
        </w:tc>
        <w:tc>
          <w:tcPr>
            <w:tcW w:w="1021" w:type="dxa"/>
            <w:tcBorders>
              <w:top w:val="nil"/>
              <w:left w:val="nil"/>
              <w:bottom w:val="nil"/>
              <w:right w:val="nil"/>
            </w:tcBorders>
            <w:tcMar>
              <w:top w:w="-1" w:type="dxa"/>
              <w:left w:w="-1" w:type="dxa"/>
              <w:bottom w:w="-1" w:type="dxa"/>
              <w:right w:w="-1" w:type="dxa"/>
            </w:tcMar>
            <w:vAlign w:val="center"/>
          </w:tcPr>
          <w:p w14:paraId="2EBB265E">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0.012</w:t>
            </w:r>
          </w:p>
        </w:tc>
      </w:tr>
      <w:tr w14:paraId="794693A6">
        <w:tblPrEx>
          <w:tblCellMar>
            <w:top w:w="0" w:type="dxa"/>
            <w:left w:w="108" w:type="dxa"/>
            <w:bottom w:w="0" w:type="dxa"/>
            <w:right w:w="108" w:type="dxa"/>
          </w:tblCellMar>
        </w:tblPrEx>
        <w:trPr>
          <w:jc w:val="center"/>
        </w:trPr>
        <w:tc>
          <w:tcPr>
            <w:tcW w:w="1218" w:type="dxa"/>
            <w:tcBorders>
              <w:top w:val="nil"/>
              <w:left w:val="nil"/>
              <w:bottom w:val="nil"/>
              <w:right w:val="nil"/>
            </w:tcBorders>
            <w:tcMar>
              <w:top w:w="-1" w:type="dxa"/>
              <w:left w:w="-1" w:type="dxa"/>
              <w:bottom w:w="-1" w:type="dxa"/>
              <w:right w:w="-1" w:type="dxa"/>
            </w:tcMar>
            <w:vAlign w:val="center"/>
          </w:tcPr>
          <w:p w14:paraId="27078085">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AIP-BRI</w:t>
            </w:r>
          </w:p>
        </w:tc>
        <w:tc>
          <w:tcPr>
            <w:tcW w:w="1221" w:type="dxa"/>
            <w:tcBorders>
              <w:top w:val="nil"/>
              <w:left w:val="nil"/>
              <w:bottom w:val="nil"/>
              <w:right w:val="nil"/>
            </w:tcBorders>
            <w:tcMar>
              <w:top w:w="-1" w:type="dxa"/>
              <w:left w:w="-1" w:type="dxa"/>
              <w:bottom w:w="-1" w:type="dxa"/>
              <w:right w:w="-1" w:type="dxa"/>
            </w:tcMar>
            <w:vAlign w:val="center"/>
          </w:tcPr>
          <w:p w14:paraId="65DA2922">
            <w:pPr>
              <w:widowControl/>
              <w:snapToGrid w:val="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1.09 (0.92–1.30)</w:t>
            </w:r>
          </w:p>
        </w:tc>
        <w:tc>
          <w:tcPr>
            <w:tcW w:w="1333" w:type="dxa"/>
            <w:tcBorders>
              <w:top w:val="nil"/>
              <w:left w:val="nil"/>
              <w:bottom w:val="nil"/>
              <w:right w:val="nil"/>
            </w:tcBorders>
            <w:tcMar>
              <w:top w:w="-1" w:type="dxa"/>
              <w:left w:w="-1" w:type="dxa"/>
              <w:bottom w:w="-1" w:type="dxa"/>
              <w:right w:w="-1" w:type="dxa"/>
            </w:tcMar>
            <w:vAlign w:val="center"/>
          </w:tcPr>
          <w:p w14:paraId="7D68EDBE">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1.55 (1.32–1.81)</w:t>
            </w:r>
          </w:p>
        </w:tc>
        <w:tc>
          <w:tcPr>
            <w:tcW w:w="1241" w:type="dxa"/>
            <w:tcBorders>
              <w:top w:val="nil"/>
              <w:left w:val="nil"/>
              <w:bottom w:val="nil"/>
              <w:right w:val="nil"/>
            </w:tcBorders>
            <w:tcMar>
              <w:top w:w="-1" w:type="dxa"/>
              <w:left w:w="-1" w:type="dxa"/>
              <w:bottom w:w="-1" w:type="dxa"/>
              <w:right w:w="-1" w:type="dxa"/>
            </w:tcMar>
            <w:vAlign w:val="center"/>
          </w:tcPr>
          <w:p w14:paraId="3D757D8C">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2.35 (2.02–2.74)</w:t>
            </w:r>
          </w:p>
        </w:tc>
        <w:tc>
          <w:tcPr>
            <w:tcW w:w="913" w:type="dxa"/>
            <w:tcBorders>
              <w:top w:val="nil"/>
              <w:left w:val="nil"/>
              <w:bottom w:val="nil"/>
              <w:right w:val="nil"/>
            </w:tcBorders>
            <w:tcMar>
              <w:top w:w="-1" w:type="dxa"/>
              <w:left w:w="-1" w:type="dxa"/>
              <w:bottom w:w="-1" w:type="dxa"/>
              <w:right w:w="-1" w:type="dxa"/>
            </w:tcMar>
            <w:vAlign w:val="center"/>
          </w:tcPr>
          <w:p w14:paraId="5F5E3082">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&lt;0.001</w:t>
            </w:r>
          </w:p>
        </w:tc>
        <w:tc>
          <w:tcPr>
            <w:tcW w:w="1231" w:type="dxa"/>
            <w:tcBorders>
              <w:top w:val="nil"/>
              <w:left w:val="nil"/>
              <w:bottom w:val="nil"/>
              <w:right w:val="nil"/>
            </w:tcBorders>
            <w:tcMar>
              <w:top w:w="-1" w:type="dxa"/>
              <w:left w:w="-1" w:type="dxa"/>
              <w:bottom w:w="-1" w:type="dxa"/>
              <w:right w:w="-1" w:type="dxa"/>
            </w:tcMar>
            <w:vAlign w:val="center"/>
          </w:tcPr>
          <w:p w14:paraId="3B77E476">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0.94 (0.72–1.22)</w:t>
            </w:r>
          </w:p>
        </w:tc>
        <w:tc>
          <w:tcPr>
            <w:tcW w:w="1353" w:type="dxa"/>
            <w:tcBorders>
              <w:top w:val="nil"/>
              <w:left w:val="nil"/>
              <w:bottom w:val="nil"/>
              <w:right w:val="nil"/>
            </w:tcBorders>
            <w:tcMar>
              <w:top w:w="-1" w:type="dxa"/>
              <w:left w:w="-1" w:type="dxa"/>
              <w:bottom w:w="-1" w:type="dxa"/>
              <w:right w:w="-1" w:type="dxa"/>
            </w:tcMar>
            <w:vAlign w:val="center"/>
          </w:tcPr>
          <w:p w14:paraId="018458AA">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0.99 (0.76–1.30)</w:t>
            </w:r>
          </w:p>
        </w:tc>
        <w:tc>
          <w:tcPr>
            <w:tcW w:w="1375" w:type="dxa"/>
            <w:tcBorders>
              <w:top w:val="nil"/>
              <w:left w:val="nil"/>
              <w:bottom w:val="nil"/>
              <w:right w:val="nil"/>
            </w:tcBorders>
            <w:tcMar>
              <w:top w:w="-1" w:type="dxa"/>
              <w:left w:w="-1" w:type="dxa"/>
              <w:bottom w:w="-1" w:type="dxa"/>
              <w:right w:w="-1" w:type="dxa"/>
            </w:tcMar>
            <w:vAlign w:val="center"/>
          </w:tcPr>
          <w:p w14:paraId="4D4A2469">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1.25 (0.97–1.61)</w:t>
            </w:r>
          </w:p>
        </w:tc>
        <w:tc>
          <w:tcPr>
            <w:tcW w:w="1021" w:type="dxa"/>
            <w:tcBorders>
              <w:top w:val="nil"/>
              <w:left w:val="nil"/>
              <w:bottom w:val="nil"/>
              <w:right w:val="nil"/>
            </w:tcBorders>
            <w:tcMar>
              <w:top w:w="-1" w:type="dxa"/>
              <w:left w:w="-1" w:type="dxa"/>
              <w:bottom w:w="-1" w:type="dxa"/>
              <w:right w:w="-1" w:type="dxa"/>
            </w:tcMar>
            <w:vAlign w:val="center"/>
          </w:tcPr>
          <w:p w14:paraId="3063A1E5">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0.077</w:t>
            </w:r>
          </w:p>
        </w:tc>
      </w:tr>
      <w:tr w14:paraId="3309080B">
        <w:tblPrEx>
          <w:tblCellMar>
            <w:top w:w="0" w:type="dxa"/>
            <w:left w:w="108" w:type="dxa"/>
            <w:bottom w:w="0" w:type="dxa"/>
            <w:right w:w="108" w:type="dxa"/>
          </w:tblCellMar>
        </w:tblPrEx>
        <w:trPr>
          <w:jc w:val="center"/>
        </w:trPr>
        <w:tc>
          <w:tcPr>
            <w:tcW w:w="1218" w:type="dxa"/>
            <w:tcBorders>
              <w:top w:val="nil"/>
              <w:left w:val="nil"/>
              <w:bottom w:val="single" w:color="auto" w:sz="12" w:space="0"/>
              <w:right w:val="nil"/>
            </w:tcBorders>
            <w:tcMar>
              <w:top w:w="-1" w:type="dxa"/>
              <w:left w:w="-1" w:type="dxa"/>
              <w:bottom w:w="-1" w:type="dxa"/>
              <w:right w:w="-1" w:type="dxa"/>
            </w:tcMar>
            <w:vAlign w:val="center"/>
          </w:tcPr>
          <w:p w14:paraId="239B2FC2">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ICMRS</w:t>
            </w:r>
          </w:p>
        </w:tc>
        <w:tc>
          <w:tcPr>
            <w:tcW w:w="1221" w:type="dxa"/>
            <w:tcBorders>
              <w:top w:val="nil"/>
              <w:left w:val="nil"/>
              <w:bottom w:val="single" w:color="auto" w:sz="12" w:space="0"/>
              <w:right w:val="nil"/>
            </w:tcBorders>
            <w:tcMar>
              <w:top w:w="-1" w:type="dxa"/>
              <w:left w:w="-1" w:type="dxa"/>
              <w:bottom w:w="-1" w:type="dxa"/>
              <w:right w:w="-1" w:type="dxa"/>
            </w:tcMar>
            <w:vAlign w:val="center"/>
          </w:tcPr>
          <w:p w14:paraId="1383E10C">
            <w:pPr>
              <w:widowControl/>
              <w:snapToGrid w:val="0"/>
              <w:jc w:val="left"/>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1.20 (1.01–1.43)</w:t>
            </w:r>
          </w:p>
        </w:tc>
        <w:tc>
          <w:tcPr>
            <w:tcW w:w="1333" w:type="dxa"/>
            <w:tcBorders>
              <w:top w:val="nil"/>
              <w:left w:val="nil"/>
              <w:bottom w:val="single" w:color="auto" w:sz="12" w:space="0"/>
              <w:right w:val="nil"/>
            </w:tcBorders>
            <w:tcMar>
              <w:top w:w="-1" w:type="dxa"/>
              <w:left w:w="-1" w:type="dxa"/>
              <w:bottom w:w="-1" w:type="dxa"/>
              <w:right w:w="-1" w:type="dxa"/>
            </w:tcMar>
            <w:vAlign w:val="center"/>
          </w:tcPr>
          <w:p w14:paraId="455D4C58">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1.75 (1.48–2.06)</w:t>
            </w:r>
          </w:p>
        </w:tc>
        <w:tc>
          <w:tcPr>
            <w:tcW w:w="1241" w:type="dxa"/>
            <w:tcBorders>
              <w:top w:val="nil"/>
              <w:left w:val="nil"/>
              <w:bottom w:val="single" w:color="auto" w:sz="12" w:space="0"/>
              <w:right w:val="nil"/>
            </w:tcBorders>
            <w:tcMar>
              <w:top w:w="-1" w:type="dxa"/>
              <w:left w:w="-1" w:type="dxa"/>
              <w:bottom w:w="-1" w:type="dxa"/>
              <w:right w:w="-1" w:type="dxa"/>
            </w:tcMar>
            <w:vAlign w:val="center"/>
          </w:tcPr>
          <w:p w14:paraId="2746B4A5">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2.57 (2.20–3.00)</w:t>
            </w:r>
          </w:p>
        </w:tc>
        <w:tc>
          <w:tcPr>
            <w:tcW w:w="913" w:type="dxa"/>
            <w:tcBorders>
              <w:top w:val="nil"/>
              <w:left w:val="nil"/>
              <w:bottom w:val="single" w:color="auto" w:sz="12" w:space="0"/>
              <w:right w:val="nil"/>
            </w:tcBorders>
            <w:tcMar>
              <w:top w:w="-1" w:type="dxa"/>
              <w:left w:w="-1" w:type="dxa"/>
              <w:bottom w:w="-1" w:type="dxa"/>
              <w:right w:w="-1" w:type="dxa"/>
            </w:tcMar>
            <w:vAlign w:val="center"/>
          </w:tcPr>
          <w:p w14:paraId="5E8CEE43">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&lt;0.001</w:t>
            </w:r>
          </w:p>
        </w:tc>
        <w:tc>
          <w:tcPr>
            <w:tcW w:w="1231" w:type="dxa"/>
            <w:tcBorders>
              <w:top w:val="nil"/>
              <w:left w:val="nil"/>
              <w:bottom w:val="single" w:color="auto" w:sz="12" w:space="0"/>
              <w:right w:val="nil"/>
            </w:tcBorders>
            <w:tcMar>
              <w:top w:w="-1" w:type="dxa"/>
              <w:left w:w="-1" w:type="dxa"/>
              <w:bottom w:w="-1" w:type="dxa"/>
              <w:right w:w="-1" w:type="dxa"/>
            </w:tcMar>
            <w:vAlign w:val="center"/>
          </w:tcPr>
          <w:p w14:paraId="5F9D75C0">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0.97 (0.73–1.29)</w:t>
            </w:r>
          </w:p>
        </w:tc>
        <w:tc>
          <w:tcPr>
            <w:tcW w:w="1353" w:type="dxa"/>
            <w:tcBorders>
              <w:top w:val="nil"/>
              <w:left w:val="nil"/>
              <w:bottom w:val="single" w:color="auto" w:sz="12" w:space="0"/>
              <w:right w:val="nil"/>
            </w:tcBorders>
            <w:tcMar>
              <w:top w:w="-1" w:type="dxa"/>
              <w:left w:w="-1" w:type="dxa"/>
              <w:bottom w:w="-1" w:type="dxa"/>
              <w:right w:w="-1" w:type="dxa"/>
            </w:tcMar>
            <w:vAlign w:val="center"/>
          </w:tcPr>
          <w:p w14:paraId="36BB38CB">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1.33 (1.02–1.73)</w:t>
            </w:r>
          </w:p>
        </w:tc>
        <w:tc>
          <w:tcPr>
            <w:tcW w:w="1375" w:type="dxa"/>
            <w:tcBorders>
              <w:top w:val="nil"/>
              <w:left w:val="nil"/>
              <w:bottom w:val="single" w:color="auto" w:sz="12" w:space="0"/>
              <w:right w:val="nil"/>
            </w:tcBorders>
            <w:tcMar>
              <w:top w:w="-1" w:type="dxa"/>
              <w:left w:w="-1" w:type="dxa"/>
              <w:bottom w:w="-1" w:type="dxa"/>
              <w:right w:w="-1" w:type="dxa"/>
            </w:tcMar>
            <w:vAlign w:val="center"/>
          </w:tcPr>
          <w:p w14:paraId="477E88C1">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1.52 (1.17–1.98)</w:t>
            </w:r>
          </w:p>
        </w:tc>
        <w:tc>
          <w:tcPr>
            <w:tcW w:w="1021" w:type="dxa"/>
            <w:tcBorders>
              <w:top w:val="nil"/>
              <w:left w:val="nil"/>
              <w:bottom w:val="single" w:color="auto" w:sz="12" w:space="0"/>
              <w:right w:val="nil"/>
            </w:tcBorders>
            <w:tcMar>
              <w:top w:w="-1" w:type="dxa"/>
              <w:left w:w="-1" w:type="dxa"/>
              <w:bottom w:w="-1" w:type="dxa"/>
              <w:right w:w="-1" w:type="dxa"/>
            </w:tcMar>
            <w:vAlign w:val="center"/>
          </w:tcPr>
          <w:p w14:paraId="5C51391D">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&lt;0.001</w:t>
            </w:r>
          </w:p>
        </w:tc>
      </w:tr>
    </w:tbl>
    <w:p w14:paraId="7C866728">
      <w:pPr>
        <w:pStyle w:val="3"/>
        <w:widowControl/>
        <w:spacing w:beforeAutospacing="0" w:afterAutospacing="0" w:line="360" w:lineRule="auto"/>
        <w:rPr>
          <w:rFonts w:hint="default" w:ascii="Times New Roman" w:hAnsi="Times New Roman" w:eastAsia="宋体" w:cs="Times New Roman"/>
          <w:color w:val="auto"/>
          <w:sz w:val="21"/>
          <w:szCs w:val="21"/>
          <w:highlight w:val="none"/>
        </w:rPr>
      </w:pPr>
      <w:bookmarkStart w:id="0" w:name="_GoBack"/>
      <w:r>
        <w:rPr>
          <w:rFonts w:hint="default" w:ascii="Times New Roman" w:hAnsi="Times New Roman" w:eastAsia="宋体" w:cs="Times New Roman"/>
          <w:b/>
          <w:bCs/>
          <w:color w:val="auto"/>
          <w:sz w:val="21"/>
          <w:szCs w:val="21"/>
          <w:highlight w:val="none"/>
        </w:rPr>
        <w:t>Notes:</w:t>
      </w:r>
      <w:bookmarkEnd w:id="0"/>
      <w:r>
        <w:rPr>
          <w:rFonts w:hint="default" w:ascii="Times New Roman" w:hAnsi="Times New Roman" w:eastAsia="宋体" w:cs="Times New Roman"/>
          <w:color w:val="auto"/>
          <w:sz w:val="21"/>
          <w:szCs w:val="21"/>
          <w:highlight w:val="none"/>
        </w:rPr>
        <w:t xml:space="preserve"> Results are from fully adjusted Cox proportional hazards models (Model 3). Model 3 was adjusted for age, sex, education, marital status, smoking, drinking, hypertension, history of cancer, systolic blood pressure, diastolic blood pressure, total cholesterol, HDL-C, and LDL-C.</w:t>
      </w:r>
    </w:p>
    <w:p w14:paraId="6857A80B">
      <w:pP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br w:type="page"/>
      </w:r>
    </w:p>
    <w:p w14:paraId="686FE7E2">
      <w:pPr>
        <w:widowControl/>
        <w:ind w:left="363"/>
        <w:outlineLvl w:val="2"/>
        <w:rPr>
          <w:rFonts w:hint="default" w:ascii="Times New Roman" w:hAnsi="Times New Roman" w:eastAsia="宋体" w:cs="Times New Roman"/>
          <w:color w:val="auto"/>
          <w:sz w:val="21"/>
          <w:szCs w:val="21"/>
          <w:highlight w:val="none"/>
        </w:rPr>
      </w:pPr>
      <w:r>
        <w:rPr>
          <w:rFonts w:hint="default" w:ascii="Times New Roman" w:hAnsi="Times New Roman" w:cs="Times New Roman"/>
          <w:b/>
          <w:bCs/>
          <w:color w:val="auto"/>
          <w:sz w:val="21"/>
          <w:szCs w:val="21"/>
          <w:highlight w:val="none"/>
        </w:rPr>
        <w:t xml:space="preserve">Supplementary </w:t>
      </w:r>
      <w:r>
        <w:rPr>
          <w:rFonts w:hint="default" w:ascii="Times New Roman" w:hAnsi="Times New Roman" w:eastAsia="宋体" w:cs="Times New Roman"/>
          <w:b/>
          <w:bCs/>
          <w:color w:val="auto"/>
          <w:sz w:val="21"/>
          <w:szCs w:val="21"/>
          <w:highlight w:val="none"/>
        </w:rPr>
        <w:t xml:space="preserve">Table </w:t>
      </w:r>
      <w:r>
        <w:rPr>
          <w:rFonts w:hint="default" w:ascii="Times New Roman" w:hAnsi="Times New Roman" w:eastAsia="宋体" w:cs="Times New Roman"/>
          <w:b/>
          <w:bCs/>
          <w:color w:val="auto"/>
          <w:sz w:val="21"/>
          <w:szCs w:val="21"/>
          <w:highlight w:val="none"/>
          <w:lang w:val="en-US" w:eastAsia="zh-CN"/>
        </w:rPr>
        <w:t>2</w:t>
      </w:r>
      <w:r>
        <w:rPr>
          <w:rStyle w:val="6"/>
          <w:rFonts w:hint="default" w:ascii="Times New Roman" w:hAnsi="Times New Roman" w:eastAsia="宋体" w:cs="Times New Roman"/>
          <w:color w:val="auto"/>
          <w:sz w:val="21"/>
          <w:szCs w:val="21"/>
          <w:highlight w:val="none"/>
        </w:rPr>
        <w:t xml:space="preserve"> </w:t>
      </w:r>
      <w:r>
        <w:rPr>
          <w:rFonts w:hint="default" w:ascii="Times New Roman" w:hAnsi="Times New Roman" w:eastAsia="宋体" w:cs="Times New Roman"/>
          <w:b/>
          <w:bCs/>
          <w:color w:val="auto"/>
          <w:sz w:val="21"/>
          <w:szCs w:val="21"/>
          <w:highlight w:val="none"/>
        </w:rPr>
        <w:t>Interaction between cohort and composite indices for incident CMM in the pooled CHARLS and ELSA analysis</w:t>
      </w:r>
    </w:p>
    <w:tbl>
      <w:tblPr>
        <w:tblStyle w:val="4"/>
        <w:tblW w:w="9493" w:type="dxa"/>
        <w:jc w:val="center"/>
        <w:tblLayout w:type="autofit"/>
        <w:tblCellMar>
          <w:top w:w="0" w:type="dxa"/>
          <w:left w:w="108" w:type="dxa"/>
          <w:bottom w:w="0" w:type="dxa"/>
          <w:right w:w="108" w:type="dxa"/>
        </w:tblCellMar>
      </w:tblPr>
      <w:tblGrid>
        <w:gridCol w:w="1333"/>
        <w:gridCol w:w="3067"/>
        <w:gridCol w:w="2874"/>
        <w:gridCol w:w="2219"/>
      </w:tblGrid>
      <w:tr w14:paraId="245F6683">
        <w:tblPrEx>
          <w:tblCellMar>
            <w:top w:w="0" w:type="dxa"/>
            <w:left w:w="108" w:type="dxa"/>
            <w:bottom w:w="0" w:type="dxa"/>
            <w:right w:w="108" w:type="dxa"/>
          </w:tblCellMar>
        </w:tblPrEx>
        <w:trPr>
          <w:tblHeader/>
          <w:jc w:val="center"/>
        </w:trPr>
        <w:tc>
          <w:tcPr>
            <w:tcW w:w="1333" w:type="dxa"/>
            <w:tcBorders>
              <w:top w:val="single" w:color="auto" w:sz="12" w:space="0"/>
              <w:left w:val="nil"/>
              <w:bottom w:val="nil"/>
              <w:right w:val="nil"/>
            </w:tcBorders>
            <w:tcMar>
              <w:top w:w="-1" w:type="dxa"/>
              <w:left w:w="-1" w:type="dxa"/>
              <w:bottom w:w="-1" w:type="dxa"/>
              <w:right w:w="-1" w:type="dxa"/>
            </w:tcMar>
            <w:vAlign w:val="center"/>
          </w:tcPr>
          <w:p w14:paraId="281FC02A">
            <w:pPr>
              <w:widowControl/>
              <w:snapToGrid w:val="0"/>
              <w:jc w:val="center"/>
              <w:textAlignment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kern w:val="0"/>
                <w:sz w:val="21"/>
                <w:szCs w:val="21"/>
                <w:highlight w:val="none"/>
                <w:lang w:bidi="ar"/>
              </w:rPr>
              <w:t>Indicator</w:t>
            </w:r>
          </w:p>
        </w:tc>
        <w:tc>
          <w:tcPr>
            <w:tcW w:w="0" w:type="auto"/>
            <w:tcBorders>
              <w:top w:val="single" w:color="auto" w:sz="12" w:space="0"/>
              <w:left w:val="nil"/>
              <w:bottom w:val="nil"/>
              <w:right w:val="nil"/>
            </w:tcBorders>
            <w:tcMar>
              <w:top w:w="-1" w:type="dxa"/>
              <w:left w:w="-1" w:type="dxa"/>
              <w:bottom w:w="-1" w:type="dxa"/>
              <w:right w:w="-1" w:type="dxa"/>
            </w:tcMar>
            <w:vAlign w:val="center"/>
          </w:tcPr>
          <w:p w14:paraId="651BD6C9">
            <w:pPr>
              <w:widowControl/>
              <w:snapToGrid w:val="0"/>
              <w:jc w:val="center"/>
              <w:textAlignment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kern w:val="0"/>
                <w:sz w:val="21"/>
                <w:szCs w:val="21"/>
                <w:highlight w:val="none"/>
                <w:lang w:bidi="ar"/>
              </w:rPr>
              <w:t>CHARLS HR (95% CI) per 1 SD</w:t>
            </w:r>
          </w:p>
        </w:tc>
        <w:tc>
          <w:tcPr>
            <w:tcW w:w="0" w:type="auto"/>
            <w:tcBorders>
              <w:top w:val="single" w:color="auto" w:sz="12" w:space="0"/>
              <w:left w:val="nil"/>
              <w:bottom w:val="nil"/>
              <w:right w:val="nil"/>
            </w:tcBorders>
            <w:tcMar>
              <w:top w:w="-1" w:type="dxa"/>
              <w:left w:w="-1" w:type="dxa"/>
              <w:bottom w:w="-1" w:type="dxa"/>
              <w:right w:w="-1" w:type="dxa"/>
            </w:tcMar>
            <w:vAlign w:val="center"/>
          </w:tcPr>
          <w:p w14:paraId="780BBA74">
            <w:pPr>
              <w:widowControl/>
              <w:snapToGrid w:val="0"/>
              <w:jc w:val="center"/>
              <w:textAlignment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kern w:val="0"/>
                <w:sz w:val="21"/>
                <w:szCs w:val="21"/>
                <w:highlight w:val="none"/>
                <w:lang w:bidi="ar"/>
              </w:rPr>
              <w:t>ELSA HR (95% CI) per 1 SD</w:t>
            </w:r>
          </w:p>
        </w:tc>
        <w:tc>
          <w:tcPr>
            <w:tcW w:w="2219" w:type="dxa"/>
            <w:tcBorders>
              <w:top w:val="single" w:color="auto" w:sz="12" w:space="0"/>
              <w:left w:val="nil"/>
              <w:bottom w:val="nil"/>
              <w:right w:val="nil"/>
            </w:tcBorders>
            <w:tcMar>
              <w:top w:w="-1" w:type="dxa"/>
              <w:left w:w="-1" w:type="dxa"/>
              <w:bottom w:w="-1" w:type="dxa"/>
              <w:right w:w="-1" w:type="dxa"/>
            </w:tcMar>
            <w:vAlign w:val="center"/>
          </w:tcPr>
          <w:p w14:paraId="74FCE162">
            <w:pPr>
              <w:widowControl/>
              <w:snapToGrid w:val="0"/>
              <w:jc w:val="center"/>
              <w:textAlignment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kern w:val="0"/>
                <w:sz w:val="21"/>
                <w:szCs w:val="21"/>
                <w:highlight w:val="none"/>
                <w:lang w:bidi="ar"/>
              </w:rPr>
              <w:t>P for interaction</w:t>
            </w:r>
          </w:p>
        </w:tc>
      </w:tr>
      <w:tr w14:paraId="013EAEBB">
        <w:tblPrEx>
          <w:tblCellMar>
            <w:top w:w="0" w:type="dxa"/>
            <w:left w:w="108" w:type="dxa"/>
            <w:bottom w:w="0" w:type="dxa"/>
            <w:right w:w="108" w:type="dxa"/>
          </w:tblCellMar>
        </w:tblPrEx>
        <w:trPr>
          <w:jc w:val="center"/>
        </w:trPr>
        <w:tc>
          <w:tcPr>
            <w:tcW w:w="1333" w:type="dxa"/>
            <w:tcBorders>
              <w:top w:val="single" w:color="auto" w:sz="4" w:space="0"/>
              <w:left w:val="nil"/>
              <w:bottom w:val="nil"/>
              <w:right w:val="nil"/>
            </w:tcBorders>
            <w:tcMar>
              <w:top w:w="-1" w:type="dxa"/>
              <w:left w:w="-1" w:type="dxa"/>
              <w:bottom w:w="-1" w:type="dxa"/>
              <w:right w:w="-1" w:type="dxa"/>
            </w:tcMar>
            <w:vAlign w:val="center"/>
          </w:tcPr>
          <w:p w14:paraId="7AEC7771">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TyG-WHtR</w:t>
            </w:r>
          </w:p>
        </w:tc>
        <w:tc>
          <w:tcPr>
            <w:tcW w:w="0" w:type="auto"/>
            <w:tcBorders>
              <w:top w:val="single" w:color="auto" w:sz="4" w:space="0"/>
              <w:left w:val="nil"/>
              <w:bottom w:val="nil"/>
              <w:right w:val="nil"/>
            </w:tcBorders>
            <w:tcMar>
              <w:top w:w="-1" w:type="dxa"/>
              <w:left w:w="-1" w:type="dxa"/>
              <w:bottom w:w="-1" w:type="dxa"/>
              <w:right w:w="-1" w:type="dxa"/>
            </w:tcMar>
            <w:vAlign w:val="center"/>
          </w:tcPr>
          <w:p w14:paraId="5CAF31AB">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1.22 (1.18–1.26)</w:t>
            </w:r>
          </w:p>
        </w:tc>
        <w:tc>
          <w:tcPr>
            <w:tcW w:w="0" w:type="auto"/>
            <w:tcBorders>
              <w:top w:val="single" w:color="auto" w:sz="4" w:space="0"/>
              <w:left w:val="nil"/>
              <w:bottom w:val="nil"/>
              <w:right w:val="nil"/>
            </w:tcBorders>
            <w:tcMar>
              <w:top w:w="-1" w:type="dxa"/>
              <w:left w:w="-1" w:type="dxa"/>
              <w:bottom w:w="-1" w:type="dxa"/>
              <w:right w:w="-1" w:type="dxa"/>
            </w:tcMar>
            <w:vAlign w:val="center"/>
          </w:tcPr>
          <w:p w14:paraId="481164A2">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1.09 (1.04–1.14)</w:t>
            </w:r>
          </w:p>
        </w:tc>
        <w:tc>
          <w:tcPr>
            <w:tcW w:w="2219" w:type="dxa"/>
            <w:tcBorders>
              <w:top w:val="single" w:color="auto" w:sz="4" w:space="0"/>
              <w:left w:val="nil"/>
              <w:bottom w:val="nil"/>
              <w:right w:val="nil"/>
            </w:tcBorders>
            <w:tcMar>
              <w:top w:w="-1" w:type="dxa"/>
              <w:left w:w="-1" w:type="dxa"/>
              <w:bottom w:w="-1" w:type="dxa"/>
              <w:right w:w="-1" w:type="dxa"/>
            </w:tcMar>
            <w:vAlign w:val="center"/>
          </w:tcPr>
          <w:p w14:paraId="5E4E69D3">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&lt;0.001</w:t>
            </w:r>
          </w:p>
        </w:tc>
      </w:tr>
      <w:tr w14:paraId="7D95B08D">
        <w:tblPrEx>
          <w:tblCellMar>
            <w:top w:w="0" w:type="dxa"/>
            <w:left w:w="108" w:type="dxa"/>
            <w:bottom w:w="0" w:type="dxa"/>
            <w:right w:w="108" w:type="dxa"/>
          </w:tblCellMar>
        </w:tblPrEx>
        <w:trPr>
          <w:jc w:val="center"/>
        </w:trPr>
        <w:tc>
          <w:tcPr>
            <w:tcW w:w="1333" w:type="dxa"/>
            <w:tcBorders>
              <w:top w:val="nil"/>
              <w:left w:val="nil"/>
              <w:bottom w:val="nil"/>
              <w:right w:val="nil"/>
            </w:tcBorders>
            <w:tcMar>
              <w:top w:w="-1" w:type="dxa"/>
              <w:left w:w="-1" w:type="dxa"/>
              <w:bottom w:w="-1" w:type="dxa"/>
              <w:right w:w="-1" w:type="dxa"/>
            </w:tcMar>
            <w:vAlign w:val="center"/>
          </w:tcPr>
          <w:p w14:paraId="5CC1DEB3">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TyG-BRI</w:t>
            </w:r>
          </w:p>
        </w:tc>
        <w:tc>
          <w:tcPr>
            <w:tcW w:w="0" w:type="auto"/>
            <w:tcBorders>
              <w:top w:val="nil"/>
              <w:left w:val="nil"/>
              <w:bottom w:val="nil"/>
              <w:right w:val="nil"/>
            </w:tcBorders>
            <w:tcMar>
              <w:top w:w="-1" w:type="dxa"/>
              <w:left w:w="-1" w:type="dxa"/>
              <w:bottom w:w="-1" w:type="dxa"/>
              <w:right w:w="-1" w:type="dxa"/>
            </w:tcMar>
            <w:vAlign w:val="center"/>
          </w:tcPr>
          <w:p w14:paraId="14895DA9">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1.08 (1.06–1.11)</w:t>
            </w:r>
          </w:p>
        </w:tc>
        <w:tc>
          <w:tcPr>
            <w:tcW w:w="0" w:type="auto"/>
            <w:tcBorders>
              <w:top w:val="nil"/>
              <w:left w:val="nil"/>
              <w:bottom w:val="nil"/>
              <w:right w:val="nil"/>
            </w:tcBorders>
            <w:tcMar>
              <w:top w:w="-1" w:type="dxa"/>
              <w:left w:w="-1" w:type="dxa"/>
              <w:bottom w:w="-1" w:type="dxa"/>
              <w:right w:w="-1" w:type="dxa"/>
            </w:tcMar>
            <w:vAlign w:val="center"/>
          </w:tcPr>
          <w:p w14:paraId="74DAD929">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1.04 (0.99–1.09)</w:t>
            </w:r>
          </w:p>
        </w:tc>
        <w:tc>
          <w:tcPr>
            <w:tcW w:w="2219" w:type="dxa"/>
            <w:tcBorders>
              <w:top w:val="nil"/>
              <w:left w:val="nil"/>
              <w:bottom w:val="nil"/>
              <w:right w:val="nil"/>
            </w:tcBorders>
            <w:tcMar>
              <w:top w:w="-1" w:type="dxa"/>
              <w:left w:w="-1" w:type="dxa"/>
              <w:bottom w:w="-1" w:type="dxa"/>
              <w:right w:w="-1" w:type="dxa"/>
            </w:tcMar>
            <w:vAlign w:val="center"/>
          </w:tcPr>
          <w:p w14:paraId="0AC9DFA7">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0.101</w:t>
            </w:r>
          </w:p>
        </w:tc>
      </w:tr>
      <w:tr w14:paraId="7DCF3E24">
        <w:tblPrEx>
          <w:tblCellMar>
            <w:top w:w="0" w:type="dxa"/>
            <w:left w:w="108" w:type="dxa"/>
            <w:bottom w:w="0" w:type="dxa"/>
            <w:right w:w="108" w:type="dxa"/>
          </w:tblCellMar>
        </w:tblPrEx>
        <w:trPr>
          <w:jc w:val="center"/>
        </w:trPr>
        <w:tc>
          <w:tcPr>
            <w:tcW w:w="1333" w:type="dxa"/>
            <w:tcBorders>
              <w:top w:val="nil"/>
              <w:left w:val="nil"/>
              <w:bottom w:val="nil"/>
              <w:right w:val="nil"/>
            </w:tcBorders>
            <w:tcMar>
              <w:top w:w="-1" w:type="dxa"/>
              <w:left w:w="-1" w:type="dxa"/>
              <w:bottom w:w="-1" w:type="dxa"/>
              <w:right w:w="-1" w:type="dxa"/>
            </w:tcMar>
            <w:vAlign w:val="center"/>
          </w:tcPr>
          <w:p w14:paraId="72A31BD6">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AIP-WHtR</w:t>
            </w:r>
          </w:p>
        </w:tc>
        <w:tc>
          <w:tcPr>
            <w:tcW w:w="0" w:type="auto"/>
            <w:tcBorders>
              <w:top w:val="nil"/>
              <w:left w:val="nil"/>
              <w:bottom w:val="nil"/>
              <w:right w:val="nil"/>
            </w:tcBorders>
            <w:tcMar>
              <w:top w:w="-1" w:type="dxa"/>
              <w:left w:w="-1" w:type="dxa"/>
              <w:bottom w:w="-1" w:type="dxa"/>
              <w:right w:w="-1" w:type="dxa"/>
            </w:tcMar>
            <w:vAlign w:val="center"/>
          </w:tcPr>
          <w:p w14:paraId="766FE271">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1.33 (1.27–1.40)</w:t>
            </w:r>
          </w:p>
        </w:tc>
        <w:tc>
          <w:tcPr>
            <w:tcW w:w="0" w:type="auto"/>
            <w:tcBorders>
              <w:top w:val="nil"/>
              <w:left w:val="nil"/>
              <w:bottom w:val="nil"/>
              <w:right w:val="nil"/>
            </w:tcBorders>
            <w:tcMar>
              <w:top w:w="-1" w:type="dxa"/>
              <w:left w:w="-1" w:type="dxa"/>
              <w:bottom w:w="-1" w:type="dxa"/>
              <w:right w:w="-1" w:type="dxa"/>
            </w:tcMar>
            <w:vAlign w:val="center"/>
          </w:tcPr>
          <w:p w14:paraId="3D4EF313">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1.12 (1.02–1.22)</w:t>
            </w:r>
          </w:p>
        </w:tc>
        <w:tc>
          <w:tcPr>
            <w:tcW w:w="2219" w:type="dxa"/>
            <w:tcBorders>
              <w:top w:val="nil"/>
              <w:left w:val="nil"/>
              <w:bottom w:val="nil"/>
              <w:right w:val="nil"/>
            </w:tcBorders>
            <w:tcMar>
              <w:top w:w="-1" w:type="dxa"/>
              <w:left w:w="-1" w:type="dxa"/>
              <w:bottom w:w="-1" w:type="dxa"/>
              <w:right w:w="-1" w:type="dxa"/>
            </w:tcMar>
            <w:vAlign w:val="center"/>
          </w:tcPr>
          <w:p w14:paraId="18CFFAA5">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&lt;0.001</w:t>
            </w:r>
          </w:p>
        </w:tc>
      </w:tr>
      <w:tr w14:paraId="03081DDC">
        <w:tblPrEx>
          <w:tblCellMar>
            <w:top w:w="0" w:type="dxa"/>
            <w:left w:w="108" w:type="dxa"/>
            <w:bottom w:w="0" w:type="dxa"/>
            <w:right w:w="108" w:type="dxa"/>
          </w:tblCellMar>
        </w:tblPrEx>
        <w:trPr>
          <w:jc w:val="center"/>
        </w:trPr>
        <w:tc>
          <w:tcPr>
            <w:tcW w:w="1333" w:type="dxa"/>
            <w:tcBorders>
              <w:top w:val="nil"/>
              <w:left w:val="nil"/>
              <w:bottom w:val="nil"/>
              <w:right w:val="nil"/>
            </w:tcBorders>
            <w:tcMar>
              <w:top w:w="-1" w:type="dxa"/>
              <w:left w:w="-1" w:type="dxa"/>
              <w:bottom w:w="-1" w:type="dxa"/>
              <w:right w:w="-1" w:type="dxa"/>
            </w:tcMar>
            <w:vAlign w:val="center"/>
          </w:tcPr>
          <w:p w14:paraId="128FDFBF">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AIP-BRI</w:t>
            </w:r>
          </w:p>
        </w:tc>
        <w:tc>
          <w:tcPr>
            <w:tcW w:w="0" w:type="auto"/>
            <w:tcBorders>
              <w:top w:val="nil"/>
              <w:left w:val="nil"/>
              <w:bottom w:val="nil"/>
              <w:right w:val="nil"/>
            </w:tcBorders>
            <w:tcMar>
              <w:top w:w="-1" w:type="dxa"/>
              <w:left w:w="-1" w:type="dxa"/>
              <w:bottom w:w="-1" w:type="dxa"/>
              <w:right w:w="-1" w:type="dxa"/>
            </w:tcMar>
            <w:vAlign w:val="center"/>
          </w:tcPr>
          <w:p w14:paraId="34874ED2">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1.13 (1.11–1.16)</w:t>
            </w:r>
          </w:p>
        </w:tc>
        <w:tc>
          <w:tcPr>
            <w:tcW w:w="0" w:type="auto"/>
            <w:tcBorders>
              <w:top w:val="nil"/>
              <w:left w:val="nil"/>
              <w:bottom w:val="nil"/>
              <w:right w:val="nil"/>
            </w:tcBorders>
            <w:tcMar>
              <w:top w:w="-1" w:type="dxa"/>
              <w:left w:w="-1" w:type="dxa"/>
              <w:bottom w:w="-1" w:type="dxa"/>
              <w:right w:w="-1" w:type="dxa"/>
            </w:tcMar>
            <w:vAlign w:val="center"/>
          </w:tcPr>
          <w:p w14:paraId="45E79D1D">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1.02 (0.93–1.12)</w:t>
            </w:r>
          </w:p>
        </w:tc>
        <w:tc>
          <w:tcPr>
            <w:tcW w:w="2219" w:type="dxa"/>
            <w:tcBorders>
              <w:top w:val="nil"/>
              <w:left w:val="nil"/>
              <w:bottom w:val="nil"/>
              <w:right w:val="nil"/>
            </w:tcBorders>
            <w:tcMar>
              <w:top w:w="-1" w:type="dxa"/>
              <w:left w:w="-1" w:type="dxa"/>
              <w:bottom w:w="-1" w:type="dxa"/>
              <w:right w:w="-1" w:type="dxa"/>
            </w:tcMar>
            <w:vAlign w:val="center"/>
          </w:tcPr>
          <w:p w14:paraId="61833EAB">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0.001</w:t>
            </w:r>
          </w:p>
        </w:tc>
      </w:tr>
      <w:tr w14:paraId="10C3D7DA">
        <w:tblPrEx>
          <w:tblCellMar>
            <w:top w:w="0" w:type="dxa"/>
            <w:left w:w="108" w:type="dxa"/>
            <w:bottom w:w="0" w:type="dxa"/>
            <w:right w:w="108" w:type="dxa"/>
          </w:tblCellMar>
        </w:tblPrEx>
        <w:trPr>
          <w:jc w:val="center"/>
        </w:trPr>
        <w:tc>
          <w:tcPr>
            <w:tcW w:w="1333" w:type="dxa"/>
            <w:tcBorders>
              <w:top w:val="nil"/>
              <w:left w:val="nil"/>
              <w:bottom w:val="single" w:color="auto" w:sz="12" w:space="0"/>
              <w:right w:val="nil"/>
            </w:tcBorders>
            <w:tcMar>
              <w:top w:w="-1" w:type="dxa"/>
              <w:left w:w="-1" w:type="dxa"/>
              <w:bottom w:w="-1" w:type="dxa"/>
              <w:right w:w="-1" w:type="dxa"/>
            </w:tcMar>
            <w:vAlign w:val="center"/>
          </w:tcPr>
          <w:p w14:paraId="696E3E70">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ICMRS</w:t>
            </w:r>
          </w:p>
        </w:tc>
        <w:tc>
          <w:tcPr>
            <w:tcW w:w="3067" w:type="dxa"/>
            <w:tcBorders>
              <w:top w:val="nil"/>
              <w:left w:val="nil"/>
              <w:bottom w:val="single" w:color="auto" w:sz="12" w:space="0"/>
              <w:right w:val="nil"/>
            </w:tcBorders>
            <w:tcMar>
              <w:top w:w="-1" w:type="dxa"/>
              <w:left w:w="-1" w:type="dxa"/>
              <w:bottom w:w="-1" w:type="dxa"/>
              <w:right w:w="-1" w:type="dxa"/>
            </w:tcMar>
            <w:vAlign w:val="center"/>
          </w:tcPr>
          <w:p w14:paraId="455E2D66">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1.28 (1.24–1.32)</w:t>
            </w:r>
          </w:p>
        </w:tc>
        <w:tc>
          <w:tcPr>
            <w:tcW w:w="2874" w:type="dxa"/>
            <w:tcBorders>
              <w:top w:val="nil"/>
              <w:left w:val="nil"/>
              <w:bottom w:val="single" w:color="auto" w:sz="12" w:space="0"/>
              <w:right w:val="nil"/>
            </w:tcBorders>
            <w:tcMar>
              <w:top w:w="-1" w:type="dxa"/>
              <w:left w:w="-1" w:type="dxa"/>
              <w:bottom w:w="-1" w:type="dxa"/>
              <w:right w:w="-1" w:type="dxa"/>
            </w:tcMar>
            <w:vAlign w:val="center"/>
          </w:tcPr>
          <w:p w14:paraId="49008350">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1.13 (1.06–1.20)</w:t>
            </w:r>
          </w:p>
        </w:tc>
        <w:tc>
          <w:tcPr>
            <w:tcW w:w="2219" w:type="dxa"/>
            <w:tcBorders>
              <w:top w:val="nil"/>
              <w:left w:val="nil"/>
              <w:bottom w:val="single" w:color="auto" w:sz="12" w:space="0"/>
              <w:right w:val="nil"/>
            </w:tcBorders>
            <w:tcMar>
              <w:top w:w="-1" w:type="dxa"/>
              <w:left w:w="-1" w:type="dxa"/>
              <w:bottom w:w="-1" w:type="dxa"/>
              <w:right w:w="-1" w:type="dxa"/>
            </w:tcMar>
            <w:vAlign w:val="center"/>
          </w:tcPr>
          <w:p w14:paraId="33BA6510">
            <w:pPr>
              <w:widowControl/>
              <w:snapToGrid w:val="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&lt;0.001</w:t>
            </w:r>
          </w:p>
        </w:tc>
      </w:tr>
    </w:tbl>
    <w:p w14:paraId="443C9326">
      <w:pPr>
        <w:pStyle w:val="3"/>
        <w:keepNext w:val="0"/>
        <w:keepLines w:val="0"/>
        <w:pageBreakBefore w:val="0"/>
        <w:widowControl/>
        <w:kinsoku/>
        <w:wordWrap/>
        <w:overflowPunct/>
        <w:topLinePunct w:val="0"/>
        <w:autoSpaceDE/>
        <w:autoSpaceDN/>
        <w:bidi w:val="0"/>
        <w:adjustRightInd/>
        <w:snapToGrid/>
        <w:spacing w:beforeAutospacing="0" w:afterAutospacing="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xml:space="preserve"> </w:t>
      </w:r>
      <w:r>
        <w:rPr>
          <w:rStyle w:val="6"/>
          <w:rFonts w:hint="default" w:ascii="Times New Roman" w:hAnsi="Times New Roman" w:eastAsia="宋体" w:cs="Times New Roman"/>
          <w:color w:val="auto"/>
          <w:sz w:val="21"/>
          <w:szCs w:val="21"/>
          <w:highlight w:val="none"/>
        </w:rPr>
        <w:t>Abbreviations:</w:t>
      </w:r>
      <w:r>
        <w:rPr>
          <w:rFonts w:hint="default" w:ascii="Times New Roman" w:hAnsi="Times New Roman" w:eastAsia="宋体" w:cs="Times New Roman"/>
          <w:color w:val="auto"/>
          <w:sz w:val="21"/>
          <w:szCs w:val="21"/>
          <w:highlight w:val="none"/>
        </w:rPr>
        <w:t xml:space="preserve"> HR, hazard ratio; CI, confidence interval; CMM, cardiometabolic multimorbidity. Hazard ratios were estimated using Cox proportional hazards models (Model 3). Model 3 was adjusted for age, sex, education, marital status, smoking, drinking, hypertension, history of cancer, systolic blood pressure, diastolic blood pressure, total cholesterol, HDL-C, and LDL-C. </w:t>
      </w:r>
      <w:r>
        <w:rPr>
          <w:rFonts w:hint="default" w:ascii="Times New Roman" w:hAnsi="Times New Roman" w:eastAsia="宋体" w:cs="Times New Roman"/>
          <w:i/>
          <w:iCs/>
          <w:color w:val="auto"/>
          <w:sz w:val="21"/>
          <w:szCs w:val="21"/>
          <w:highlight w:val="none"/>
        </w:rPr>
        <w:t>P</w:t>
      </w:r>
      <w:r>
        <w:rPr>
          <w:rFonts w:hint="default" w:ascii="Times New Roman" w:hAnsi="Times New Roman" w:eastAsia="宋体" w:cs="Times New Roman"/>
          <w:color w:val="auto"/>
          <w:sz w:val="21"/>
          <w:szCs w:val="21"/>
          <w:highlight w:val="none"/>
        </w:rPr>
        <w:t xml:space="preserve"> for interaction was obtained by testing the interaction between each standardized composite index and cohort indicator in the pooled dataset.</w:t>
      </w:r>
    </w:p>
    <w:p w14:paraId="71E05C0A">
      <w:pPr>
        <w:numPr>
          <w:ilvl w:val="0"/>
          <w:numId w:val="0"/>
        </w:numPr>
        <w:jc w:val="both"/>
        <w:outlineLvl w:val="9"/>
        <w:rPr>
          <w:rFonts w:hint="default" w:ascii="Times New Roman" w:hAnsi="Times New Roman" w:cs="Times New Roman"/>
          <w:b/>
          <w:bCs/>
          <w:color w:val="auto"/>
          <w:sz w:val="21"/>
          <w:szCs w:val="21"/>
          <w:highlight w:val="none"/>
        </w:rPr>
      </w:pPr>
    </w:p>
    <w:p w14:paraId="592A4B27">
      <w:pPr>
        <w:numPr>
          <w:ilvl w:val="0"/>
          <w:numId w:val="0"/>
        </w:numPr>
        <w:jc w:val="both"/>
        <w:outlineLvl w:val="9"/>
        <w:rPr>
          <w:rFonts w:hint="default" w:ascii="Times New Roman" w:hAnsi="Times New Roman" w:cs="Times New Roman"/>
          <w:b/>
          <w:bCs/>
          <w:color w:val="auto"/>
          <w:sz w:val="21"/>
          <w:szCs w:val="21"/>
          <w:highlight w:val="none"/>
        </w:rPr>
      </w:pPr>
    </w:p>
    <w:p w14:paraId="529DBD15">
      <w:pPr>
        <w:numPr>
          <w:ilvl w:val="0"/>
          <w:numId w:val="0"/>
        </w:numPr>
        <w:jc w:val="both"/>
        <w:outlineLvl w:val="9"/>
        <w:rPr>
          <w:rFonts w:hint="default" w:ascii="Times New Roman" w:hAnsi="Times New Roman" w:cs="Times New Roman"/>
          <w:b/>
          <w:bCs/>
          <w:color w:val="auto"/>
          <w:sz w:val="21"/>
          <w:szCs w:val="21"/>
          <w:highlight w:val="none"/>
        </w:rPr>
      </w:pPr>
    </w:p>
    <w:p w14:paraId="7FBFF5B8">
      <w:pP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br w:type="page"/>
      </w:r>
    </w:p>
    <w:p w14:paraId="6414C08F">
      <w:pPr>
        <w:numPr>
          <w:ilvl w:val="0"/>
          <w:numId w:val="0"/>
        </w:numPr>
        <w:outlineLvl w:val="2"/>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Supplementary Table S</w:t>
      </w:r>
      <w:r>
        <w:rPr>
          <w:rFonts w:hint="default" w:ascii="Times New Roman" w:hAnsi="Times New Roman" w:eastAsia="宋体" w:cs="Times New Roman"/>
          <w:b/>
          <w:bCs/>
          <w:color w:val="auto"/>
          <w:sz w:val="21"/>
          <w:szCs w:val="21"/>
          <w:highlight w:val="none"/>
          <w:lang w:val="en-US" w:eastAsia="zh-CN"/>
        </w:rPr>
        <w:t>3</w:t>
      </w:r>
      <w:r>
        <w:rPr>
          <w:rFonts w:hint="default" w:ascii="Times New Roman" w:hAnsi="Times New Roman" w:eastAsia="宋体" w:cs="Times New Roman"/>
          <w:b/>
          <w:bCs/>
          <w:color w:val="auto"/>
          <w:sz w:val="21"/>
          <w:szCs w:val="21"/>
          <w:highlight w:val="none"/>
        </w:rPr>
        <w:t xml:space="preserve">. </w:t>
      </w:r>
      <w:r>
        <w:rPr>
          <w:rFonts w:hint="default" w:ascii="Times New Roman" w:hAnsi="Times New Roman" w:eastAsia="宋体" w:cs="Times New Roman"/>
          <w:color w:val="auto"/>
          <w:sz w:val="21"/>
          <w:szCs w:val="21"/>
          <w:highlight w:val="none"/>
        </w:rPr>
        <w:t>Sensitivity analyses of the associations between five composite indices and incident cardiometabolic multimorbidity in CHARLS</w:t>
      </w:r>
    </w:p>
    <w:tbl>
      <w:tblPr>
        <w:tblStyle w:val="4"/>
        <w:tblW w:w="960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42"/>
        <w:gridCol w:w="1322"/>
        <w:gridCol w:w="2082"/>
        <w:gridCol w:w="2053"/>
        <w:gridCol w:w="2103"/>
      </w:tblGrid>
      <w:tr w14:paraId="51D91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2042" w:type="dxa"/>
            <w:vMerge w:val="restar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61E7457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Sensitivity analysis</w:t>
            </w:r>
          </w:p>
        </w:tc>
        <w:tc>
          <w:tcPr>
            <w:tcW w:w="1322" w:type="dxa"/>
            <w:vMerge w:val="restar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21C1786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Indicator</w:t>
            </w:r>
          </w:p>
        </w:tc>
        <w:tc>
          <w:tcPr>
            <w:tcW w:w="2082" w:type="dxa"/>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060B996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Q2 vs Q1 HR</w:t>
            </w:r>
          </w:p>
        </w:tc>
        <w:tc>
          <w:tcPr>
            <w:tcW w:w="2053" w:type="dxa"/>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48B3FB7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Q3 vs Q1 HR</w:t>
            </w:r>
          </w:p>
        </w:tc>
        <w:tc>
          <w:tcPr>
            <w:tcW w:w="2103" w:type="dxa"/>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5BC75CB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Q4 vs Q1 HR</w:t>
            </w:r>
          </w:p>
        </w:tc>
      </w:tr>
      <w:tr w14:paraId="04489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2042" w:type="dxa"/>
            <w:vMerge w:val="continue"/>
            <w:tcBorders>
              <w:top w:val="nil"/>
              <w:left w:val="nil"/>
              <w:bottom w:val="nil"/>
              <w:right w:val="nil"/>
            </w:tcBorders>
            <w:shd w:val="clear" w:color="auto" w:fill="auto"/>
            <w:noWrap w:val="0"/>
            <w:tcMar>
              <w:top w:w="-1" w:type="dxa"/>
              <w:left w:w="-1" w:type="dxa"/>
              <w:bottom w:w="-1" w:type="dxa"/>
              <w:right w:w="-1" w:type="dxa"/>
            </w:tcMar>
            <w:vAlign w:val="center"/>
          </w:tcPr>
          <w:p w14:paraId="7537E34F">
            <w:pPr>
              <w:snapToGrid w:val="0"/>
              <w:ind w:left="0" w:leftChars="0" w:right="0" w:rightChars="0" w:firstLine="0" w:firstLineChars="0"/>
              <w:jc w:val="center"/>
              <w:rPr>
                <w:rFonts w:hint="default" w:ascii="Times New Roman" w:hAnsi="Times New Roman" w:eastAsia="宋体" w:cs="Times New Roman"/>
                <w:b/>
                <w:bCs/>
                <w:i w:val="0"/>
                <w:iCs w:val="0"/>
                <w:color w:val="auto"/>
                <w:sz w:val="21"/>
                <w:szCs w:val="21"/>
                <w:highlight w:val="none"/>
                <w:u w:val="none"/>
              </w:rPr>
            </w:pPr>
          </w:p>
        </w:tc>
        <w:tc>
          <w:tcPr>
            <w:tcW w:w="1322" w:type="dxa"/>
            <w:vMerge w:val="continue"/>
            <w:tcBorders>
              <w:top w:val="nil"/>
              <w:left w:val="nil"/>
              <w:bottom w:val="nil"/>
              <w:right w:val="nil"/>
            </w:tcBorders>
            <w:shd w:val="clear" w:color="auto" w:fill="auto"/>
            <w:noWrap w:val="0"/>
            <w:tcMar>
              <w:top w:w="-1" w:type="dxa"/>
              <w:left w:w="-1" w:type="dxa"/>
              <w:bottom w:w="-1" w:type="dxa"/>
              <w:right w:w="-1" w:type="dxa"/>
            </w:tcMar>
            <w:vAlign w:val="center"/>
          </w:tcPr>
          <w:p w14:paraId="30AD5C03">
            <w:pPr>
              <w:snapToGrid w:val="0"/>
              <w:ind w:left="0" w:leftChars="0" w:right="0" w:rightChars="0" w:firstLine="0" w:firstLineChars="0"/>
              <w:jc w:val="center"/>
              <w:rPr>
                <w:rFonts w:hint="default" w:ascii="Times New Roman" w:hAnsi="Times New Roman" w:eastAsia="宋体" w:cs="Times New Roman"/>
                <w:b/>
                <w:bCs/>
                <w:i w:val="0"/>
                <w:iCs w:val="0"/>
                <w:color w:val="auto"/>
                <w:sz w:val="21"/>
                <w:szCs w:val="21"/>
                <w:highlight w:val="none"/>
                <w:u w:val="none"/>
              </w:rPr>
            </w:pPr>
          </w:p>
        </w:tc>
        <w:tc>
          <w:tcPr>
            <w:tcW w:w="2082" w:type="dxa"/>
            <w:tcBorders>
              <w:top w:val="nil"/>
              <w:left w:val="nil"/>
              <w:bottom w:val="nil"/>
              <w:right w:val="nil"/>
            </w:tcBorders>
            <w:shd w:val="clear" w:color="auto" w:fill="auto"/>
            <w:noWrap w:val="0"/>
            <w:tcMar>
              <w:top w:w="-1" w:type="dxa"/>
              <w:left w:w="-1" w:type="dxa"/>
              <w:bottom w:w="-1" w:type="dxa"/>
              <w:right w:w="-1" w:type="dxa"/>
            </w:tcMar>
            <w:vAlign w:val="center"/>
          </w:tcPr>
          <w:p w14:paraId="608990B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(95%CI)</w:t>
            </w:r>
          </w:p>
        </w:tc>
        <w:tc>
          <w:tcPr>
            <w:tcW w:w="2053" w:type="dxa"/>
            <w:tcBorders>
              <w:top w:val="nil"/>
              <w:left w:val="nil"/>
              <w:bottom w:val="nil"/>
              <w:right w:val="nil"/>
            </w:tcBorders>
            <w:shd w:val="clear" w:color="auto" w:fill="auto"/>
            <w:noWrap w:val="0"/>
            <w:tcMar>
              <w:top w:w="-1" w:type="dxa"/>
              <w:left w:w="-1" w:type="dxa"/>
              <w:bottom w:w="-1" w:type="dxa"/>
              <w:right w:w="-1" w:type="dxa"/>
            </w:tcMar>
            <w:vAlign w:val="center"/>
          </w:tcPr>
          <w:p w14:paraId="7022A24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(95%CI)</w:t>
            </w:r>
          </w:p>
        </w:tc>
        <w:tc>
          <w:tcPr>
            <w:tcW w:w="2103" w:type="dxa"/>
            <w:tcBorders>
              <w:top w:val="nil"/>
              <w:left w:val="nil"/>
              <w:bottom w:val="nil"/>
              <w:right w:val="nil"/>
            </w:tcBorders>
            <w:shd w:val="clear" w:color="auto" w:fill="auto"/>
            <w:noWrap w:val="0"/>
            <w:tcMar>
              <w:top w:w="-1" w:type="dxa"/>
              <w:left w:w="-1" w:type="dxa"/>
              <w:bottom w:w="-1" w:type="dxa"/>
              <w:right w:w="-1" w:type="dxa"/>
            </w:tcMar>
            <w:vAlign w:val="center"/>
          </w:tcPr>
          <w:p w14:paraId="63CC108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(95%CI)</w:t>
            </w:r>
          </w:p>
        </w:tc>
      </w:tr>
      <w:tr w14:paraId="3FB10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42" w:type="dxa"/>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38C01A5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Hypertension included in CMM definition</w:t>
            </w:r>
          </w:p>
        </w:tc>
        <w:tc>
          <w:tcPr>
            <w:tcW w:w="1322" w:type="dxa"/>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5DDC721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TyG-WHtR</w:t>
            </w:r>
          </w:p>
        </w:tc>
        <w:tc>
          <w:tcPr>
            <w:tcW w:w="2082" w:type="dxa"/>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19DBE77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1.35 (1.15–1.58)</w:t>
            </w:r>
          </w:p>
        </w:tc>
        <w:tc>
          <w:tcPr>
            <w:tcW w:w="2053" w:type="dxa"/>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5B1ECAD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1.85 (1.58–2.16)</w:t>
            </w:r>
          </w:p>
        </w:tc>
        <w:tc>
          <w:tcPr>
            <w:tcW w:w="2103" w:type="dxa"/>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7B25061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3.07 (2.65–3.55)</w:t>
            </w:r>
          </w:p>
        </w:tc>
      </w:tr>
      <w:tr w14:paraId="7940B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42" w:type="dxa"/>
            <w:tcBorders>
              <w:top w:val="nil"/>
              <w:left w:val="nil"/>
              <w:bottom w:val="nil"/>
              <w:right w:val="nil"/>
            </w:tcBorders>
            <w:shd w:val="clear" w:color="auto" w:fill="auto"/>
            <w:noWrap w:val="0"/>
            <w:tcMar>
              <w:top w:w="-1" w:type="dxa"/>
              <w:left w:w="-1" w:type="dxa"/>
              <w:bottom w:w="-1" w:type="dxa"/>
              <w:right w:w="-1" w:type="dxa"/>
            </w:tcMar>
            <w:vAlign w:val="center"/>
          </w:tcPr>
          <w:p w14:paraId="742BBE8E">
            <w:pPr>
              <w:snapToGrid w:val="0"/>
              <w:ind w:left="0" w:leftChars="0" w:right="0" w:rightChars="0" w:firstLine="0" w:firstLineChars="0"/>
              <w:jc w:val="center"/>
              <w:rPr>
                <w:rFonts w:hint="default" w:ascii="Times New Roman" w:hAnsi="Times New Roman" w:eastAsia="宋体" w:cs="Times New Roman"/>
                <w:i w:val="0"/>
                <w:iCs w:val="0"/>
                <w:color w:val="auto"/>
                <w:sz w:val="21"/>
                <w:szCs w:val="21"/>
                <w:highlight w:val="none"/>
                <w:u w:val="none"/>
              </w:rPr>
            </w:pPr>
          </w:p>
        </w:tc>
        <w:tc>
          <w:tcPr>
            <w:tcW w:w="1322" w:type="dxa"/>
            <w:tcBorders>
              <w:top w:val="nil"/>
              <w:left w:val="nil"/>
              <w:bottom w:val="nil"/>
              <w:right w:val="nil"/>
            </w:tcBorders>
            <w:shd w:val="clear" w:color="auto" w:fill="auto"/>
            <w:noWrap w:val="0"/>
            <w:tcMar>
              <w:top w:w="-1" w:type="dxa"/>
              <w:left w:w="-1" w:type="dxa"/>
              <w:bottom w:w="-1" w:type="dxa"/>
              <w:right w:w="-1" w:type="dxa"/>
            </w:tcMar>
            <w:vAlign w:val="center"/>
          </w:tcPr>
          <w:p w14:paraId="1ACAC9B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TyG-BRI</w:t>
            </w:r>
          </w:p>
        </w:tc>
        <w:tc>
          <w:tcPr>
            <w:tcW w:w="2082" w:type="dxa"/>
            <w:tcBorders>
              <w:top w:val="nil"/>
              <w:left w:val="nil"/>
              <w:bottom w:val="nil"/>
              <w:right w:val="nil"/>
            </w:tcBorders>
            <w:shd w:val="clear" w:color="auto" w:fill="auto"/>
            <w:noWrap w:val="0"/>
            <w:tcMar>
              <w:top w:w="-1" w:type="dxa"/>
              <w:left w:w="-1" w:type="dxa"/>
              <w:bottom w:w="-1" w:type="dxa"/>
              <w:right w:w="-1" w:type="dxa"/>
            </w:tcMar>
            <w:vAlign w:val="center"/>
          </w:tcPr>
          <w:p w14:paraId="275A21C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1.42 (1.21–1.66)</w:t>
            </w:r>
          </w:p>
        </w:tc>
        <w:tc>
          <w:tcPr>
            <w:tcW w:w="2053" w:type="dxa"/>
            <w:tcBorders>
              <w:top w:val="nil"/>
              <w:left w:val="nil"/>
              <w:bottom w:val="nil"/>
              <w:right w:val="nil"/>
            </w:tcBorders>
            <w:shd w:val="clear" w:color="auto" w:fill="auto"/>
            <w:noWrap w:val="0"/>
            <w:tcMar>
              <w:top w:w="-1" w:type="dxa"/>
              <w:left w:w="-1" w:type="dxa"/>
              <w:bottom w:w="-1" w:type="dxa"/>
              <w:right w:w="-1" w:type="dxa"/>
            </w:tcMar>
            <w:vAlign w:val="center"/>
          </w:tcPr>
          <w:p w14:paraId="32F5706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1.79 (1.53–2.09)</w:t>
            </w:r>
          </w:p>
        </w:tc>
        <w:tc>
          <w:tcPr>
            <w:tcW w:w="2103" w:type="dxa"/>
            <w:tcBorders>
              <w:top w:val="nil"/>
              <w:left w:val="nil"/>
              <w:bottom w:val="nil"/>
              <w:right w:val="nil"/>
            </w:tcBorders>
            <w:shd w:val="clear" w:color="auto" w:fill="auto"/>
            <w:noWrap w:val="0"/>
            <w:tcMar>
              <w:top w:w="-1" w:type="dxa"/>
              <w:left w:w="-1" w:type="dxa"/>
              <w:bottom w:w="-1" w:type="dxa"/>
              <w:right w:w="-1" w:type="dxa"/>
            </w:tcMar>
            <w:vAlign w:val="center"/>
          </w:tcPr>
          <w:p w14:paraId="5FBB96E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3.03 (2.61–3.51)</w:t>
            </w:r>
          </w:p>
        </w:tc>
      </w:tr>
      <w:tr w14:paraId="3079F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42" w:type="dxa"/>
            <w:tcBorders>
              <w:top w:val="nil"/>
              <w:left w:val="nil"/>
              <w:bottom w:val="nil"/>
              <w:right w:val="nil"/>
            </w:tcBorders>
            <w:shd w:val="clear" w:color="auto" w:fill="auto"/>
            <w:noWrap w:val="0"/>
            <w:tcMar>
              <w:top w:w="-1" w:type="dxa"/>
              <w:left w:w="-1" w:type="dxa"/>
              <w:bottom w:w="-1" w:type="dxa"/>
              <w:right w:w="-1" w:type="dxa"/>
            </w:tcMar>
            <w:vAlign w:val="center"/>
          </w:tcPr>
          <w:p w14:paraId="65D508A3">
            <w:pPr>
              <w:snapToGrid w:val="0"/>
              <w:ind w:left="0" w:leftChars="0" w:right="0" w:rightChars="0" w:firstLine="0" w:firstLineChars="0"/>
              <w:jc w:val="center"/>
              <w:rPr>
                <w:rFonts w:hint="default" w:ascii="Times New Roman" w:hAnsi="Times New Roman" w:eastAsia="宋体" w:cs="Times New Roman"/>
                <w:i w:val="0"/>
                <w:iCs w:val="0"/>
                <w:color w:val="auto"/>
                <w:sz w:val="21"/>
                <w:szCs w:val="21"/>
                <w:highlight w:val="none"/>
                <w:u w:val="none"/>
              </w:rPr>
            </w:pPr>
          </w:p>
        </w:tc>
        <w:tc>
          <w:tcPr>
            <w:tcW w:w="1322" w:type="dxa"/>
            <w:tcBorders>
              <w:top w:val="nil"/>
              <w:left w:val="nil"/>
              <w:bottom w:val="nil"/>
              <w:right w:val="nil"/>
            </w:tcBorders>
            <w:shd w:val="clear" w:color="auto" w:fill="auto"/>
            <w:noWrap w:val="0"/>
            <w:tcMar>
              <w:top w:w="-1" w:type="dxa"/>
              <w:left w:w="-1" w:type="dxa"/>
              <w:bottom w:w="-1" w:type="dxa"/>
              <w:right w:w="-1" w:type="dxa"/>
            </w:tcMar>
            <w:vAlign w:val="center"/>
          </w:tcPr>
          <w:p w14:paraId="389E191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AIP-WHtR</w:t>
            </w:r>
          </w:p>
        </w:tc>
        <w:tc>
          <w:tcPr>
            <w:tcW w:w="2082" w:type="dxa"/>
            <w:tcBorders>
              <w:top w:val="nil"/>
              <w:left w:val="nil"/>
              <w:bottom w:val="nil"/>
              <w:right w:val="nil"/>
            </w:tcBorders>
            <w:shd w:val="clear" w:color="auto" w:fill="auto"/>
            <w:noWrap w:val="0"/>
            <w:tcMar>
              <w:top w:w="-1" w:type="dxa"/>
              <w:left w:w="-1" w:type="dxa"/>
              <w:bottom w:w="-1" w:type="dxa"/>
              <w:right w:w="-1" w:type="dxa"/>
            </w:tcMar>
            <w:vAlign w:val="center"/>
          </w:tcPr>
          <w:p w14:paraId="7172BF8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1.09 (0.94–1.27)</w:t>
            </w:r>
          </w:p>
        </w:tc>
        <w:tc>
          <w:tcPr>
            <w:tcW w:w="2053" w:type="dxa"/>
            <w:tcBorders>
              <w:top w:val="nil"/>
              <w:left w:val="nil"/>
              <w:bottom w:val="nil"/>
              <w:right w:val="nil"/>
            </w:tcBorders>
            <w:shd w:val="clear" w:color="auto" w:fill="auto"/>
            <w:noWrap w:val="0"/>
            <w:tcMar>
              <w:top w:w="-1" w:type="dxa"/>
              <w:left w:w="-1" w:type="dxa"/>
              <w:bottom w:w="-1" w:type="dxa"/>
              <w:right w:w="-1" w:type="dxa"/>
            </w:tcMar>
            <w:vAlign w:val="center"/>
          </w:tcPr>
          <w:p w14:paraId="27994DD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1.52 (1.32–1.76)</w:t>
            </w:r>
          </w:p>
        </w:tc>
        <w:tc>
          <w:tcPr>
            <w:tcW w:w="2103" w:type="dxa"/>
            <w:tcBorders>
              <w:top w:val="nil"/>
              <w:left w:val="nil"/>
              <w:bottom w:val="nil"/>
              <w:right w:val="nil"/>
            </w:tcBorders>
            <w:shd w:val="clear" w:color="auto" w:fill="auto"/>
            <w:noWrap w:val="0"/>
            <w:tcMar>
              <w:top w:w="-1" w:type="dxa"/>
              <w:left w:w="-1" w:type="dxa"/>
              <w:bottom w:w="-1" w:type="dxa"/>
              <w:right w:w="-1" w:type="dxa"/>
            </w:tcMar>
            <w:vAlign w:val="center"/>
          </w:tcPr>
          <w:p w14:paraId="7870AE4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2.13 (1.86–2.44)</w:t>
            </w:r>
          </w:p>
        </w:tc>
      </w:tr>
      <w:tr w14:paraId="2E5B8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42" w:type="dxa"/>
            <w:tcBorders>
              <w:top w:val="nil"/>
              <w:left w:val="nil"/>
              <w:bottom w:val="nil"/>
              <w:right w:val="nil"/>
            </w:tcBorders>
            <w:shd w:val="clear" w:color="auto" w:fill="auto"/>
            <w:noWrap w:val="0"/>
            <w:tcMar>
              <w:top w:w="-1" w:type="dxa"/>
              <w:left w:w="-1" w:type="dxa"/>
              <w:bottom w:w="-1" w:type="dxa"/>
              <w:right w:w="-1" w:type="dxa"/>
            </w:tcMar>
            <w:vAlign w:val="center"/>
          </w:tcPr>
          <w:p w14:paraId="493AD716">
            <w:pPr>
              <w:snapToGrid w:val="0"/>
              <w:ind w:left="0" w:leftChars="0" w:right="0" w:rightChars="0" w:firstLine="0" w:firstLineChars="0"/>
              <w:jc w:val="center"/>
              <w:rPr>
                <w:rFonts w:hint="default" w:ascii="Times New Roman" w:hAnsi="Times New Roman" w:eastAsia="宋体" w:cs="Times New Roman"/>
                <w:i w:val="0"/>
                <w:iCs w:val="0"/>
                <w:color w:val="auto"/>
                <w:sz w:val="21"/>
                <w:szCs w:val="21"/>
                <w:highlight w:val="none"/>
                <w:u w:val="none"/>
              </w:rPr>
            </w:pPr>
          </w:p>
        </w:tc>
        <w:tc>
          <w:tcPr>
            <w:tcW w:w="1322" w:type="dxa"/>
            <w:tcBorders>
              <w:top w:val="nil"/>
              <w:left w:val="nil"/>
              <w:bottom w:val="nil"/>
              <w:right w:val="nil"/>
            </w:tcBorders>
            <w:shd w:val="clear" w:color="auto" w:fill="auto"/>
            <w:noWrap w:val="0"/>
            <w:tcMar>
              <w:top w:w="-1" w:type="dxa"/>
              <w:left w:w="-1" w:type="dxa"/>
              <w:bottom w:w="-1" w:type="dxa"/>
              <w:right w:w="-1" w:type="dxa"/>
            </w:tcMar>
            <w:vAlign w:val="center"/>
          </w:tcPr>
          <w:p w14:paraId="2A7BD4C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AIP-BRI</w:t>
            </w:r>
          </w:p>
        </w:tc>
        <w:tc>
          <w:tcPr>
            <w:tcW w:w="2082" w:type="dxa"/>
            <w:tcBorders>
              <w:top w:val="nil"/>
              <w:left w:val="nil"/>
              <w:bottom w:val="nil"/>
              <w:right w:val="nil"/>
            </w:tcBorders>
            <w:shd w:val="clear" w:color="auto" w:fill="auto"/>
            <w:noWrap w:val="0"/>
            <w:tcMar>
              <w:top w:w="-1" w:type="dxa"/>
              <w:left w:w="-1" w:type="dxa"/>
              <w:bottom w:w="-1" w:type="dxa"/>
              <w:right w:w="-1" w:type="dxa"/>
            </w:tcMar>
            <w:vAlign w:val="center"/>
          </w:tcPr>
          <w:p w14:paraId="0CB49C4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1.15 (0.99–1.34)</w:t>
            </w:r>
          </w:p>
        </w:tc>
        <w:tc>
          <w:tcPr>
            <w:tcW w:w="2053" w:type="dxa"/>
            <w:tcBorders>
              <w:top w:val="nil"/>
              <w:left w:val="nil"/>
              <w:bottom w:val="nil"/>
              <w:right w:val="nil"/>
            </w:tcBorders>
            <w:shd w:val="clear" w:color="auto" w:fill="auto"/>
            <w:noWrap w:val="0"/>
            <w:tcMar>
              <w:top w:w="-1" w:type="dxa"/>
              <w:left w:w="-1" w:type="dxa"/>
              <w:bottom w:w="-1" w:type="dxa"/>
              <w:right w:w="-1" w:type="dxa"/>
            </w:tcMar>
            <w:vAlign w:val="center"/>
          </w:tcPr>
          <w:p w14:paraId="0CBC62E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1.59 (1.38–1.84)</w:t>
            </w:r>
          </w:p>
        </w:tc>
        <w:tc>
          <w:tcPr>
            <w:tcW w:w="2103" w:type="dxa"/>
            <w:tcBorders>
              <w:top w:val="nil"/>
              <w:left w:val="nil"/>
              <w:bottom w:val="nil"/>
              <w:right w:val="nil"/>
            </w:tcBorders>
            <w:shd w:val="clear" w:color="auto" w:fill="auto"/>
            <w:noWrap w:val="0"/>
            <w:tcMar>
              <w:top w:w="-1" w:type="dxa"/>
              <w:left w:w="-1" w:type="dxa"/>
              <w:bottom w:w="-1" w:type="dxa"/>
              <w:right w:w="-1" w:type="dxa"/>
            </w:tcMar>
            <w:vAlign w:val="center"/>
          </w:tcPr>
          <w:p w14:paraId="03D70F8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2.38 (2.07–2.73)</w:t>
            </w:r>
          </w:p>
        </w:tc>
      </w:tr>
      <w:tr w14:paraId="7821E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42" w:type="dxa"/>
            <w:tcBorders>
              <w:top w:val="nil"/>
              <w:left w:val="nil"/>
              <w:bottom w:val="nil"/>
              <w:right w:val="nil"/>
            </w:tcBorders>
            <w:shd w:val="clear" w:color="auto" w:fill="auto"/>
            <w:noWrap w:val="0"/>
            <w:tcMar>
              <w:top w:w="-1" w:type="dxa"/>
              <w:left w:w="-1" w:type="dxa"/>
              <w:bottom w:w="-1" w:type="dxa"/>
              <w:right w:w="-1" w:type="dxa"/>
            </w:tcMar>
            <w:vAlign w:val="center"/>
          </w:tcPr>
          <w:p w14:paraId="0C0D596E">
            <w:pPr>
              <w:snapToGrid w:val="0"/>
              <w:ind w:left="0" w:leftChars="0" w:right="0" w:rightChars="0" w:firstLine="0" w:firstLineChars="0"/>
              <w:jc w:val="center"/>
              <w:rPr>
                <w:rFonts w:hint="default" w:ascii="Times New Roman" w:hAnsi="Times New Roman" w:eastAsia="宋体" w:cs="Times New Roman"/>
                <w:i w:val="0"/>
                <w:iCs w:val="0"/>
                <w:color w:val="auto"/>
                <w:sz w:val="21"/>
                <w:szCs w:val="21"/>
                <w:highlight w:val="none"/>
                <w:u w:val="none"/>
              </w:rPr>
            </w:pPr>
          </w:p>
        </w:tc>
        <w:tc>
          <w:tcPr>
            <w:tcW w:w="1322" w:type="dxa"/>
            <w:tcBorders>
              <w:top w:val="nil"/>
              <w:left w:val="nil"/>
              <w:bottom w:val="nil"/>
              <w:right w:val="nil"/>
            </w:tcBorders>
            <w:shd w:val="clear" w:color="auto" w:fill="auto"/>
            <w:noWrap w:val="0"/>
            <w:tcMar>
              <w:top w:w="-1" w:type="dxa"/>
              <w:left w:w="-1" w:type="dxa"/>
              <w:bottom w:w="-1" w:type="dxa"/>
              <w:right w:w="-1" w:type="dxa"/>
            </w:tcMar>
            <w:vAlign w:val="center"/>
          </w:tcPr>
          <w:p w14:paraId="14B8281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ICMRS</w:t>
            </w:r>
          </w:p>
        </w:tc>
        <w:tc>
          <w:tcPr>
            <w:tcW w:w="2082" w:type="dxa"/>
            <w:tcBorders>
              <w:top w:val="nil"/>
              <w:left w:val="nil"/>
              <w:bottom w:val="nil"/>
              <w:right w:val="nil"/>
            </w:tcBorders>
            <w:shd w:val="clear" w:color="auto" w:fill="auto"/>
            <w:noWrap w:val="0"/>
            <w:tcMar>
              <w:top w:w="-1" w:type="dxa"/>
              <w:left w:w="-1" w:type="dxa"/>
              <w:bottom w:w="-1" w:type="dxa"/>
              <w:right w:w="-1" w:type="dxa"/>
            </w:tcMar>
            <w:vAlign w:val="center"/>
          </w:tcPr>
          <w:p w14:paraId="75F4192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1.20 (1.02–1.40)</w:t>
            </w:r>
          </w:p>
        </w:tc>
        <w:tc>
          <w:tcPr>
            <w:tcW w:w="2053" w:type="dxa"/>
            <w:tcBorders>
              <w:top w:val="nil"/>
              <w:left w:val="nil"/>
              <w:bottom w:val="nil"/>
              <w:right w:val="nil"/>
            </w:tcBorders>
            <w:shd w:val="clear" w:color="auto" w:fill="auto"/>
            <w:noWrap w:val="0"/>
            <w:tcMar>
              <w:top w:w="-1" w:type="dxa"/>
              <w:left w:w="-1" w:type="dxa"/>
              <w:bottom w:w="-1" w:type="dxa"/>
              <w:right w:w="-1" w:type="dxa"/>
            </w:tcMar>
            <w:vAlign w:val="center"/>
          </w:tcPr>
          <w:p w14:paraId="27F7E05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1.79 (1.55–2.08)</w:t>
            </w:r>
          </w:p>
        </w:tc>
        <w:tc>
          <w:tcPr>
            <w:tcW w:w="2103" w:type="dxa"/>
            <w:tcBorders>
              <w:top w:val="nil"/>
              <w:left w:val="nil"/>
              <w:bottom w:val="nil"/>
              <w:right w:val="nil"/>
            </w:tcBorders>
            <w:shd w:val="clear" w:color="auto" w:fill="auto"/>
            <w:noWrap w:val="0"/>
            <w:tcMar>
              <w:top w:w="-1" w:type="dxa"/>
              <w:left w:w="-1" w:type="dxa"/>
              <w:bottom w:w="-1" w:type="dxa"/>
              <w:right w:w="-1" w:type="dxa"/>
            </w:tcMar>
            <w:vAlign w:val="center"/>
          </w:tcPr>
          <w:p w14:paraId="5377745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2.52 (2.19–2.90)</w:t>
            </w:r>
          </w:p>
        </w:tc>
      </w:tr>
      <w:tr w14:paraId="1125B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42" w:type="dxa"/>
            <w:tcBorders>
              <w:top w:val="nil"/>
              <w:left w:val="nil"/>
              <w:bottom w:val="nil"/>
              <w:right w:val="nil"/>
            </w:tcBorders>
            <w:shd w:val="clear" w:color="auto" w:fill="auto"/>
            <w:noWrap w:val="0"/>
            <w:tcMar>
              <w:top w:w="-1" w:type="dxa"/>
              <w:left w:w="-1" w:type="dxa"/>
              <w:bottom w:w="-1" w:type="dxa"/>
              <w:right w:w="-1" w:type="dxa"/>
            </w:tcMar>
            <w:vAlign w:val="center"/>
          </w:tcPr>
          <w:p w14:paraId="3CC8B8A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Excluding early events</w:t>
            </w:r>
          </w:p>
        </w:tc>
        <w:tc>
          <w:tcPr>
            <w:tcW w:w="1322" w:type="dxa"/>
            <w:tcBorders>
              <w:top w:val="nil"/>
              <w:left w:val="nil"/>
              <w:bottom w:val="nil"/>
              <w:right w:val="nil"/>
            </w:tcBorders>
            <w:shd w:val="clear" w:color="auto" w:fill="auto"/>
            <w:noWrap w:val="0"/>
            <w:tcMar>
              <w:top w:w="-1" w:type="dxa"/>
              <w:left w:w="-1" w:type="dxa"/>
              <w:bottom w:w="-1" w:type="dxa"/>
              <w:right w:w="-1" w:type="dxa"/>
            </w:tcMar>
            <w:vAlign w:val="center"/>
          </w:tcPr>
          <w:p w14:paraId="478101A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TyG-WHtR</w:t>
            </w:r>
          </w:p>
        </w:tc>
        <w:tc>
          <w:tcPr>
            <w:tcW w:w="2082" w:type="dxa"/>
            <w:tcBorders>
              <w:top w:val="nil"/>
              <w:left w:val="nil"/>
              <w:bottom w:val="nil"/>
              <w:right w:val="nil"/>
            </w:tcBorders>
            <w:shd w:val="clear" w:color="auto" w:fill="auto"/>
            <w:noWrap w:val="0"/>
            <w:tcMar>
              <w:top w:w="-1" w:type="dxa"/>
              <w:left w:w="-1" w:type="dxa"/>
              <w:bottom w:w="-1" w:type="dxa"/>
              <w:right w:w="-1" w:type="dxa"/>
            </w:tcMar>
            <w:vAlign w:val="center"/>
          </w:tcPr>
          <w:p w14:paraId="4734C18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1.36 (1.00–1.84)</w:t>
            </w:r>
          </w:p>
        </w:tc>
        <w:tc>
          <w:tcPr>
            <w:tcW w:w="2053" w:type="dxa"/>
            <w:tcBorders>
              <w:top w:val="nil"/>
              <w:left w:val="nil"/>
              <w:bottom w:val="nil"/>
              <w:right w:val="nil"/>
            </w:tcBorders>
            <w:shd w:val="clear" w:color="auto" w:fill="auto"/>
            <w:noWrap w:val="0"/>
            <w:tcMar>
              <w:top w:w="-1" w:type="dxa"/>
              <w:left w:w="-1" w:type="dxa"/>
              <w:bottom w:w="-1" w:type="dxa"/>
              <w:right w:w="-1" w:type="dxa"/>
            </w:tcMar>
            <w:vAlign w:val="center"/>
          </w:tcPr>
          <w:p w14:paraId="2C78A38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2.02 (1.52–2.69)</w:t>
            </w:r>
          </w:p>
        </w:tc>
        <w:tc>
          <w:tcPr>
            <w:tcW w:w="2103" w:type="dxa"/>
            <w:tcBorders>
              <w:top w:val="nil"/>
              <w:left w:val="nil"/>
              <w:bottom w:val="nil"/>
              <w:right w:val="nil"/>
            </w:tcBorders>
            <w:shd w:val="clear" w:color="auto" w:fill="auto"/>
            <w:noWrap w:val="0"/>
            <w:tcMar>
              <w:top w:w="-1" w:type="dxa"/>
              <w:left w:w="-1" w:type="dxa"/>
              <w:bottom w:w="-1" w:type="dxa"/>
              <w:right w:w="-1" w:type="dxa"/>
            </w:tcMar>
            <w:vAlign w:val="center"/>
          </w:tcPr>
          <w:p w14:paraId="42B4DAF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2.89 (2.19–3.81)</w:t>
            </w:r>
          </w:p>
        </w:tc>
      </w:tr>
      <w:tr w14:paraId="013BD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42" w:type="dxa"/>
            <w:tcBorders>
              <w:top w:val="nil"/>
              <w:left w:val="nil"/>
              <w:bottom w:val="nil"/>
              <w:right w:val="nil"/>
            </w:tcBorders>
            <w:shd w:val="clear" w:color="auto" w:fill="auto"/>
            <w:noWrap w:val="0"/>
            <w:tcMar>
              <w:top w:w="-1" w:type="dxa"/>
              <w:left w:w="-1" w:type="dxa"/>
              <w:bottom w:w="-1" w:type="dxa"/>
              <w:right w:w="-1" w:type="dxa"/>
            </w:tcMar>
            <w:vAlign w:val="center"/>
          </w:tcPr>
          <w:p w14:paraId="7387B810">
            <w:pPr>
              <w:snapToGrid w:val="0"/>
              <w:ind w:left="0" w:leftChars="0" w:right="0" w:rightChars="0" w:firstLine="0" w:firstLineChars="0"/>
              <w:jc w:val="center"/>
              <w:rPr>
                <w:rFonts w:hint="default" w:ascii="Times New Roman" w:hAnsi="Times New Roman" w:eastAsia="宋体" w:cs="Times New Roman"/>
                <w:i w:val="0"/>
                <w:iCs w:val="0"/>
                <w:color w:val="auto"/>
                <w:sz w:val="21"/>
                <w:szCs w:val="21"/>
                <w:highlight w:val="none"/>
                <w:u w:val="none"/>
              </w:rPr>
            </w:pPr>
          </w:p>
        </w:tc>
        <w:tc>
          <w:tcPr>
            <w:tcW w:w="1322" w:type="dxa"/>
            <w:tcBorders>
              <w:top w:val="nil"/>
              <w:left w:val="nil"/>
              <w:bottom w:val="nil"/>
              <w:right w:val="nil"/>
            </w:tcBorders>
            <w:shd w:val="clear" w:color="auto" w:fill="auto"/>
            <w:noWrap w:val="0"/>
            <w:tcMar>
              <w:top w:w="-1" w:type="dxa"/>
              <w:left w:w="-1" w:type="dxa"/>
              <w:bottom w:w="-1" w:type="dxa"/>
              <w:right w:w="-1" w:type="dxa"/>
            </w:tcMar>
            <w:vAlign w:val="center"/>
          </w:tcPr>
          <w:p w14:paraId="0544C6F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TyG-BRI</w:t>
            </w:r>
          </w:p>
        </w:tc>
        <w:tc>
          <w:tcPr>
            <w:tcW w:w="2082" w:type="dxa"/>
            <w:tcBorders>
              <w:top w:val="nil"/>
              <w:left w:val="nil"/>
              <w:bottom w:val="nil"/>
              <w:right w:val="nil"/>
            </w:tcBorders>
            <w:shd w:val="clear" w:color="auto" w:fill="auto"/>
            <w:noWrap w:val="0"/>
            <w:tcMar>
              <w:top w:w="-1" w:type="dxa"/>
              <w:left w:w="-1" w:type="dxa"/>
              <w:bottom w:w="-1" w:type="dxa"/>
              <w:right w:w="-1" w:type="dxa"/>
            </w:tcMar>
            <w:vAlign w:val="center"/>
          </w:tcPr>
          <w:p w14:paraId="371BE35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1.39 (1.03–1.89)</w:t>
            </w:r>
          </w:p>
        </w:tc>
        <w:tc>
          <w:tcPr>
            <w:tcW w:w="2053" w:type="dxa"/>
            <w:tcBorders>
              <w:top w:val="nil"/>
              <w:left w:val="nil"/>
              <w:bottom w:val="nil"/>
              <w:right w:val="nil"/>
            </w:tcBorders>
            <w:shd w:val="clear" w:color="auto" w:fill="auto"/>
            <w:noWrap w:val="0"/>
            <w:tcMar>
              <w:top w:w="-1" w:type="dxa"/>
              <w:left w:w="-1" w:type="dxa"/>
              <w:bottom w:w="-1" w:type="dxa"/>
              <w:right w:w="-1" w:type="dxa"/>
            </w:tcMar>
            <w:vAlign w:val="center"/>
          </w:tcPr>
          <w:p w14:paraId="3440003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2.10 (1.58–2.79)</w:t>
            </w:r>
          </w:p>
        </w:tc>
        <w:tc>
          <w:tcPr>
            <w:tcW w:w="2103" w:type="dxa"/>
            <w:tcBorders>
              <w:top w:val="nil"/>
              <w:left w:val="nil"/>
              <w:bottom w:val="nil"/>
              <w:right w:val="nil"/>
            </w:tcBorders>
            <w:shd w:val="clear" w:color="auto" w:fill="auto"/>
            <w:noWrap w:val="0"/>
            <w:tcMar>
              <w:top w:w="-1" w:type="dxa"/>
              <w:left w:w="-1" w:type="dxa"/>
              <w:bottom w:w="-1" w:type="dxa"/>
              <w:right w:w="-1" w:type="dxa"/>
            </w:tcMar>
            <w:vAlign w:val="center"/>
          </w:tcPr>
          <w:p w14:paraId="3B92467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2.84 (2.14–3.75)</w:t>
            </w:r>
          </w:p>
        </w:tc>
      </w:tr>
      <w:tr w14:paraId="2E66F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42" w:type="dxa"/>
            <w:tcBorders>
              <w:top w:val="nil"/>
              <w:left w:val="nil"/>
              <w:bottom w:val="nil"/>
              <w:right w:val="nil"/>
            </w:tcBorders>
            <w:shd w:val="clear" w:color="auto" w:fill="auto"/>
            <w:noWrap w:val="0"/>
            <w:tcMar>
              <w:top w:w="-1" w:type="dxa"/>
              <w:left w:w="-1" w:type="dxa"/>
              <w:bottom w:w="-1" w:type="dxa"/>
              <w:right w:w="-1" w:type="dxa"/>
            </w:tcMar>
            <w:vAlign w:val="center"/>
          </w:tcPr>
          <w:p w14:paraId="710665D1">
            <w:pPr>
              <w:snapToGrid w:val="0"/>
              <w:ind w:left="0" w:leftChars="0" w:right="0" w:rightChars="0" w:firstLine="0" w:firstLineChars="0"/>
              <w:jc w:val="center"/>
              <w:rPr>
                <w:rFonts w:hint="default" w:ascii="Times New Roman" w:hAnsi="Times New Roman" w:eastAsia="宋体" w:cs="Times New Roman"/>
                <w:i w:val="0"/>
                <w:iCs w:val="0"/>
                <w:color w:val="auto"/>
                <w:sz w:val="21"/>
                <w:szCs w:val="21"/>
                <w:highlight w:val="none"/>
                <w:u w:val="none"/>
              </w:rPr>
            </w:pPr>
          </w:p>
        </w:tc>
        <w:tc>
          <w:tcPr>
            <w:tcW w:w="1322" w:type="dxa"/>
            <w:tcBorders>
              <w:top w:val="nil"/>
              <w:left w:val="nil"/>
              <w:bottom w:val="nil"/>
              <w:right w:val="nil"/>
            </w:tcBorders>
            <w:shd w:val="clear" w:color="auto" w:fill="auto"/>
            <w:noWrap w:val="0"/>
            <w:tcMar>
              <w:top w:w="-1" w:type="dxa"/>
              <w:left w:w="-1" w:type="dxa"/>
              <w:bottom w:w="-1" w:type="dxa"/>
              <w:right w:w="-1" w:type="dxa"/>
            </w:tcMar>
            <w:vAlign w:val="center"/>
          </w:tcPr>
          <w:p w14:paraId="04ED1A6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AIP-WHtR</w:t>
            </w:r>
          </w:p>
        </w:tc>
        <w:tc>
          <w:tcPr>
            <w:tcW w:w="2082" w:type="dxa"/>
            <w:tcBorders>
              <w:top w:val="nil"/>
              <w:left w:val="nil"/>
              <w:bottom w:val="nil"/>
              <w:right w:val="nil"/>
            </w:tcBorders>
            <w:shd w:val="clear" w:color="auto" w:fill="auto"/>
            <w:noWrap w:val="0"/>
            <w:tcMar>
              <w:top w:w="-1" w:type="dxa"/>
              <w:left w:w="-1" w:type="dxa"/>
              <w:bottom w:w="-1" w:type="dxa"/>
              <w:right w:w="-1" w:type="dxa"/>
            </w:tcMar>
            <w:vAlign w:val="center"/>
          </w:tcPr>
          <w:p w14:paraId="278E89E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1.02 (0.77–1.35)</w:t>
            </w:r>
          </w:p>
        </w:tc>
        <w:tc>
          <w:tcPr>
            <w:tcW w:w="2053" w:type="dxa"/>
            <w:tcBorders>
              <w:top w:val="nil"/>
              <w:left w:val="nil"/>
              <w:bottom w:val="nil"/>
              <w:right w:val="nil"/>
            </w:tcBorders>
            <w:shd w:val="clear" w:color="auto" w:fill="auto"/>
            <w:noWrap w:val="0"/>
            <w:tcMar>
              <w:top w:w="-1" w:type="dxa"/>
              <w:left w:w="-1" w:type="dxa"/>
              <w:bottom w:w="-1" w:type="dxa"/>
              <w:right w:w="-1" w:type="dxa"/>
            </w:tcMar>
            <w:vAlign w:val="center"/>
          </w:tcPr>
          <w:p w14:paraId="5C7665E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1.33 (1.02–1.72)</w:t>
            </w:r>
          </w:p>
        </w:tc>
        <w:tc>
          <w:tcPr>
            <w:tcW w:w="2103" w:type="dxa"/>
            <w:tcBorders>
              <w:top w:val="nil"/>
              <w:left w:val="nil"/>
              <w:bottom w:val="nil"/>
              <w:right w:val="nil"/>
            </w:tcBorders>
            <w:shd w:val="clear" w:color="auto" w:fill="auto"/>
            <w:noWrap w:val="0"/>
            <w:tcMar>
              <w:top w:w="-1" w:type="dxa"/>
              <w:left w:w="-1" w:type="dxa"/>
              <w:bottom w:w="-1" w:type="dxa"/>
              <w:right w:w="-1" w:type="dxa"/>
            </w:tcMar>
            <w:vAlign w:val="center"/>
          </w:tcPr>
          <w:p w14:paraId="680E94A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1.86 (1.45–2.39)</w:t>
            </w:r>
          </w:p>
        </w:tc>
      </w:tr>
      <w:tr w14:paraId="7CA5D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42" w:type="dxa"/>
            <w:tcBorders>
              <w:top w:val="nil"/>
              <w:left w:val="nil"/>
              <w:bottom w:val="nil"/>
              <w:right w:val="nil"/>
            </w:tcBorders>
            <w:shd w:val="clear" w:color="auto" w:fill="auto"/>
            <w:noWrap w:val="0"/>
            <w:tcMar>
              <w:top w:w="-1" w:type="dxa"/>
              <w:left w:w="-1" w:type="dxa"/>
              <w:bottom w:w="-1" w:type="dxa"/>
              <w:right w:w="-1" w:type="dxa"/>
            </w:tcMar>
            <w:vAlign w:val="center"/>
          </w:tcPr>
          <w:p w14:paraId="227C97D5">
            <w:pPr>
              <w:snapToGrid w:val="0"/>
              <w:ind w:left="0" w:leftChars="0" w:right="0" w:rightChars="0" w:firstLine="0" w:firstLineChars="0"/>
              <w:jc w:val="center"/>
              <w:rPr>
                <w:rFonts w:hint="default" w:ascii="Times New Roman" w:hAnsi="Times New Roman" w:eastAsia="宋体" w:cs="Times New Roman"/>
                <w:i w:val="0"/>
                <w:iCs w:val="0"/>
                <w:color w:val="auto"/>
                <w:sz w:val="21"/>
                <w:szCs w:val="21"/>
                <w:highlight w:val="none"/>
                <w:u w:val="none"/>
              </w:rPr>
            </w:pPr>
          </w:p>
        </w:tc>
        <w:tc>
          <w:tcPr>
            <w:tcW w:w="1322" w:type="dxa"/>
            <w:tcBorders>
              <w:top w:val="nil"/>
              <w:left w:val="nil"/>
              <w:bottom w:val="nil"/>
              <w:right w:val="nil"/>
            </w:tcBorders>
            <w:shd w:val="clear" w:color="auto" w:fill="auto"/>
            <w:noWrap w:val="0"/>
            <w:tcMar>
              <w:top w:w="-1" w:type="dxa"/>
              <w:left w:w="-1" w:type="dxa"/>
              <w:bottom w:w="-1" w:type="dxa"/>
              <w:right w:w="-1" w:type="dxa"/>
            </w:tcMar>
            <w:vAlign w:val="center"/>
          </w:tcPr>
          <w:p w14:paraId="435E6832">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AIP-BRI</w:t>
            </w:r>
          </w:p>
        </w:tc>
        <w:tc>
          <w:tcPr>
            <w:tcW w:w="2082" w:type="dxa"/>
            <w:tcBorders>
              <w:top w:val="nil"/>
              <w:left w:val="nil"/>
              <w:bottom w:val="nil"/>
              <w:right w:val="nil"/>
            </w:tcBorders>
            <w:shd w:val="clear" w:color="auto" w:fill="auto"/>
            <w:noWrap w:val="0"/>
            <w:tcMar>
              <w:top w:w="-1" w:type="dxa"/>
              <w:left w:w="-1" w:type="dxa"/>
              <w:bottom w:w="-1" w:type="dxa"/>
              <w:right w:w="-1" w:type="dxa"/>
            </w:tcMar>
            <w:vAlign w:val="center"/>
          </w:tcPr>
          <w:p w14:paraId="20AFC6A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1.07 (0.81–1.43)</w:t>
            </w:r>
          </w:p>
        </w:tc>
        <w:tc>
          <w:tcPr>
            <w:tcW w:w="2053" w:type="dxa"/>
            <w:tcBorders>
              <w:top w:val="nil"/>
              <w:left w:val="nil"/>
              <w:bottom w:val="nil"/>
              <w:right w:val="nil"/>
            </w:tcBorders>
            <w:shd w:val="clear" w:color="auto" w:fill="auto"/>
            <w:noWrap w:val="0"/>
            <w:tcMar>
              <w:top w:w="-1" w:type="dxa"/>
              <w:left w:w="-1" w:type="dxa"/>
              <w:bottom w:w="-1" w:type="dxa"/>
              <w:right w:w="-1" w:type="dxa"/>
            </w:tcMar>
            <w:vAlign w:val="center"/>
          </w:tcPr>
          <w:p w14:paraId="058E610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1.40 (1.07–1.83)</w:t>
            </w:r>
          </w:p>
        </w:tc>
        <w:tc>
          <w:tcPr>
            <w:tcW w:w="2103" w:type="dxa"/>
            <w:tcBorders>
              <w:top w:val="nil"/>
              <w:left w:val="nil"/>
              <w:bottom w:val="nil"/>
              <w:right w:val="nil"/>
            </w:tcBorders>
            <w:shd w:val="clear" w:color="auto" w:fill="auto"/>
            <w:noWrap w:val="0"/>
            <w:tcMar>
              <w:top w:w="-1" w:type="dxa"/>
              <w:left w:w="-1" w:type="dxa"/>
              <w:bottom w:w="-1" w:type="dxa"/>
              <w:right w:w="-1" w:type="dxa"/>
            </w:tcMar>
            <w:vAlign w:val="center"/>
          </w:tcPr>
          <w:p w14:paraId="1F04DFE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2.08 (1.62–2.68)</w:t>
            </w:r>
          </w:p>
        </w:tc>
      </w:tr>
      <w:tr w14:paraId="367C4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42" w:type="dxa"/>
            <w:tcBorders>
              <w:top w:val="nil"/>
              <w:left w:val="nil"/>
              <w:bottom w:val="nil"/>
              <w:right w:val="nil"/>
            </w:tcBorders>
            <w:shd w:val="clear" w:color="auto" w:fill="auto"/>
            <w:noWrap w:val="0"/>
            <w:tcMar>
              <w:top w:w="-1" w:type="dxa"/>
              <w:left w:w="-1" w:type="dxa"/>
              <w:bottom w:w="-1" w:type="dxa"/>
              <w:right w:w="-1" w:type="dxa"/>
            </w:tcMar>
            <w:vAlign w:val="center"/>
          </w:tcPr>
          <w:p w14:paraId="44EDAD72">
            <w:pPr>
              <w:snapToGrid w:val="0"/>
              <w:ind w:left="0" w:leftChars="0" w:right="0" w:rightChars="0" w:firstLine="0" w:firstLineChars="0"/>
              <w:jc w:val="center"/>
              <w:rPr>
                <w:rFonts w:hint="default" w:ascii="Times New Roman" w:hAnsi="Times New Roman" w:eastAsia="宋体" w:cs="Times New Roman"/>
                <w:i w:val="0"/>
                <w:iCs w:val="0"/>
                <w:color w:val="auto"/>
                <w:sz w:val="21"/>
                <w:szCs w:val="21"/>
                <w:highlight w:val="none"/>
                <w:u w:val="none"/>
              </w:rPr>
            </w:pPr>
          </w:p>
        </w:tc>
        <w:tc>
          <w:tcPr>
            <w:tcW w:w="1322" w:type="dxa"/>
            <w:tcBorders>
              <w:top w:val="nil"/>
              <w:left w:val="nil"/>
              <w:bottom w:val="nil"/>
              <w:right w:val="nil"/>
            </w:tcBorders>
            <w:shd w:val="clear" w:color="auto" w:fill="auto"/>
            <w:noWrap w:val="0"/>
            <w:tcMar>
              <w:top w:w="-1" w:type="dxa"/>
              <w:left w:w="-1" w:type="dxa"/>
              <w:bottom w:w="-1" w:type="dxa"/>
              <w:right w:w="-1" w:type="dxa"/>
            </w:tcMar>
            <w:vAlign w:val="center"/>
          </w:tcPr>
          <w:p w14:paraId="2FD6F1B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ICMRS</w:t>
            </w:r>
          </w:p>
        </w:tc>
        <w:tc>
          <w:tcPr>
            <w:tcW w:w="2082" w:type="dxa"/>
            <w:tcBorders>
              <w:top w:val="nil"/>
              <w:left w:val="nil"/>
              <w:bottom w:val="nil"/>
              <w:right w:val="nil"/>
            </w:tcBorders>
            <w:shd w:val="clear" w:color="auto" w:fill="auto"/>
            <w:noWrap w:val="0"/>
            <w:tcMar>
              <w:top w:w="-1" w:type="dxa"/>
              <w:left w:w="-1" w:type="dxa"/>
              <w:bottom w:w="-1" w:type="dxa"/>
              <w:right w:w="-1" w:type="dxa"/>
            </w:tcMar>
            <w:vAlign w:val="center"/>
          </w:tcPr>
          <w:p w14:paraId="67CEFC6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1.24 (0.93–1.66)</w:t>
            </w:r>
          </w:p>
        </w:tc>
        <w:tc>
          <w:tcPr>
            <w:tcW w:w="2053" w:type="dxa"/>
            <w:tcBorders>
              <w:top w:val="nil"/>
              <w:left w:val="nil"/>
              <w:bottom w:val="nil"/>
              <w:right w:val="nil"/>
            </w:tcBorders>
            <w:shd w:val="clear" w:color="auto" w:fill="auto"/>
            <w:noWrap w:val="0"/>
            <w:tcMar>
              <w:top w:w="-1" w:type="dxa"/>
              <w:left w:w="-1" w:type="dxa"/>
              <w:bottom w:w="-1" w:type="dxa"/>
              <w:right w:w="-1" w:type="dxa"/>
            </w:tcMar>
            <w:vAlign w:val="center"/>
          </w:tcPr>
          <w:p w14:paraId="1784552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1.52 (1.15–2.00)</w:t>
            </w:r>
          </w:p>
        </w:tc>
        <w:tc>
          <w:tcPr>
            <w:tcW w:w="2103" w:type="dxa"/>
            <w:tcBorders>
              <w:top w:val="nil"/>
              <w:left w:val="nil"/>
              <w:bottom w:val="nil"/>
              <w:right w:val="nil"/>
            </w:tcBorders>
            <w:shd w:val="clear" w:color="auto" w:fill="auto"/>
            <w:noWrap w:val="0"/>
            <w:tcMar>
              <w:top w:w="-1" w:type="dxa"/>
              <w:left w:w="-1" w:type="dxa"/>
              <w:bottom w:w="-1" w:type="dxa"/>
              <w:right w:w="-1" w:type="dxa"/>
            </w:tcMar>
            <w:vAlign w:val="center"/>
          </w:tcPr>
          <w:p w14:paraId="5C05C27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2.34 (1.81–3.04)</w:t>
            </w:r>
          </w:p>
        </w:tc>
      </w:tr>
      <w:tr w14:paraId="61ABD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42" w:type="dxa"/>
            <w:tcBorders>
              <w:top w:val="nil"/>
              <w:left w:val="nil"/>
              <w:bottom w:val="nil"/>
              <w:right w:val="nil"/>
            </w:tcBorders>
            <w:shd w:val="clear" w:color="auto" w:fill="auto"/>
            <w:noWrap w:val="0"/>
            <w:tcMar>
              <w:top w:w="-1" w:type="dxa"/>
              <w:left w:w="-1" w:type="dxa"/>
              <w:bottom w:w="-1" w:type="dxa"/>
              <w:right w:w="-1" w:type="dxa"/>
            </w:tcMar>
            <w:vAlign w:val="center"/>
          </w:tcPr>
          <w:p w14:paraId="674A5D7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Complete-case analysis</w:t>
            </w:r>
          </w:p>
        </w:tc>
        <w:tc>
          <w:tcPr>
            <w:tcW w:w="1322" w:type="dxa"/>
            <w:tcBorders>
              <w:top w:val="nil"/>
              <w:left w:val="nil"/>
              <w:bottom w:val="nil"/>
              <w:right w:val="nil"/>
            </w:tcBorders>
            <w:shd w:val="clear" w:color="auto" w:fill="auto"/>
            <w:noWrap w:val="0"/>
            <w:tcMar>
              <w:top w:w="-1" w:type="dxa"/>
              <w:left w:w="-1" w:type="dxa"/>
              <w:bottom w:w="-1" w:type="dxa"/>
              <w:right w:w="-1" w:type="dxa"/>
            </w:tcMar>
            <w:vAlign w:val="center"/>
          </w:tcPr>
          <w:p w14:paraId="12BE83A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TyG-WHtR</w:t>
            </w:r>
          </w:p>
        </w:tc>
        <w:tc>
          <w:tcPr>
            <w:tcW w:w="2082" w:type="dxa"/>
            <w:tcBorders>
              <w:top w:val="nil"/>
              <w:left w:val="nil"/>
              <w:bottom w:val="nil"/>
              <w:right w:val="nil"/>
            </w:tcBorders>
            <w:shd w:val="clear" w:color="auto" w:fill="auto"/>
            <w:noWrap w:val="0"/>
            <w:tcMar>
              <w:top w:w="-1" w:type="dxa"/>
              <w:left w:w="-1" w:type="dxa"/>
              <w:bottom w:w="-1" w:type="dxa"/>
              <w:right w:w="-1" w:type="dxa"/>
            </w:tcMar>
            <w:vAlign w:val="center"/>
          </w:tcPr>
          <w:p w14:paraId="226A2A9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1.31 (1.09–1.57)</w:t>
            </w:r>
          </w:p>
        </w:tc>
        <w:tc>
          <w:tcPr>
            <w:tcW w:w="2053" w:type="dxa"/>
            <w:tcBorders>
              <w:top w:val="nil"/>
              <w:left w:val="nil"/>
              <w:bottom w:val="nil"/>
              <w:right w:val="nil"/>
            </w:tcBorders>
            <w:shd w:val="clear" w:color="auto" w:fill="auto"/>
            <w:noWrap w:val="0"/>
            <w:tcMar>
              <w:top w:w="-1" w:type="dxa"/>
              <w:left w:w="-1" w:type="dxa"/>
              <w:bottom w:w="-1" w:type="dxa"/>
              <w:right w:w="-1" w:type="dxa"/>
            </w:tcMar>
            <w:vAlign w:val="center"/>
          </w:tcPr>
          <w:p w14:paraId="16FF562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1.83 (1.54–2.18)</w:t>
            </w:r>
          </w:p>
        </w:tc>
        <w:tc>
          <w:tcPr>
            <w:tcW w:w="2103" w:type="dxa"/>
            <w:tcBorders>
              <w:top w:val="nil"/>
              <w:left w:val="nil"/>
              <w:bottom w:val="nil"/>
              <w:right w:val="nil"/>
            </w:tcBorders>
            <w:shd w:val="clear" w:color="auto" w:fill="auto"/>
            <w:noWrap w:val="0"/>
            <w:tcMar>
              <w:top w:w="-1" w:type="dxa"/>
              <w:left w:w="-1" w:type="dxa"/>
              <w:bottom w:w="-1" w:type="dxa"/>
              <w:right w:w="-1" w:type="dxa"/>
            </w:tcMar>
            <w:vAlign w:val="center"/>
          </w:tcPr>
          <w:p w14:paraId="1728F75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3.18 (2.70–3.74)</w:t>
            </w:r>
          </w:p>
        </w:tc>
      </w:tr>
      <w:tr w14:paraId="2424F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42" w:type="dxa"/>
            <w:tcBorders>
              <w:top w:val="nil"/>
              <w:left w:val="nil"/>
              <w:bottom w:val="nil"/>
              <w:right w:val="nil"/>
            </w:tcBorders>
            <w:shd w:val="clear" w:color="auto" w:fill="auto"/>
            <w:noWrap w:val="0"/>
            <w:tcMar>
              <w:top w:w="-1" w:type="dxa"/>
              <w:left w:w="-1" w:type="dxa"/>
              <w:bottom w:w="-1" w:type="dxa"/>
              <w:right w:w="-1" w:type="dxa"/>
            </w:tcMar>
            <w:vAlign w:val="center"/>
          </w:tcPr>
          <w:p w14:paraId="5D89D6F7">
            <w:pPr>
              <w:snapToGrid w:val="0"/>
              <w:ind w:left="0" w:leftChars="0" w:right="0" w:rightChars="0" w:firstLine="0" w:firstLineChars="0"/>
              <w:jc w:val="center"/>
              <w:rPr>
                <w:rFonts w:hint="default" w:ascii="Times New Roman" w:hAnsi="Times New Roman" w:eastAsia="宋体" w:cs="Times New Roman"/>
                <w:i w:val="0"/>
                <w:iCs w:val="0"/>
                <w:color w:val="auto"/>
                <w:sz w:val="21"/>
                <w:szCs w:val="21"/>
                <w:highlight w:val="none"/>
                <w:u w:val="none"/>
              </w:rPr>
            </w:pPr>
          </w:p>
        </w:tc>
        <w:tc>
          <w:tcPr>
            <w:tcW w:w="1322" w:type="dxa"/>
            <w:tcBorders>
              <w:top w:val="nil"/>
              <w:left w:val="nil"/>
              <w:bottom w:val="nil"/>
              <w:right w:val="nil"/>
            </w:tcBorders>
            <w:shd w:val="clear" w:color="auto" w:fill="auto"/>
            <w:noWrap w:val="0"/>
            <w:tcMar>
              <w:top w:w="-1" w:type="dxa"/>
              <w:left w:w="-1" w:type="dxa"/>
              <w:bottom w:w="-1" w:type="dxa"/>
              <w:right w:w="-1" w:type="dxa"/>
            </w:tcMar>
            <w:vAlign w:val="center"/>
          </w:tcPr>
          <w:p w14:paraId="0E6804D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TyG-BRI</w:t>
            </w:r>
          </w:p>
        </w:tc>
        <w:tc>
          <w:tcPr>
            <w:tcW w:w="2082" w:type="dxa"/>
            <w:tcBorders>
              <w:top w:val="nil"/>
              <w:left w:val="nil"/>
              <w:bottom w:val="nil"/>
              <w:right w:val="nil"/>
            </w:tcBorders>
            <w:shd w:val="clear" w:color="auto" w:fill="auto"/>
            <w:noWrap w:val="0"/>
            <w:tcMar>
              <w:top w:w="-1" w:type="dxa"/>
              <w:left w:w="-1" w:type="dxa"/>
              <w:bottom w:w="-1" w:type="dxa"/>
              <w:right w:w="-1" w:type="dxa"/>
            </w:tcMar>
            <w:vAlign w:val="center"/>
          </w:tcPr>
          <w:p w14:paraId="00DDE9F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1.35 (1.13–1.62)</w:t>
            </w:r>
          </w:p>
        </w:tc>
        <w:tc>
          <w:tcPr>
            <w:tcW w:w="2053" w:type="dxa"/>
            <w:tcBorders>
              <w:top w:val="nil"/>
              <w:left w:val="nil"/>
              <w:bottom w:val="nil"/>
              <w:right w:val="nil"/>
            </w:tcBorders>
            <w:shd w:val="clear" w:color="auto" w:fill="auto"/>
            <w:noWrap w:val="0"/>
            <w:tcMar>
              <w:top w:w="-1" w:type="dxa"/>
              <w:left w:w="-1" w:type="dxa"/>
              <w:bottom w:w="-1" w:type="dxa"/>
              <w:right w:w="-1" w:type="dxa"/>
            </w:tcMar>
            <w:vAlign w:val="center"/>
          </w:tcPr>
          <w:p w14:paraId="35ABD27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1.78 (1.50–2.12)</w:t>
            </w:r>
          </w:p>
        </w:tc>
        <w:tc>
          <w:tcPr>
            <w:tcW w:w="2103" w:type="dxa"/>
            <w:tcBorders>
              <w:top w:val="nil"/>
              <w:left w:val="nil"/>
              <w:bottom w:val="nil"/>
              <w:right w:val="nil"/>
            </w:tcBorders>
            <w:shd w:val="clear" w:color="auto" w:fill="auto"/>
            <w:noWrap w:val="0"/>
            <w:tcMar>
              <w:top w:w="-1" w:type="dxa"/>
              <w:left w:w="-1" w:type="dxa"/>
              <w:bottom w:w="-1" w:type="dxa"/>
              <w:right w:w="-1" w:type="dxa"/>
            </w:tcMar>
            <w:vAlign w:val="center"/>
          </w:tcPr>
          <w:p w14:paraId="72F23AD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3.07 (2.61–3.62)</w:t>
            </w:r>
          </w:p>
        </w:tc>
      </w:tr>
      <w:tr w14:paraId="65EC1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42" w:type="dxa"/>
            <w:tcBorders>
              <w:top w:val="nil"/>
              <w:left w:val="nil"/>
              <w:bottom w:val="nil"/>
              <w:right w:val="nil"/>
            </w:tcBorders>
            <w:shd w:val="clear" w:color="auto" w:fill="auto"/>
            <w:noWrap w:val="0"/>
            <w:tcMar>
              <w:top w:w="-1" w:type="dxa"/>
              <w:left w:w="-1" w:type="dxa"/>
              <w:bottom w:w="-1" w:type="dxa"/>
              <w:right w:w="-1" w:type="dxa"/>
            </w:tcMar>
            <w:vAlign w:val="center"/>
          </w:tcPr>
          <w:p w14:paraId="511BFF1E">
            <w:pPr>
              <w:snapToGrid w:val="0"/>
              <w:ind w:left="0" w:leftChars="0" w:right="0" w:rightChars="0" w:firstLine="0" w:firstLineChars="0"/>
              <w:jc w:val="center"/>
              <w:rPr>
                <w:rFonts w:hint="default" w:ascii="Times New Roman" w:hAnsi="Times New Roman" w:eastAsia="宋体" w:cs="Times New Roman"/>
                <w:i w:val="0"/>
                <w:iCs w:val="0"/>
                <w:color w:val="auto"/>
                <w:sz w:val="21"/>
                <w:szCs w:val="21"/>
                <w:highlight w:val="none"/>
                <w:u w:val="none"/>
              </w:rPr>
            </w:pPr>
          </w:p>
        </w:tc>
        <w:tc>
          <w:tcPr>
            <w:tcW w:w="1322" w:type="dxa"/>
            <w:tcBorders>
              <w:top w:val="nil"/>
              <w:left w:val="nil"/>
              <w:bottom w:val="nil"/>
              <w:right w:val="nil"/>
            </w:tcBorders>
            <w:shd w:val="clear" w:color="auto" w:fill="auto"/>
            <w:noWrap w:val="0"/>
            <w:tcMar>
              <w:top w:w="-1" w:type="dxa"/>
              <w:left w:w="-1" w:type="dxa"/>
              <w:bottom w:w="-1" w:type="dxa"/>
              <w:right w:w="-1" w:type="dxa"/>
            </w:tcMar>
            <w:vAlign w:val="center"/>
          </w:tcPr>
          <w:p w14:paraId="445ADB9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AIP-WHtR</w:t>
            </w:r>
          </w:p>
        </w:tc>
        <w:tc>
          <w:tcPr>
            <w:tcW w:w="2082" w:type="dxa"/>
            <w:tcBorders>
              <w:top w:val="nil"/>
              <w:left w:val="nil"/>
              <w:bottom w:val="nil"/>
              <w:right w:val="nil"/>
            </w:tcBorders>
            <w:shd w:val="clear" w:color="auto" w:fill="auto"/>
            <w:noWrap w:val="0"/>
            <w:tcMar>
              <w:top w:w="-1" w:type="dxa"/>
              <w:left w:w="-1" w:type="dxa"/>
              <w:bottom w:w="-1" w:type="dxa"/>
              <w:right w:w="-1" w:type="dxa"/>
            </w:tcMar>
            <w:vAlign w:val="center"/>
          </w:tcPr>
          <w:p w14:paraId="456550C1">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1.04 (0.88–1.23)</w:t>
            </w:r>
          </w:p>
        </w:tc>
        <w:tc>
          <w:tcPr>
            <w:tcW w:w="2053" w:type="dxa"/>
            <w:tcBorders>
              <w:top w:val="nil"/>
              <w:left w:val="nil"/>
              <w:bottom w:val="nil"/>
              <w:right w:val="nil"/>
            </w:tcBorders>
            <w:shd w:val="clear" w:color="auto" w:fill="auto"/>
            <w:noWrap w:val="0"/>
            <w:tcMar>
              <w:top w:w="-1" w:type="dxa"/>
              <w:left w:w="-1" w:type="dxa"/>
              <w:bottom w:w="-1" w:type="dxa"/>
              <w:right w:w="-1" w:type="dxa"/>
            </w:tcMar>
            <w:vAlign w:val="center"/>
          </w:tcPr>
          <w:p w14:paraId="59731C2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1.47 (1.26–1.72)</w:t>
            </w:r>
          </w:p>
        </w:tc>
        <w:tc>
          <w:tcPr>
            <w:tcW w:w="2103" w:type="dxa"/>
            <w:tcBorders>
              <w:top w:val="nil"/>
              <w:left w:val="nil"/>
              <w:bottom w:val="nil"/>
              <w:right w:val="nil"/>
            </w:tcBorders>
            <w:shd w:val="clear" w:color="auto" w:fill="auto"/>
            <w:noWrap w:val="0"/>
            <w:tcMar>
              <w:top w:w="-1" w:type="dxa"/>
              <w:left w:w="-1" w:type="dxa"/>
              <w:bottom w:w="-1" w:type="dxa"/>
              <w:right w:w="-1" w:type="dxa"/>
            </w:tcMar>
            <w:vAlign w:val="center"/>
          </w:tcPr>
          <w:p w14:paraId="777A0B0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2.10 (1.81–2.44)</w:t>
            </w:r>
          </w:p>
        </w:tc>
      </w:tr>
      <w:tr w14:paraId="214E1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42" w:type="dxa"/>
            <w:tcBorders>
              <w:top w:val="nil"/>
              <w:left w:val="nil"/>
              <w:bottom w:val="nil"/>
              <w:right w:val="nil"/>
            </w:tcBorders>
            <w:shd w:val="clear" w:color="auto" w:fill="auto"/>
            <w:noWrap w:val="0"/>
            <w:tcMar>
              <w:top w:w="-1" w:type="dxa"/>
              <w:left w:w="-1" w:type="dxa"/>
              <w:bottom w:w="-1" w:type="dxa"/>
              <w:right w:w="-1" w:type="dxa"/>
            </w:tcMar>
            <w:vAlign w:val="center"/>
          </w:tcPr>
          <w:p w14:paraId="6CEC930A">
            <w:pPr>
              <w:snapToGrid w:val="0"/>
              <w:ind w:left="0" w:leftChars="0" w:right="0" w:rightChars="0" w:firstLine="0" w:firstLineChars="0"/>
              <w:jc w:val="center"/>
              <w:rPr>
                <w:rFonts w:hint="default" w:ascii="Times New Roman" w:hAnsi="Times New Roman" w:eastAsia="宋体" w:cs="Times New Roman"/>
                <w:i w:val="0"/>
                <w:iCs w:val="0"/>
                <w:color w:val="auto"/>
                <w:sz w:val="21"/>
                <w:szCs w:val="21"/>
                <w:highlight w:val="none"/>
                <w:u w:val="none"/>
              </w:rPr>
            </w:pPr>
          </w:p>
        </w:tc>
        <w:tc>
          <w:tcPr>
            <w:tcW w:w="1322" w:type="dxa"/>
            <w:tcBorders>
              <w:top w:val="nil"/>
              <w:left w:val="nil"/>
              <w:bottom w:val="nil"/>
              <w:right w:val="nil"/>
            </w:tcBorders>
            <w:shd w:val="clear" w:color="auto" w:fill="auto"/>
            <w:noWrap w:val="0"/>
            <w:tcMar>
              <w:top w:w="-1" w:type="dxa"/>
              <w:left w:w="-1" w:type="dxa"/>
              <w:bottom w:w="-1" w:type="dxa"/>
              <w:right w:w="-1" w:type="dxa"/>
            </w:tcMar>
            <w:vAlign w:val="center"/>
          </w:tcPr>
          <w:p w14:paraId="794331F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AIP-BRI</w:t>
            </w:r>
          </w:p>
        </w:tc>
        <w:tc>
          <w:tcPr>
            <w:tcW w:w="2082" w:type="dxa"/>
            <w:tcBorders>
              <w:top w:val="nil"/>
              <w:left w:val="nil"/>
              <w:bottom w:val="nil"/>
              <w:right w:val="nil"/>
            </w:tcBorders>
            <w:shd w:val="clear" w:color="auto" w:fill="auto"/>
            <w:noWrap w:val="0"/>
            <w:tcMar>
              <w:top w:w="-1" w:type="dxa"/>
              <w:left w:w="-1" w:type="dxa"/>
              <w:bottom w:w="-1" w:type="dxa"/>
              <w:right w:w="-1" w:type="dxa"/>
            </w:tcMar>
            <w:vAlign w:val="center"/>
          </w:tcPr>
          <w:p w14:paraId="2771E15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1.08 (0.91–1.29)</w:t>
            </w:r>
          </w:p>
        </w:tc>
        <w:tc>
          <w:tcPr>
            <w:tcW w:w="2053" w:type="dxa"/>
            <w:tcBorders>
              <w:top w:val="nil"/>
              <w:left w:val="nil"/>
              <w:bottom w:val="nil"/>
              <w:right w:val="nil"/>
            </w:tcBorders>
            <w:shd w:val="clear" w:color="auto" w:fill="auto"/>
            <w:noWrap w:val="0"/>
            <w:tcMar>
              <w:top w:w="-1" w:type="dxa"/>
              <w:left w:w="-1" w:type="dxa"/>
              <w:bottom w:w="-1" w:type="dxa"/>
              <w:right w:w="-1" w:type="dxa"/>
            </w:tcMar>
            <w:vAlign w:val="center"/>
          </w:tcPr>
          <w:p w14:paraId="06589DF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1.54 (1.31–1.81)</w:t>
            </w:r>
          </w:p>
        </w:tc>
        <w:tc>
          <w:tcPr>
            <w:tcW w:w="2103" w:type="dxa"/>
            <w:tcBorders>
              <w:top w:val="nil"/>
              <w:left w:val="nil"/>
              <w:bottom w:val="nil"/>
              <w:right w:val="nil"/>
            </w:tcBorders>
            <w:shd w:val="clear" w:color="auto" w:fill="auto"/>
            <w:noWrap w:val="0"/>
            <w:tcMar>
              <w:top w:w="-1" w:type="dxa"/>
              <w:left w:w="-1" w:type="dxa"/>
              <w:bottom w:w="-1" w:type="dxa"/>
              <w:right w:w="-1" w:type="dxa"/>
            </w:tcMar>
            <w:vAlign w:val="center"/>
          </w:tcPr>
          <w:p w14:paraId="3E31BD4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2.34 (2.02–2.73)</w:t>
            </w:r>
          </w:p>
        </w:tc>
      </w:tr>
      <w:tr w14:paraId="0B05A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42" w:type="dxa"/>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1CE5FCE8">
            <w:pPr>
              <w:snapToGrid w:val="0"/>
              <w:ind w:left="0" w:leftChars="0" w:right="0" w:rightChars="0" w:firstLine="0" w:firstLineChars="0"/>
              <w:jc w:val="center"/>
              <w:rPr>
                <w:rFonts w:hint="default" w:ascii="Times New Roman" w:hAnsi="Times New Roman" w:eastAsia="宋体" w:cs="Times New Roman"/>
                <w:i w:val="0"/>
                <w:iCs w:val="0"/>
                <w:color w:val="auto"/>
                <w:sz w:val="21"/>
                <w:szCs w:val="21"/>
                <w:highlight w:val="none"/>
                <w:u w:val="none"/>
              </w:rPr>
            </w:pPr>
          </w:p>
        </w:tc>
        <w:tc>
          <w:tcPr>
            <w:tcW w:w="1322" w:type="dxa"/>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43412E7C">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ICMRS</w:t>
            </w:r>
          </w:p>
        </w:tc>
        <w:tc>
          <w:tcPr>
            <w:tcW w:w="2082" w:type="dxa"/>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1AF6E2B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1.20 (1.01–1.44)</w:t>
            </w:r>
          </w:p>
        </w:tc>
        <w:tc>
          <w:tcPr>
            <w:tcW w:w="2053" w:type="dxa"/>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6E09D4E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1.75 (1.48–2.06)</w:t>
            </w:r>
          </w:p>
        </w:tc>
        <w:tc>
          <w:tcPr>
            <w:tcW w:w="2103" w:type="dxa"/>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5087E4D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2.57 (2.20–3.00)</w:t>
            </w:r>
          </w:p>
        </w:tc>
      </w:tr>
    </w:tbl>
    <w:p w14:paraId="4F1ADC7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1"/>
        <w:textAlignment w:val="auto"/>
        <w:outlineLvl w:val="9"/>
        <w:rPr>
          <w:rFonts w:hint="default" w:ascii="Times New Roman" w:hAnsi="Times New Roman" w:cs="Times New Roman"/>
          <w:color w:val="auto"/>
          <w:sz w:val="21"/>
          <w:szCs w:val="21"/>
          <w:highlight w:val="none"/>
        </w:rPr>
      </w:pPr>
      <w:r>
        <w:rPr>
          <w:rStyle w:val="6"/>
          <w:rFonts w:hint="default" w:ascii="Times New Roman" w:hAnsi="Times New Roman" w:eastAsia="宋体" w:cs="Times New Roman"/>
          <w:color w:val="auto"/>
          <w:sz w:val="21"/>
          <w:szCs w:val="21"/>
          <w:highlight w:val="none"/>
        </w:rPr>
        <w:t>Abbreviations:</w:t>
      </w:r>
      <w:r>
        <w:rPr>
          <w:rFonts w:hint="default" w:ascii="Times New Roman" w:hAnsi="Times New Roman" w:eastAsia="宋体" w:cs="Times New Roman"/>
          <w:color w:val="auto"/>
          <w:sz w:val="21"/>
          <w:szCs w:val="21"/>
          <w:highlight w:val="none"/>
        </w:rPr>
        <w:t xml:space="preserve"> HR, hazard ratio; CI, confidence interval; CMM, cardiometabolic multimorbidity; TyG, triglyceride-glucose index; WHtR, waist-to-height ratio; BRI, body roundness index; AIP, atherogenic index of plasma; ICMRS, integrated cardiometabolic risk score.</w:t>
      </w:r>
      <w:r>
        <w:rPr>
          <w:rFonts w:hint="default" w:ascii="Times New Roman" w:hAnsi="Times New Roman" w:eastAsia="宋体" w:cs="Times New Roman"/>
          <w:color w:val="auto"/>
          <w:sz w:val="21"/>
          <w:szCs w:val="21"/>
          <w:highlight w:val="none"/>
        </w:rPr>
        <w:br w:type="textWrapping"/>
      </w:r>
      <w:r>
        <w:rPr>
          <w:rStyle w:val="6"/>
          <w:rFonts w:hint="default" w:ascii="Times New Roman" w:hAnsi="Times New Roman" w:eastAsia="宋体" w:cs="Times New Roman"/>
          <w:color w:val="auto"/>
          <w:sz w:val="21"/>
          <w:szCs w:val="21"/>
          <w:highlight w:val="none"/>
        </w:rPr>
        <w:t>Notes:</w:t>
      </w:r>
      <w:r>
        <w:rPr>
          <w:rFonts w:hint="default" w:ascii="Times New Roman" w:hAnsi="Times New Roman" w:eastAsia="宋体" w:cs="Times New Roman"/>
          <w:color w:val="auto"/>
          <w:sz w:val="21"/>
          <w:szCs w:val="21"/>
          <w:highlight w:val="none"/>
        </w:rPr>
        <w:t xml:space="preserve"> Fully adjusted Cox proportional hazards models were used. Models were adjusted for age, sex, education, marital status, smoking, and drinking. In the sensitivity analysis including stroke, CMM was redefined as the presence of at least two of the following conditions: hypertension, diabetes, heart disease, and stroke. In the analysis excluding early incident cases, participants who developed incident CMM at the earliest follow-up wave were excluded. Complete-case analysis was restricted to participants with complete covariate information.</w:t>
      </w:r>
    </w:p>
    <w:p w14:paraId="6B4D982D">
      <w:pP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br w:type="page"/>
      </w:r>
    </w:p>
    <w:p w14:paraId="1F86AB18">
      <w:pPr>
        <w:numPr>
          <w:ilvl w:val="0"/>
          <w:numId w:val="0"/>
        </w:numPr>
        <w:outlineLvl w:val="2"/>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Supplementary Table S</w:t>
      </w:r>
      <w:r>
        <w:rPr>
          <w:rFonts w:hint="default" w:ascii="Times New Roman" w:hAnsi="Times New Roman" w:eastAsia="宋体" w:cs="Times New Roman"/>
          <w:b/>
          <w:bCs/>
          <w:color w:val="auto"/>
          <w:sz w:val="21"/>
          <w:szCs w:val="21"/>
          <w:highlight w:val="none"/>
          <w:lang w:val="en-US" w:eastAsia="zh-CN"/>
        </w:rPr>
        <w:t>4</w:t>
      </w:r>
      <w:r>
        <w:rPr>
          <w:rFonts w:hint="default" w:ascii="Times New Roman" w:hAnsi="Times New Roman" w:eastAsia="宋体" w:cs="Times New Roman"/>
          <w:b/>
          <w:bCs/>
          <w:color w:val="auto"/>
          <w:sz w:val="21"/>
          <w:szCs w:val="21"/>
          <w:highlight w:val="none"/>
        </w:rPr>
        <w:t>.</w:t>
      </w:r>
      <w:r>
        <w:rPr>
          <w:rFonts w:hint="default" w:ascii="Times New Roman" w:hAnsi="Times New Roman" w:eastAsia="宋体" w:cs="Times New Roman"/>
          <w:color w:val="auto"/>
          <w:sz w:val="21"/>
          <w:szCs w:val="21"/>
          <w:highlight w:val="none"/>
        </w:rPr>
        <w:t>Sensitivity analyses of the associations between five composite indices and incident cardiometabolic multimorbidity in ELSA</w:t>
      </w:r>
    </w:p>
    <w:tbl>
      <w:tblPr>
        <w:tblStyle w:val="4"/>
        <w:tblW w:w="94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74"/>
        <w:gridCol w:w="1292"/>
        <w:gridCol w:w="2061"/>
        <w:gridCol w:w="2072"/>
        <w:gridCol w:w="2134"/>
      </w:tblGrid>
      <w:tr w14:paraId="42E0E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874" w:type="dxa"/>
            <w:vMerge w:val="restar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3E7195C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Sensitivity analysis</w:t>
            </w:r>
          </w:p>
        </w:tc>
        <w:tc>
          <w:tcPr>
            <w:tcW w:w="1292" w:type="dxa"/>
            <w:vMerge w:val="restar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626117D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Indicator</w:t>
            </w:r>
          </w:p>
        </w:tc>
        <w:tc>
          <w:tcPr>
            <w:tcW w:w="2061" w:type="dxa"/>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19BBE4E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Q2 vs Q1 HR</w:t>
            </w:r>
          </w:p>
        </w:tc>
        <w:tc>
          <w:tcPr>
            <w:tcW w:w="2072" w:type="dxa"/>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2CB032E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Q3 vs Q1 HR</w:t>
            </w:r>
          </w:p>
        </w:tc>
        <w:tc>
          <w:tcPr>
            <w:tcW w:w="2134" w:type="dxa"/>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0CE1D0D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Q4 vs Q1 HR</w:t>
            </w:r>
          </w:p>
        </w:tc>
      </w:tr>
      <w:tr w14:paraId="6A919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874" w:type="dxa"/>
            <w:vMerge w:val="continue"/>
            <w:tcBorders>
              <w:top w:val="nil"/>
              <w:left w:val="nil"/>
              <w:bottom w:val="nil"/>
              <w:right w:val="nil"/>
            </w:tcBorders>
            <w:shd w:val="clear" w:color="auto" w:fill="auto"/>
            <w:noWrap w:val="0"/>
            <w:tcMar>
              <w:top w:w="-1" w:type="dxa"/>
              <w:left w:w="-1" w:type="dxa"/>
              <w:bottom w:w="-1" w:type="dxa"/>
              <w:right w:w="-1" w:type="dxa"/>
            </w:tcMar>
            <w:vAlign w:val="center"/>
          </w:tcPr>
          <w:p w14:paraId="0006AA2E">
            <w:pPr>
              <w:snapToGrid w:val="0"/>
              <w:ind w:left="0" w:leftChars="0" w:right="0" w:rightChars="0" w:firstLine="0" w:firstLineChars="0"/>
              <w:jc w:val="center"/>
              <w:rPr>
                <w:rFonts w:hint="default" w:ascii="Times New Roman" w:hAnsi="Times New Roman" w:eastAsia="宋体" w:cs="Times New Roman"/>
                <w:b/>
                <w:bCs/>
                <w:i w:val="0"/>
                <w:iCs w:val="0"/>
                <w:color w:val="auto"/>
                <w:sz w:val="21"/>
                <w:szCs w:val="21"/>
                <w:highlight w:val="none"/>
                <w:u w:val="none"/>
              </w:rPr>
            </w:pPr>
          </w:p>
        </w:tc>
        <w:tc>
          <w:tcPr>
            <w:tcW w:w="1292" w:type="dxa"/>
            <w:vMerge w:val="continue"/>
            <w:tcBorders>
              <w:top w:val="nil"/>
              <w:left w:val="nil"/>
              <w:bottom w:val="nil"/>
              <w:right w:val="nil"/>
            </w:tcBorders>
            <w:shd w:val="clear" w:color="auto" w:fill="auto"/>
            <w:noWrap w:val="0"/>
            <w:tcMar>
              <w:top w:w="-1" w:type="dxa"/>
              <w:left w:w="-1" w:type="dxa"/>
              <w:bottom w:w="-1" w:type="dxa"/>
              <w:right w:w="-1" w:type="dxa"/>
            </w:tcMar>
            <w:vAlign w:val="center"/>
          </w:tcPr>
          <w:p w14:paraId="15D0B333">
            <w:pPr>
              <w:snapToGrid w:val="0"/>
              <w:ind w:left="0" w:leftChars="0" w:right="0" w:rightChars="0" w:firstLine="0" w:firstLineChars="0"/>
              <w:jc w:val="center"/>
              <w:rPr>
                <w:rFonts w:hint="default" w:ascii="Times New Roman" w:hAnsi="Times New Roman" w:eastAsia="宋体" w:cs="Times New Roman"/>
                <w:b/>
                <w:bCs/>
                <w:i w:val="0"/>
                <w:iCs w:val="0"/>
                <w:color w:val="auto"/>
                <w:sz w:val="21"/>
                <w:szCs w:val="21"/>
                <w:highlight w:val="none"/>
                <w:u w:val="none"/>
              </w:rPr>
            </w:pPr>
          </w:p>
        </w:tc>
        <w:tc>
          <w:tcPr>
            <w:tcW w:w="2061" w:type="dxa"/>
            <w:tcBorders>
              <w:top w:val="nil"/>
              <w:left w:val="nil"/>
              <w:bottom w:val="nil"/>
              <w:right w:val="nil"/>
            </w:tcBorders>
            <w:shd w:val="clear" w:color="auto" w:fill="auto"/>
            <w:noWrap w:val="0"/>
            <w:tcMar>
              <w:top w:w="-1" w:type="dxa"/>
              <w:left w:w="-1" w:type="dxa"/>
              <w:bottom w:w="-1" w:type="dxa"/>
              <w:right w:w="-1" w:type="dxa"/>
            </w:tcMar>
            <w:vAlign w:val="center"/>
          </w:tcPr>
          <w:p w14:paraId="79A28E1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(95%CI)</w:t>
            </w:r>
          </w:p>
        </w:tc>
        <w:tc>
          <w:tcPr>
            <w:tcW w:w="2072" w:type="dxa"/>
            <w:tcBorders>
              <w:top w:val="nil"/>
              <w:left w:val="nil"/>
              <w:bottom w:val="nil"/>
              <w:right w:val="nil"/>
            </w:tcBorders>
            <w:shd w:val="clear" w:color="auto" w:fill="auto"/>
            <w:noWrap w:val="0"/>
            <w:tcMar>
              <w:top w:w="-1" w:type="dxa"/>
              <w:left w:w="-1" w:type="dxa"/>
              <w:bottom w:w="-1" w:type="dxa"/>
              <w:right w:w="-1" w:type="dxa"/>
            </w:tcMar>
            <w:vAlign w:val="center"/>
          </w:tcPr>
          <w:p w14:paraId="7C4DEE4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(95%CI)</w:t>
            </w:r>
          </w:p>
        </w:tc>
        <w:tc>
          <w:tcPr>
            <w:tcW w:w="2134" w:type="dxa"/>
            <w:tcBorders>
              <w:top w:val="nil"/>
              <w:left w:val="nil"/>
              <w:bottom w:val="nil"/>
              <w:right w:val="nil"/>
            </w:tcBorders>
            <w:shd w:val="clear" w:color="auto" w:fill="auto"/>
            <w:noWrap w:val="0"/>
            <w:tcMar>
              <w:top w:w="-1" w:type="dxa"/>
              <w:left w:w="-1" w:type="dxa"/>
              <w:bottom w:w="-1" w:type="dxa"/>
              <w:right w:w="-1" w:type="dxa"/>
            </w:tcMar>
            <w:vAlign w:val="center"/>
          </w:tcPr>
          <w:p w14:paraId="1B5714B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(95%CI)</w:t>
            </w:r>
          </w:p>
        </w:tc>
      </w:tr>
      <w:tr w14:paraId="4C57B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874" w:type="dxa"/>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4B7F63C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Excluding early events</w:t>
            </w:r>
          </w:p>
        </w:tc>
        <w:tc>
          <w:tcPr>
            <w:tcW w:w="1292" w:type="dxa"/>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768516B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TyG-WHtR</w:t>
            </w:r>
          </w:p>
        </w:tc>
        <w:tc>
          <w:tcPr>
            <w:tcW w:w="2061" w:type="dxa"/>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2A2BBC8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1.03 (0.78–1.36)</w:t>
            </w:r>
          </w:p>
        </w:tc>
        <w:tc>
          <w:tcPr>
            <w:tcW w:w="2072" w:type="dxa"/>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64E8ED8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1.18 (0.89–1.55)</w:t>
            </w:r>
          </w:p>
        </w:tc>
        <w:tc>
          <w:tcPr>
            <w:tcW w:w="2134" w:type="dxa"/>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570AA03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1.49 (1.14–1.95)</w:t>
            </w:r>
          </w:p>
        </w:tc>
      </w:tr>
      <w:tr w14:paraId="75C81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874" w:type="dxa"/>
            <w:tcBorders>
              <w:top w:val="nil"/>
              <w:left w:val="nil"/>
              <w:bottom w:val="nil"/>
              <w:right w:val="nil"/>
            </w:tcBorders>
            <w:shd w:val="clear" w:color="auto" w:fill="auto"/>
            <w:noWrap w:val="0"/>
            <w:tcMar>
              <w:top w:w="-1" w:type="dxa"/>
              <w:left w:w="-1" w:type="dxa"/>
              <w:bottom w:w="-1" w:type="dxa"/>
              <w:right w:w="-1" w:type="dxa"/>
            </w:tcMar>
            <w:vAlign w:val="center"/>
          </w:tcPr>
          <w:p w14:paraId="13D7F6FB">
            <w:pPr>
              <w:snapToGrid w:val="0"/>
              <w:ind w:left="0" w:leftChars="0" w:right="0" w:rightChars="0" w:firstLine="0" w:firstLineChars="0"/>
              <w:jc w:val="center"/>
              <w:rPr>
                <w:rFonts w:hint="default" w:ascii="Times New Roman" w:hAnsi="Times New Roman" w:eastAsia="宋体" w:cs="Times New Roman"/>
                <w:i w:val="0"/>
                <w:iCs w:val="0"/>
                <w:color w:val="auto"/>
                <w:sz w:val="21"/>
                <w:szCs w:val="21"/>
                <w:highlight w:val="none"/>
                <w:u w:val="none"/>
              </w:rPr>
            </w:pPr>
          </w:p>
        </w:tc>
        <w:tc>
          <w:tcPr>
            <w:tcW w:w="1292" w:type="dxa"/>
            <w:tcBorders>
              <w:top w:val="nil"/>
              <w:left w:val="nil"/>
              <w:bottom w:val="nil"/>
              <w:right w:val="nil"/>
            </w:tcBorders>
            <w:shd w:val="clear" w:color="auto" w:fill="auto"/>
            <w:noWrap w:val="0"/>
            <w:tcMar>
              <w:top w:w="-1" w:type="dxa"/>
              <w:left w:w="-1" w:type="dxa"/>
              <w:bottom w:w="-1" w:type="dxa"/>
              <w:right w:w="-1" w:type="dxa"/>
            </w:tcMar>
            <w:vAlign w:val="center"/>
          </w:tcPr>
          <w:p w14:paraId="37FAF4E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TyG-BRI</w:t>
            </w:r>
          </w:p>
        </w:tc>
        <w:tc>
          <w:tcPr>
            <w:tcW w:w="2061" w:type="dxa"/>
            <w:tcBorders>
              <w:top w:val="nil"/>
              <w:left w:val="nil"/>
              <w:bottom w:val="nil"/>
              <w:right w:val="nil"/>
            </w:tcBorders>
            <w:shd w:val="clear" w:color="auto" w:fill="auto"/>
            <w:noWrap w:val="0"/>
            <w:tcMar>
              <w:top w:w="-1" w:type="dxa"/>
              <w:left w:w="-1" w:type="dxa"/>
              <w:bottom w:w="-1" w:type="dxa"/>
              <w:right w:w="-1" w:type="dxa"/>
            </w:tcMar>
            <w:vAlign w:val="center"/>
          </w:tcPr>
          <w:p w14:paraId="4468DFA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1.05 (0.79–1.39)</w:t>
            </w:r>
          </w:p>
        </w:tc>
        <w:tc>
          <w:tcPr>
            <w:tcW w:w="2072" w:type="dxa"/>
            <w:tcBorders>
              <w:top w:val="nil"/>
              <w:left w:val="nil"/>
              <w:bottom w:val="nil"/>
              <w:right w:val="nil"/>
            </w:tcBorders>
            <w:shd w:val="clear" w:color="auto" w:fill="auto"/>
            <w:noWrap w:val="0"/>
            <w:tcMar>
              <w:top w:w="-1" w:type="dxa"/>
              <w:left w:w="-1" w:type="dxa"/>
              <w:bottom w:w="-1" w:type="dxa"/>
              <w:right w:w="-1" w:type="dxa"/>
            </w:tcMar>
            <w:vAlign w:val="center"/>
          </w:tcPr>
          <w:p w14:paraId="3AA73E4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1.19 (0.91–1.57)</w:t>
            </w:r>
          </w:p>
        </w:tc>
        <w:tc>
          <w:tcPr>
            <w:tcW w:w="2134" w:type="dxa"/>
            <w:tcBorders>
              <w:top w:val="nil"/>
              <w:left w:val="nil"/>
              <w:bottom w:val="nil"/>
              <w:right w:val="nil"/>
            </w:tcBorders>
            <w:shd w:val="clear" w:color="auto" w:fill="auto"/>
            <w:noWrap w:val="0"/>
            <w:tcMar>
              <w:top w:w="-1" w:type="dxa"/>
              <w:left w:w="-1" w:type="dxa"/>
              <w:bottom w:w="-1" w:type="dxa"/>
              <w:right w:w="-1" w:type="dxa"/>
            </w:tcMar>
            <w:vAlign w:val="center"/>
          </w:tcPr>
          <w:p w14:paraId="2DAEB73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1.42 (1.08–1.86)</w:t>
            </w:r>
          </w:p>
        </w:tc>
      </w:tr>
      <w:tr w14:paraId="26FFF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874" w:type="dxa"/>
            <w:tcBorders>
              <w:top w:val="nil"/>
              <w:left w:val="nil"/>
              <w:bottom w:val="nil"/>
              <w:right w:val="nil"/>
            </w:tcBorders>
            <w:shd w:val="clear" w:color="auto" w:fill="auto"/>
            <w:noWrap w:val="0"/>
            <w:tcMar>
              <w:top w:w="-1" w:type="dxa"/>
              <w:left w:w="-1" w:type="dxa"/>
              <w:bottom w:w="-1" w:type="dxa"/>
              <w:right w:w="-1" w:type="dxa"/>
            </w:tcMar>
            <w:vAlign w:val="center"/>
          </w:tcPr>
          <w:p w14:paraId="2E96E976">
            <w:pPr>
              <w:snapToGrid w:val="0"/>
              <w:ind w:left="0" w:leftChars="0" w:right="0" w:rightChars="0" w:firstLine="0" w:firstLineChars="0"/>
              <w:jc w:val="center"/>
              <w:rPr>
                <w:rFonts w:hint="default" w:ascii="Times New Roman" w:hAnsi="Times New Roman" w:eastAsia="宋体" w:cs="Times New Roman"/>
                <w:i w:val="0"/>
                <w:iCs w:val="0"/>
                <w:color w:val="auto"/>
                <w:sz w:val="21"/>
                <w:szCs w:val="21"/>
                <w:highlight w:val="none"/>
                <w:u w:val="none"/>
              </w:rPr>
            </w:pPr>
          </w:p>
        </w:tc>
        <w:tc>
          <w:tcPr>
            <w:tcW w:w="1292" w:type="dxa"/>
            <w:tcBorders>
              <w:top w:val="nil"/>
              <w:left w:val="nil"/>
              <w:bottom w:val="nil"/>
              <w:right w:val="nil"/>
            </w:tcBorders>
            <w:shd w:val="clear" w:color="auto" w:fill="auto"/>
            <w:noWrap w:val="0"/>
            <w:tcMar>
              <w:top w:w="-1" w:type="dxa"/>
              <w:left w:w="-1" w:type="dxa"/>
              <w:bottom w:w="-1" w:type="dxa"/>
              <w:right w:w="-1" w:type="dxa"/>
            </w:tcMar>
            <w:vAlign w:val="center"/>
          </w:tcPr>
          <w:p w14:paraId="7B5367D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AIP-WHtR</w:t>
            </w:r>
          </w:p>
        </w:tc>
        <w:tc>
          <w:tcPr>
            <w:tcW w:w="2061" w:type="dxa"/>
            <w:tcBorders>
              <w:top w:val="nil"/>
              <w:left w:val="nil"/>
              <w:bottom w:val="nil"/>
              <w:right w:val="nil"/>
            </w:tcBorders>
            <w:shd w:val="clear" w:color="auto" w:fill="auto"/>
            <w:noWrap w:val="0"/>
            <w:tcMar>
              <w:top w:w="-1" w:type="dxa"/>
              <w:left w:w="-1" w:type="dxa"/>
              <w:bottom w:w="-1" w:type="dxa"/>
              <w:right w:w="-1" w:type="dxa"/>
            </w:tcMar>
            <w:vAlign w:val="center"/>
          </w:tcPr>
          <w:p w14:paraId="3CFE7C4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1.11 (0.85–1.45)</w:t>
            </w:r>
          </w:p>
        </w:tc>
        <w:tc>
          <w:tcPr>
            <w:tcW w:w="2072" w:type="dxa"/>
            <w:tcBorders>
              <w:top w:val="nil"/>
              <w:left w:val="nil"/>
              <w:bottom w:val="nil"/>
              <w:right w:val="nil"/>
            </w:tcBorders>
            <w:shd w:val="clear" w:color="auto" w:fill="auto"/>
            <w:noWrap w:val="0"/>
            <w:tcMar>
              <w:top w:w="-1" w:type="dxa"/>
              <w:left w:w="-1" w:type="dxa"/>
              <w:bottom w:w="-1" w:type="dxa"/>
              <w:right w:w="-1" w:type="dxa"/>
            </w:tcMar>
            <w:vAlign w:val="center"/>
          </w:tcPr>
          <w:p w14:paraId="203E558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1.16 (0.89–1.52)</w:t>
            </w:r>
          </w:p>
        </w:tc>
        <w:tc>
          <w:tcPr>
            <w:tcW w:w="2134" w:type="dxa"/>
            <w:tcBorders>
              <w:top w:val="nil"/>
              <w:left w:val="nil"/>
              <w:bottom w:val="nil"/>
              <w:right w:val="nil"/>
            </w:tcBorders>
            <w:shd w:val="clear" w:color="auto" w:fill="auto"/>
            <w:noWrap w:val="0"/>
            <w:tcMar>
              <w:top w:w="-1" w:type="dxa"/>
              <w:left w:w="-1" w:type="dxa"/>
              <w:bottom w:w="-1" w:type="dxa"/>
              <w:right w:w="-1" w:type="dxa"/>
            </w:tcMar>
            <w:vAlign w:val="center"/>
          </w:tcPr>
          <w:p w14:paraId="35F71C3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1.41 (1.08–1.84)</w:t>
            </w:r>
          </w:p>
        </w:tc>
      </w:tr>
      <w:tr w14:paraId="42E53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874" w:type="dxa"/>
            <w:tcBorders>
              <w:top w:val="nil"/>
              <w:left w:val="nil"/>
              <w:bottom w:val="nil"/>
              <w:right w:val="nil"/>
            </w:tcBorders>
            <w:shd w:val="clear" w:color="auto" w:fill="auto"/>
            <w:noWrap w:val="0"/>
            <w:tcMar>
              <w:top w:w="-1" w:type="dxa"/>
              <w:left w:w="-1" w:type="dxa"/>
              <w:bottom w:w="-1" w:type="dxa"/>
              <w:right w:w="-1" w:type="dxa"/>
            </w:tcMar>
            <w:vAlign w:val="center"/>
          </w:tcPr>
          <w:p w14:paraId="1A44272C">
            <w:pPr>
              <w:snapToGrid w:val="0"/>
              <w:ind w:left="0" w:leftChars="0" w:right="0" w:rightChars="0" w:firstLine="0" w:firstLineChars="0"/>
              <w:jc w:val="center"/>
              <w:rPr>
                <w:rFonts w:hint="default" w:ascii="Times New Roman" w:hAnsi="Times New Roman" w:eastAsia="宋体" w:cs="Times New Roman"/>
                <w:i w:val="0"/>
                <w:iCs w:val="0"/>
                <w:color w:val="auto"/>
                <w:sz w:val="21"/>
                <w:szCs w:val="21"/>
                <w:highlight w:val="none"/>
                <w:u w:val="none"/>
              </w:rPr>
            </w:pPr>
          </w:p>
        </w:tc>
        <w:tc>
          <w:tcPr>
            <w:tcW w:w="1292" w:type="dxa"/>
            <w:tcBorders>
              <w:top w:val="nil"/>
              <w:left w:val="nil"/>
              <w:bottom w:val="nil"/>
              <w:right w:val="nil"/>
            </w:tcBorders>
            <w:shd w:val="clear" w:color="auto" w:fill="auto"/>
            <w:noWrap w:val="0"/>
            <w:tcMar>
              <w:top w:w="-1" w:type="dxa"/>
              <w:left w:w="-1" w:type="dxa"/>
              <w:bottom w:w="-1" w:type="dxa"/>
              <w:right w:w="-1" w:type="dxa"/>
            </w:tcMar>
            <w:vAlign w:val="center"/>
          </w:tcPr>
          <w:p w14:paraId="5DABF66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AIP-BRI</w:t>
            </w:r>
          </w:p>
        </w:tc>
        <w:tc>
          <w:tcPr>
            <w:tcW w:w="2061" w:type="dxa"/>
            <w:tcBorders>
              <w:top w:val="nil"/>
              <w:left w:val="nil"/>
              <w:bottom w:val="nil"/>
              <w:right w:val="nil"/>
            </w:tcBorders>
            <w:shd w:val="clear" w:color="auto" w:fill="auto"/>
            <w:noWrap w:val="0"/>
            <w:tcMar>
              <w:top w:w="-1" w:type="dxa"/>
              <w:left w:w="-1" w:type="dxa"/>
              <w:bottom w:w="-1" w:type="dxa"/>
              <w:right w:w="-1" w:type="dxa"/>
            </w:tcMar>
            <w:vAlign w:val="center"/>
          </w:tcPr>
          <w:p w14:paraId="4BFE362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0.94 (0.72–1.22)</w:t>
            </w:r>
          </w:p>
        </w:tc>
        <w:tc>
          <w:tcPr>
            <w:tcW w:w="2072" w:type="dxa"/>
            <w:tcBorders>
              <w:top w:val="nil"/>
              <w:left w:val="nil"/>
              <w:bottom w:val="nil"/>
              <w:right w:val="nil"/>
            </w:tcBorders>
            <w:shd w:val="clear" w:color="auto" w:fill="auto"/>
            <w:noWrap w:val="0"/>
            <w:tcMar>
              <w:top w:w="-1" w:type="dxa"/>
              <w:left w:w="-1" w:type="dxa"/>
              <w:bottom w:w="-1" w:type="dxa"/>
              <w:right w:w="-1" w:type="dxa"/>
            </w:tcMar>
            <w:vAlign w:val="center"/>
          </w:tcPr>
          <w:p w14:paraId="7D32A00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0.99 (0.76–1.30)</w:t>
            </w:r>
          </w:p>
        </w:tc>
        <w:tc>
          <w:tcPr>
            <w:tcW w:w="2134" w:type="dxa"/>
            <w:tcBorders>
              <w:top w:val="nil"/>
              <w:left w:val="nil"/>
              <w:bottom w:val="nil"/>
              <w:right w:val="nil"/>
            </w:tcBorders>
            <w:shd w:val="clear" w:color="auto" w:fill="auto"/>
            <w:noWrap w:val="0"/>
            <w:tcMar>
              <w:top w:w="-1" w:type="dxa"/>
              <w:left w:w="-1" w:type="dxa"/>
              <w:bottom w:w="-1" w:type="dxa"/>
              <w:right w:w="-1" w:type="dxa"/>
            </w:tcMar>
            <w:vAlign w:val="center"/>
          </w:tcPr>
          <w:p w14:paraId="2204EA7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1.25 (0.97–1.61)</w:t>
            </w:r>
          </w:p>
        </w:tc>
      </w:tr>
      <w:tr w14:paraId="2ED9A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874" w:type="dxa"/>
            <w:tcBorders>
              <w:top w:val="nil"/>
              <w:left w:val="nil"/>
              <w:bottom w:val="nil"/>
              <w:right w:val="nil"/>
            </w:tcBorders>
            <w:shd w:val="clear" w:color="auto" w:fill="auto"/>
            <w:noWrap w:val="0"/>
            <w:tcMar>
              <w:top w:w="-1" w:type="dxa"/>
              <w:left w:w="-1" w:type="dxa"/>
              <w:bottom w:w="-1" w:type="dxa"/>
              <w:right w:w="-1" w:type="dxa"/>
            </w:tcMar>
            <w:vAlign w:val="center"/>
          </w:tcPr>
          <w:p w14:paraId="3A1ECB3A">
            <w:pPr>
              <w:snapToGrid w:val="0"/>
              <w:ind w:left="0" w:leftChars="0" w:right="0" w:rightChars="0" w:firstLine="0" w:firstLineChars="0"/>
              <w:jc w:val="center"/>
              <w:rPr>
                <w:rFonts w:hint="default" w:ascii="Times New Roman" w:hAnsi="Times New Roman" w:eastAsia="宋体" w:cs="Times New Roman"/>
                <w:i w:val="0"/>
                <w:iCs w:val="0"/>
                <w:color w:val="auto"/>
                <w:sz w:val="21"/>
                <w:szCs w:val="21"/>
                <w:highlight w:val="none"/>
                <w:u w:val="none"/>
              </w:rPr>
            </w:pPr>
          </w:p>
        </w:tc>
        <w:tc>
          <w:tcPr>
            <w:tcW w:w="1292" w:type="dxa"/>
            <w:tcBorders>
              <w:top w:val="nil"/>
              <w:left w:val="nil"/>
              <w:bottom w:val="nil"/>
              <w:right w:val="nil"/>
            </w:tcBorders>
            <w:shd w:val="clear" w:color="auto" w:fill="auto"/>
            <w:noWrap w:val="0"/>
            <w:tcMar>
              <w:top w:w="-1" w:type="dxa"/>
              <w:left w:w="-1" w:type="dxa"/>
              <w:bottom w:w="-1" w:type="dxa"/>
              <w:right w:w="-1" w:type="dxa"/>
            </w:tcMar>
            <w:vAlign w:val="center"/>
          </w:tcPr>
          <w:p w14:paraId="6564FEA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ICMRS</w:t>
            </w:r>
          </w:p>
        </w:tc>
        <w:tc>
          <w:tcPr>
            <w:tcW w:w="2061" w:type="dxa"/>
            <w:tcBorders>
              <w:top w:val="nil"/>
              <w:left w:val="nil"/>
              <w:bottom w:val="nil"/>
              <w:right w:val="nil"/>
            </w:tcBorders>
            <w:shd w:val="clear" w:color="auto" w:fill="auto"/>
            <w:noWrap w:val="0"/>
            <w:tcMar>
              <w:top w:w="-1" w:type="dxa"/>
              <w:left w:w="-1" w:type="dxa"/>
              <w:bottom w:w="-1" w:type="dxa"/>
              <w:right w:w="-1" w:type="dxa"/>
            </w:tcMar>
            <w:vAlign w:val="center"/>
          </w:tcPr>
          <w:p w14:paraId="0188DDD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0.97 (0.73–1.29)</w:t>
            </w:r>
          </w:p>
        </w:tc>
        <w:tc>
          <w:tcPr>
            <w:tcW w:w="2072" w:type="dxa"/>
            <w:tcBorders>
              <w:top w:val="nil"/>
              <w:left w:val="nil"/>
              <w:bottom w:val="nil"/>
              <w:right w:val="nil"/>
            </w:tcBorders>
            <w:shd w:val="clear" w:color="auto" w:fill="auto"/>
            <w:noWrap w:val="0"/>
            <w:tcMar>
              <w:top w:w="-1" w:type="dxa"/>
              <w:left w:w="-1" w:type="dxa"/>
              <w:bottom w:w="-1" w:type="dxa"/>
              <w:right w:w="-1" w:type="dxa"/>
            </w:tcMar>
            <w:vAlign w:val="center"/>
          </w:tcPr>
          <w:p w14:paraId="1A1545B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1.33 (1.02–1.73)</w:t>
            </w:r>
          </w:p>
        </w:tc>
        <w:tc>
          <w:tcPr>
            <w:tcW w:w="2134" w:type="dxa"/>
            <w:tcBorders>
              <w:top w:val="nil"/>
              <w:left w:val="nil"/>
              <w:bottom w:val="nil"/>
              <w:right w:val="nil"/>
            </w:tcBorders>
            <w:shd w:val="clear" w:color="auto" w:fill="auto"/>
            <w:noWrap w:val="0"/>
            <w:tcMar>
              <w:top w:w="-1" w:type="dxa"/>
              <w:left w:w="-1" w:type="dxa"/>
              <w:bottom w:w="-1" w:type="dxa"/>
              <w:right w:w="-1" w:type="dxa"/>
            </w:tcMar>
            <w:vAlign w:val="center"/>
          </w:tcPr>
          <w:p w14:paraId="368C94C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1.52 (1.17–1.98)</w:t>
            </w:r>
          </w:p>
        </w:tc>
      </w:tr>
      <w:tr w14:paraId="0D2BC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874" w:type="dxa"/>
            <w:tcBorders>
              <w:top w:val="nil"/>
              <w:left w:val="nil"/>
              <w:bottom w:val="nil"/>
              <w:right w:val="nil"/>
            </w:tcBorders>
            <w:shd w:val="clear" w:color="auto" w:fill="auto"/>
            <w:noWrap w:val="0"/>
            <w:tcMar>
              <w:top w:w="-1" w:type="dxa"/>
              <w:left w:w="-1" w:type="dxa"/>
              <w:bottom w:w="-1" w:type="dxa"/>
              <w:right w:w="-1" w:type="dxa"/>
            </w:tcMar>
            <w:vAlign w:val="center"/>
          </w:tcPr>
          <w:p w14:paraId="6C917D5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Complete-case analysis</w:t>
            </w:r>
          </w:p>
        </w:tc>
        <w:tc>
          <w:tcPr>
            <w:tcW w:w="1292" w:type="dxa"/>
            <w:tcBorders>
              <w:top w:val="nil"/>
              <w:left w:val="nil"/>
              <w:bottom w:val="nil"/>
              <w:right w:val="nil"/>
            </w:tcBorders>
            <w:shd w:val="clear" w:color="auto" w:fill="auto"/>
            <w:noWrap w:val="0"/>
            <w:tcMar>
              <w:top w:w="-1" w:type="dxa"/>
              <w:left w:w="-1" w:type="dxa"/>
              <w:bottom w:w="-1" w:type="dxa"/>
              <w:right w:w="-1" w:type="dxa"/>
            </w:tcMar>
            <w:vAlign w:val="center"/>
          </w:tcPr>
          <w:p w14:paraId="26D1CC4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TyG-WHtR</w:t>
            </w:r>
          </w:p>
        </w:tc>
        <w:tc>
          <w:tcPr>
            <w:tcW w:w="2061" w:type="dxa"/>
            <w:tcBorders>
              <w:top w:val="nil"/>
              <w:left w:val="nil"/>
              <w:bottom w:val="nil"/>
              <w:right w:val="nil"/>
            </w:tcBorders>
            <w:shd w:val="clear" w:color="auto" w:fill="auto"/>
            <w:noWrap w:val="0"/>
            <w:tcMar>
              <w:top w:w="-1" w:type="dxa"/>
              <w:left w:w="-1" w:type="dxa"/>
              <w:bottom w:w="-1" w:type="dxa"/>
              <w:right w:w="-1" w:type="dxa"/>
            </w:tcMar>
            <w:vAlign w:val="center"/>
          </w:tcPr>
          <w:p w14:paraId="0A9A891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1.03 (0.78–1.36)</w:t>
            </w:r>
          </w:p>
        </w:tc>
        <w:tc>
          <w:tcPr>
            <w:tcW w:w="2072" w:type="dxa"/>
            <w:tcBorders>
              <w:top w:val="nil"/>
              <w:left w:val="nil"/>
              <w:bottom w:val="nil"/>
              <w:right w:val="nil"/>
            </w:tcBorders>
            <w:shd w:val="clear" w:color="auto" w:fill="auto"/>
            <w:noWrap w:val="0"/>
            <w:tcMar>
              <w:top w:w="-1" w:type="dxa"/>
              <w:left w:w="-1" w:type="dxa"/>
              <w:bottom w:w="-1" w:type="dxa"/>
              <w:right w:w="-1" w:type="dxa"/>
            </w:tcMar>
            <w:vAlign w:val="center"/>
          </w:tcPr>
          <w:p w14:paraId="5C0BC12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1.18 (0.89–1.55)</w:t>
            </w:r>
          </w:p>
        </w:tc>
        <w:tc>
          <w:tcPr>
            <w:tcW w:w="2134" w:type="dxa"/>
            <w:tcBorders>
              <w:top w:val="nil"/>
              <w:left w:val="nil"/>
              <w:bottom w:val="nil"/>
              <w:right w:val="nil"/>
            </w:tcBorders>
            <w:shd w:val="clear" w:color="auto" w:fill="auto"/>
            <w:noWrap w:val="0"/>
            <w:tcMar>
              <w:top w:w="-1" w:type="dxa"/>
              <w:left w:w="-1" w:type="dxa"/>
              <w:bottom w:w="-1" w:type="dxa"/>
              <w:right w:w="-1" w:type="dxa"/>
            </w:tcMar>
            <w:vAlign w:val="center"/>
          </w:tcPr>
          <w:p w14:paraId="05BC33D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1.49 (1.14–1.95)</w:t>
            </w:r>
          </w:p>
        </w:tc>
      </w:tr>
      <w:tr w14:paraId="00D8A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874" w:type="dxa"/>
            <w:tcBorders>
              <w:top w:val="nil"/>
              <w:left w:val="nil"/>
              <w:bottom w:val="nil"/>
              <w:right w:val="nil"/>
            </w:tcBorders>
            <w:shd w:val="clear" w:color="auto" w:fill="auto"/>
            <w:noWrap w:val="0"/>
            <w:tcMar>
              <w:top w:w="-1" w:type="dxa"/>
              <w:left w:w="-1" w:type="dxa"/>
              <w:bottom w:w="-1" w:type="dxa"/>
              <w:right w:w="-1" w:type="dxa"/>
            </w:tcMar>
            <w:vAlign w:val="center"/>
          </w:tcPr>
          <w:p w14:paraId="5609FD1E">
            <w:pPr>
              <w:snapToGrid w:val="0"/>
              <w:ind w:left="0" w:leftChars="0" w:right="0" w:rightChars="0" w:firstLine="0" w:firstLineChars="0"/>
              <w:jc w:val="center"/>
              <w:rPr>
                <w:rFonts w:hint="default" w:ascii="Times New Roman" w:hAnsi="Times New Roman" w:eastAsia="宋体" w:cs="Times New Roman"/>
                <w:i w:val="0"/>
                <w:iCs w:val="0"/>
                <w:color w:val="auto"/>
                <w:sz w:val="21"/>
                <w:szCs w:val="21"/>
                <w:highlight w:val="none"/>
                <w:u w:val="none"/>
              </w:rPr>
            </w:pPr>
          </w:p>
        </w:tc>
        <w:tc>
          <w:tcPr>
            <w:tcW w:w="1292" w:type="dxa"/>
            <w:tcBorders>
              <w:top w:val="nil"/>
              <w:left w:val="nil"/>
              <w:bottom w:val="nil"/>
              <w:right w:val="nil"/>
            </w:tcBorders>
            <w:shd w:val="clear" w:color="auto" w:fill="auto"/>
            <w:noWrap w:val="0"/>
            <w:tcMar>
              <w:top w:w="-1" w:type="dxa"/>
              <w:left w:w="-1" w:type="dxa"/>
              <w:bottom w:w="-1" w:type="dxa"/>
              <w:right w:w="-1" w:type="dxa"/>
            </w:tcMar>
            <w:vAlign w:val="center"/>
          </w:tcPr>
          <w:p w14:paraId="56D78C0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TyG-BRI</w:t>
            </w:r>
          </w:p>
        </w:tc>
        <w:tc>
          <w:tcPr>
            <w:tcW w:w="2061" w:type="dxa"/>
            <w:tcBorders>
              <w:top w:val="nil"/>
              <w:left w:val="nil"/>
              <w:bottom w:val="nil"/>
              <w:right w:val="nil"/>
            </w:tcBorders>
            <w:shd w:val="clear" w:color="auto" w:fill="auto"/>
            <w:noWrap w:val="0"/>
            <w:tcMar>
              <w:top w:w="-1" w:type="dxa"/>
              <w:left w:w="-1" w:type="dxa"/>
              <w:bottom w:w="-1" w:type="dxa"/>
              <w:right w:w="-1" w:type="dxa"/>
            </w:tcMar>
            <w:vAlign w:val="center"/>
          </w:tcPr>
          <w:p w14:paraId="41D6BE2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1.05 (0.79–1.39)</w:t>
            </w:r>
          </w:p>
        </w:tc>
        <w:tc>
          <w:tcPr>
            <w:tcW w:w="2072" w:type="dxa"/>
            <w:tcBorders>
              <w:top w:val="nil"/>
              <w:left w:val="nil"/>
              <w:bottom w:val="nil"/>
              <w:right w:val="nil"/>
            </w:tcBorders>
            <w:shd w:val="clear" w:color="auto" w:fill="auto"/>
            <w:noWrap w:val="0"/>
            <w:tcMar>
              <w:top w:w="-1" w:type="dxa"/>
              <w:left w:w="-1" w:type="dxa"/>
              <w:bottom w:w="-1" w:type="dxa"/>
              <w:right w:w="-1" w:type="dxa"/>
            </w:tcMar>
            <w:vAlign w:val="center"/>
          </w:tcPr>
          <w:p w14:paraId="5848454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1.19 (0.91–1.57)</w:t>
            </w:r>
          </w:p>
        </w:tc>
        <w:tc>
          <w:tcPr>
            <w:tcW w:w="2134" w:type="dxa"/>
            <w:tcBorders>
              <w:top w:val="nil"/>
              <w:left w:val="nil"/>
              <w:bottom w:val="nil"/>
              <w:right w:val="nil"/>
            </w:tcBorders>
            <w:shd w:val="clear" w:color="auto" w:fill="auto"/>
            <w:noWrap w:val="0"/>
            <w:tcMar>
              <w:top w:w="-1" w:type="dxa"/>
              <w:left w:w="-1" w:type="dxa"/>
              <w:bottom w:w="-1" w:type="dxa"/>
              <w:right w:w="-1" w:type="dxa"/>
            </w:tcMar>
            <w:vAlign w:val="center"/>
          </w:tcPr>
          <w:p w14:paraId="717B26E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1.42 (1.08–1.86)</w:t>
            </w:r>
          </w:p>
        </w:tc>
      </w:tr>
      <w:tr w14:paraId="39936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874" w:type="dxa"/>
            <w:tcBorders>
              <w:top w:val="nil"/>
              <w:left w:val="nil"/>
              <w:bottom w:val="nil"/>
              <w:right w:val="nil"/>
            </w:tcBorders>
            <w:shd w:val="clear" w:color="auto" w:fill="auto"/>
            <w:noWrap w:val="0"/>
            <w:tcMar>
              <w:top w:w="-1" w:type="dxa"/>
              <w:left w:w="-1" w:type="dxa"/>
              <w:bottom w:w="-1" w:type="dxa"/>
              <w:right w:w="-1" w:type="dxa"/>
            </w:tcMar>
            <w:vAlign w:val="center"/>
          </w:tcPr>
          <w:p w14:paraId="1D2A1134">
            <w:pPr>
              <w:snapToGrid w:val="0"/>
              <w:ind w:left="0" w:leftChars="0" w:right="0" w:rightChars="0" w:firstLine="0" w:firstLineChars="0"/>
              <w:jc w:val="center"/>
              <w:rPr>
                <w:rFonts w:hint="default" w:ascii="Times New Roman" w:hAnsi="Times New Roman" w:eastAsia="宋体" w:cs="Times New Roman"/>
                <w:i w:val="0"/>
                <w:iCs w:val="0"/>
                <w:color w:val="auto"/>
                <w:sz w:val="21"/>
                <w:szCs w:val="21"/>
                <w:highlight w:val="none"/>
                <w:u w:val="none"/>
              </w:rPr>
            </w:pPr>
          </w:p>
        </w:tc>
        <w:tc>
          <w:tcPr>
            <w:tcW w:w="1292" w:type="dxa"/>
            <w:tcBorders>
              <w:top w:val="nil"/>
              <w:left w:val="nil"/>
              <w:bottom w:val="nil"/>
              <w:right w:val="nil"/>
            </w:tcBorders>
            <w:shd w:val="clear" w:color="auto" w:fill="auto"/>
            <w:noWrap w:val="0"/>
            <w:tcMar>
              <w:top w:w="-1" w:type="dxa"/>
              <w:left w:w="-1" w:type="dxa"/>
              <w:bottom w:w="-1" w:type="dxa"/>
              <w:right w:w="-1" w:type="dxa"/>
            </w:tcMar>
            <w:vAlign w:val="center"/>
          </w:tcPr>
          <w:p w14:paraId="7103647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AIP-WHtR</w:t>
            </w:r>
          </w:p>
        </w:tc>
        <w:tc>
          <w:tcPr>
            <w:tcW w:w="2061" w:type="dxa"/>
            <w:tcBorders>
              <w:top w:val="nil"/>
              <w:left w:val="nil"/>
              <w:bottom w:val="nil"/>
              <w:right w:val="nil"/>
            </w:tcBorders>
            <w:shd w:val="clear" w:color="auto" w:fill="auto"/>
            <w:noWrap w:val="0"/>
            <w:tcMar>
              <w:top w:w="-1" w:type="dxa"/>
              <w:left w:w="-1" w:type="dxa"/>
              <w:bottom w:w="-1" w:type="dxa"/>
              <w:right w:w="-1" w:type="dxa"/>
            </w:tcMar>
            <w:vAlign w:val="center"/>
          </w:tcPr>
          <w:p w14:paraId="68692DF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1.11 (0.85–1.45)</w:t>
            </w:r>
          </w:p>
        </w:tc>
        <w:tc>
          <w:tcPr>
            <w:tcW w:w="2072" w:type="dxa"/>
            <w:tcBorders>
              <w:top w:val="nil"/>
              <w:left w:val="nil"/>
              <w:bottom w:val="nil"/>
              <w:right w:val="nil"/>
            </w:tcBorders>
            <w:shd w:val="clear" w:color="auto" w:fill="auto"/>
            <w:noWrap w:val="0"/>
            <w:tcMar>
              <w:top w:w="-1" w:type="dxa"/>
              <w:left w:w="-1" w:type="dxa"/>
              <w:bottom w:w="-1" w:type="dxa"/>
              <w:right w:w="-1" w:type="dxa"/>
            </w:tcMar>
            <w:vAlign w:val="center"/>
          </w:tcPr>
          <w:p w14:paraId="1DE6750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1.16 (0.89–1.52)</w:t>
            </w:r>
          </w:p>
        </w:tc>
        <w:tc>
          <w:tcPr>
            <w:tcW w:w="2134" w:type="dxa"/>
            <w:tcBorders>
              <w:top w:val="nil"/>
              <w:left w:val="nil"/>
              <w:bottom w:val="nil"/>
              <w:right w:val="nil"/>
            </w:tcBorders>
            <w:shd w:val="clear" w:color="auto" w:fill="auto"/>
            <w:noWrap w:val="0"/>
            <w:tcMar>
              <w:top w:w="-1" w:type="dxa"/>
              <w:left w:w="-1" w:type="dxa"/>
              <w:bottom w:w="-1" w:type="dxa"/>
              <w:right w:w="-1" w:type="dxa"/>
            </w:tcMar>
            <w:vAlign w:val="center"/>
          </w:tcPr>
          <w:p w14:paraId="0853126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1.41 (1.08–1.84)</w:t>
            </w:r>
          </w:p>
        </w:tc>
      </w:tr>
      <w:tr w14:paraId="442E3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874" w:type="dxa"/>
            <w:tcBorders>
              <w:top w:val="nil"/>
              <w:left w:val="nil"/>
              <w:bottom w:val="nil"/>
              <w:right w:val="nil"/>
            </w:tcBorders>
            <w:shd w:val="clear" w:color="auto" w:fill="auto"/>
            <w:noWrap w:val="0"/>
            <w:tcMar>
              <w:top w:w="-1" w:type="dxa"/>
              <w:left w:w="-1" w:type="dxa"/>
              <w:bottom w:w="-1" w:type="dxa"/>
              <w:right w:w="-1" w:type="dxa"/>
            </w:tcMar>
            <w:vAlign w:val="center"/>
          </w:tcPr>
          <w:p w14:paraId="7F8925C2">
            <w:pPr>
              <w:snapToGrid w:val="0"/>
              <w:ind w:left="0" w:leftChars="0" w:right="0" w:rightChars="0" w:firstLine="0" w:firstLineChars="0"/>
              <w:jc w:val="center"/>
              <w:rPr>
                <w:rFonts w:hint="default" w:ascii="Times New Roman" w:hAnsi="Times New Roman" w:eastAsia="宋体" w:cs="Times New Roman"/>
                <w:i w:val="0"/>
                <w:iCs w:val="0"/>
                <w:color w:val="auto"/>
                <w:sz w:val="21"/>
                <w:szCs w:val="21"/>
                <w:highlight w:val="none"/>
                <w:u w:val="none"/>
              </w:rPr>
            </w:pPr>
          </w:p>
        </w:tc>
        <w:tc>
          <w:tcPr>
            <w:tcW w:w="1292" w:type="dxa"/>
            <w:tcBorders>
              <w:top w:val="nil"/>
              <w:left w:val="nil"/>
              <w:bottom w:val="nil"/>
              <w:right w:val="nil"/>
            </w:tcBorders>
            <w:shd w:val="clear" w:color="auto" w:fill="auto"/>
            <w:noWrap w:val="0"/>
            <w:tcMar>
              <w:top w:w="-1" w:type="dxa"/>
              <w:left w:w="-1" w:type="dxa"/>
              <w:bottom w:w="-1" w:type="dxa"/>
              <w:right w:w="-1" w:type="dxa"/>
            </w:tcMar>
            <w:vAlign w:val="center"/>
          </w:tcPr>
          <w:p w14:paraId="619353F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AIP-BRI</w:t>
            </w:r>
          </w:p>
        </w:tc>
        <w:tc>
          <w:tcPr>
            <w:tcW w:w="2061" w:type="dxa"/>
            <w:tcBorders>
              <w:top w:val="nil"/>
              <w:left w:val="nil"/>
              <w:bottom w:val="nil"/>
              <w:right w:val="nil"/>
            </w:tcBorders>
            <w:shd w:val="clear" w:color="auto" w:fill="auto"/>
            <w:noWrap w:val="0"/>
            <w:tcMar>
              <w:top w:w="-1" w:type="dxa"/>
              <w:left w:w="-1" w:type="dxa"/>
              <w:bottom w:w="-1" w:type="dxa"/>
              <w:right w:w="-1" w:type="dxa"/>
            </w:tcMar>
            <w:vAlign w:val="center"/>
          </w:tcPr>
          <w:p w14:paraId="25E00EC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0.94 (0.72–1.22)</w:t>
            </w:r>
          </w:p>
        </w:tc>
        <w:tc>
          <w:tcPr>
            <w:tcW w:w="2072" w:type="dxa"/>
            <w:tcBorders>
              <w:top w:val="nil"/>
              <w:left w:val="nil"/>
              <w:bottom w:val="nil"/>
              <w:right w:val="nil"/>
            </w:tcBorders>
            <w:shd w:val="clear" w:color="auto" w:fill="auto"/>
            <w:noWrap w:val="0"/>
            <w:tcMar>
              <w:top w:w="-1" w:type="dxa"/>
              <w:left w:w="-1" w:type="dxa"/>
              <w:bottom w:w="-1" w:type="dxa"/>
              <w:right w:w="-1" w:type="dxa"/>
            </w:tcMar>
            <w:vAlign w:val="center"/>
          </w:tcPr>
          <w:p w14:paraId="7E2FC7E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0.99 (0.76–1.30)</w:t>
            </w:r>
          </w:p>
        </w:tc>
        <w:tc>
          <w:tcPr>
            <w:tcW w:w="2134" w:type="dxa"/>
            <w:tcBorders>
              <w:top w:val="nil"/>
              <w:left w:val="nil"/>
              <w:bottom w:val="nil"/>
              <w:right w:val="nil"/>
            </w:tcBorders>
            <w:shd w:val="clear" w:color="auto" w:fill="auto"/>
            <w:noWrap w:val="0"/>
            <w:tcMar>
              <w:top w:w="-1" w:type="dxa"/>
              <w:left w:w="-1" w:type="dxa"/>
              <w:bottom w:w="-1" w:type="dxa"/>
              <w:right w:w="-1" w:type="dxa"/>
            </w:tcMar>
            <w:vAlign w:val="center"/>
          </w:tcPr>
          <w:p w14:paraId="000745D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1.25 (0.97–1.61)</w:t>
            </w:r>
          </w:p>
        </w:tc>
      </w:tr>
      <w:tr w14:paraId="475C4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874" w:type="dxa"/>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50246E86">
            <w:pPr>
              <w:snapToGrid w:val="0"/>
              <w:ind w:left="0" w:leftChars="0" w:right="0" w:rightChars="0" w:firstLine="0" w:firstLineChars="0"/>
              <w:jc w:val="center"/>
              <w:rPr>
                <w:rFonts w:hint="default" w:ascii="Times New Roman" w:hAnsi="Times New Roman" w:eastAsia="宋体" w:cs="Times New Roman"/>
                <w:i w:val="0"/>
                <w:iCs w:val="0"/>
                <w:color w:val="auto"/>
                <w:sz w:val="21"/>
                <w:szCs w:val="21"/>
                <w:highlight w:val="none"/>
                <w:u w:val="none"/>
              </w:rPr>
            </w:pPr>
          </w:p>
        </w:tc>
        <w:tc>
          <w:tcPr>
            <w:tcW w:w="1292" w:type="dxa"/>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6365286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ICMRS</w:t>
            </w:r>
          </w:p>
        </w:tc>
        <w:tc>
          <w:tcPr>
            <w:tcW w:w="2061" w:type="dxa"/>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14C49D9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0.97 (0.73–1.29)</w:t>
            </w:r>
          </w:p>
        </w:tc>
        <w:tc>
          <w:tcPr>
            <w:tcW w:w="2072" w:type="dxa"/>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0E87C68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1.33 (1.02–1.73)</w:t>
            </w:r>
          </w:p>
        </w:tc>
        <w:tc>
          <w:tcPr>
            <w:tcW w:w="2134" w:type="dxa"/>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33904A7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1.52 (1.17–1.98)</w:t>
            </w:r>
          </w:p>
        </w:tc>
      </w:tr>
    </w:tbl>
    <w:p w14:paraId="22C072EF">
      <w:pPr>
        <w:numPr>
          <w:ilvl w:val="0"/>
          <w:numId w:val="0"/>
        </w:numPr>
        <w:jc w:val="both"/>
        <w:outlineLvl w:val="9"/>
        <w:rPr>
          <w:rFonts w:hint="default" w:ascii="Times New Roman" w:hAnsi="Times New Roman" w:cs="Times New Roman"/>
          <w:b/>
          <w:bCs/>
          <w:color w:val="auto"/>
          <w:sz w:val="21"/>
          <w:szCs w:val="21"/>
          <w:highlight w:val="none"/>
        </w:rPr>
      </w:pPr>
      <w:r>
        <w:rPr>
          <w:rStyle w:val="6"/>
          <w:rFonts w:hint="default" w:ascii="Times New Roman" w:hAnsi="Times New Roman" w:eastAsia="宋体" w:cs="Times New Roman"/>
          <w:color w:val="auto"/>
          <w:sz w:val="21"/>
          <w:szCs w:val="21"/>
          <w:highlight w:val="none"/>
        </w:rPr>
        <w:t>Abbreviations:</w:t>
      </w:r>
      <w:r>
        <w:rPr>
          <w:rFonts w:hint="default" w:ascii="Times New Roman" w:hAnsi="Times New Roman" w:eastAsia="宋体" w:cs="Times New Roman"/>
          <w:color w:val="auto"/>
          <w:sz w:val="21"/>
          <w:szCs w:val="21"/>
          <w:highlight w:val="none"/>
        </w:rPr>
        <w:t xml:space="preserve"> HR, hazard ratio; CI, confidence interval; CMM, cardiometabolic multimorbidity; TyG, triglyceride-glucose index; WHtR, waist-to-height ratio; BRI, body roundness index; AIP, atherogenic index of plasma; ICMRS, integrated cardiometabolic risk score.</w:t>
      </w:r>
      <w:r>
        <w:rPr>
          <w:rFonts w:hint="default" w:ascii="Times New Roman" w:hAnsi="Times New Roman" w:eastAsia="宋体" w:cs="Times New Roman"/>
          <w:color w:val="auto"/>
          <w:sz w:val="21"/>
          <w:szCs w:val="21"/>
          <w:highlight w:val="none"/>
        </w:rPr>
        <w:br w:type="textWrapping"/>
      </w:r>
      <w:r>
        <w:rPr>
          <w:rStyle w:val="6"/>
          <w:rFonts w:hint="default" w:ascii="Times New Roman" w:hAnsi="Times New Roman" w:eastAsia="宋体" w:cs="Times New Roman"/>
          <w:color w:val="auto"/>
          <w:sz w:val="21"/>
          <w:szCs w:val="21"/>
          <w:highlight w:val="none"/>
        </w:rPr>
        <w:t>Notes:</w:t>
      </w:r>
      <w:r>
        <w:rPr>
          <w:rFonts w:hint="default" w:ascii="Times New Roman" w:hAnsi="Times New Roman" w:eastAsia="宋体" w:cs="Times New Roman"/>
          <w:color w:val="auto"/>
          <w:sz w:val="21"/>
          <w:szCs w:val="21"/>
          <w:highlight w:val="none"/>
        </w:rPr>
        <w:t xml:space="preserve"> Fully adjusted Cox proportional hazards models were used. Models were adjusted for age, sex, education, marital status, smoking, and drinking. In ELSA, excluding early incident cases did not materially change the analytic sample, and complete-case analysis yielded results essentially identical to the primary analysis, </w:t>
      </w:r>
    </w:p>
    <w:p w14:paraId="2AEFC7F3">
      <w:pPr>
        <w:numPr>
          <w:ilvl w:val="0"/>
          <w:numId w:val="0"/>
        </w:numPr>
        <w:jc w:val="both"/>
        <w:outlineLvl w:val="9"/>
        <w:rPr>
          <w:rFonts w:hint="default" w:ascii="Times New Roman" w:hAnsi="Times New Roman" w:cs="Times New Roman"/>
          <w:b/>
          <w:bCs/>
          <w:color w:val="auto"/>
          <w:sz w:val="21"/>
          <w:szCs w:val="21"/>
          <w:highlight w:val="none"/>
        </w:rPr>
      </w:pPr>
    </w:p>
    <w:p w14:paraId="29D64B81">
      <w:pPr>
        <w:jc w:val="left"/>
        <w:rPr>
          <w:rFonts w:hint="default" w:ascii="Times New Roman" w:hAnsi="Times New Roman" w:cs="Times New Roman"/>
          <w:b/>
          <w:color w:val="auto"/>
          <w:sz w:val="24"/>
          <w:szCs w:val="24"/>
          <w:highlight w:val="none"/>
        </w:rPr>
      </w:pPr>
    </w:p>
    <w:p w14:paraId="2DE02ACE">
      <w:pPr>
        <w:jc w:val="left"/>
        <w:rPr>
          <w:rFonts w:hint="default" w:ascii="Times New Roman" w:hAnsi="Times New Roman" w:cs="Times New Roman"/>
          <w:b/>
          <w:color w:val="auto"/>
          <w:sz w:val="24"/>
          <w:szCs w:val="24"/>
          <w:highlight w:val="none"/>
        </w:rPr>
      </w:pPr>
    </w:p>
    <w:p w14:paraId="48346E7F">
      <w:pPr>
        <w:jc w:val="left"/>
        <w:rPr>
          <w:rFonts w:hint="default" w:ascii="Times New Roman" w:hAnsi="Times New Roman" w:cs="Times New Roman"/>
          <w:b/>
          <w:color w:val="auto"/>
          <w:sz w:val="24"/>
          <w:szCs w:val="24"/>
          <w:highlight w:val="none"/>
        </w:rPr>
      </w:pPr>
    </w:p>
    <w:p w14:paraId="12A74FF6">
      <w:pPr>
        <w:jc w:val="left"/>
        <w:rPr>
          <w:rFonts w:hint="default" w:ascii="Times New Roman" w:hAnsi="Times New Roman" w:cs="Times New Roman"/>
          <w:b/>
          <w:color w:val="auto"/>
          <w:sz w:val="24"/>
          <w:szCs w:val="24"/>
          <w:highlight w:val="none"/>
        </w:rPr>
      </w:pPr>
    </w:p>
    <w:p w14:paraId="0B727798">
      <w:pPr>
        <w:jc w:val="left"/>
        <w:rPr>
          <w:rFonts w:hint="default" w:ascii="Times New Roman" w:hAnsi="Times New Roman" w:cs="Times New Roman"/>
          <w:b/>
          <w:color w:val="auto"/>
          <w:sz w:val="24"/>
          <w:szCs w:val="24"/>
          <w:highlight w:val="none"/>
        </w:rPr>
      </w:pPr>
    </w:p>
    <w:p w14:paraId="49D00226">
      <w:pPr>
        <w:jc w:val="left"/>
        <w:rPr>
          <w:rFonts w:hint="default" w:ascii="Times New Roman" w:hAnsi="Times New Roman" w:cs="Times New Roman"/>
          <w:b/>
          <w:color w:val="auto"/>
          <w:sz w:val="24"/>
          <w:szCs w:val="24"/>
          <w:highlight w:val="none"/>
        </w:rPr>
      </w:pPr>
    </w:p>
    <w:p w14:paraId="31DC11D6">
      <w:pPr>
        <w:jc w:val="left"/>
        <w:rPr>
          <w:rFonts w:hint="default" w:ascii="Times New Roman" w:hAnsi="Times New Roman" w:cs="Times New Roman"/>
          <w:b/>
          <w:color w:val="auto"/>
          <w:sz w:val="24"/>
          <w:szCs w:val="24"/>
          <w:highlight w:val="none"/>
        </w:rPr>
      </w:pPr>
    </w:p>
    <w:p w14:paraId="1C3F2F58">
      <w:pPr>
        <w:jc w:val="left"/>
        <w:rPr>
          <w:rFonts w:hint="default" w:ascii="Times New Roman" w:hAnsi="Times New Roman" w:cs="Times New Roman"/>
          <w:b/>
          <w:color w:val="auto"/>
          <w:sz w:val="24"/>
          <w:szCs w:val="24"/>
          <w:highlight w:val="none"/>
        </w:rPr>
      </w:pPr>
    </w:p>
    <w:p w14:paraId="66F59658">
      <w:pPr>
        <w:jc w:val="left"/>
        <w:rPr>
          <w:rFonts w:hint="default" w:ascii="Times New Roman" w:hAnsi="Times New Roman" w:cs="Times New Roman"/>
          <w:b/>
          <w:color w:val="auto"/>
          <w:sz w:val="24"/>
          <w:szCs w:val="24"/>
          <w:highlight w:val="none"/>
        </w:rPr>
      </w:pPr>
    </w:p>
    <w:p w14:paraId="0A684951">
      <w:pPr>
        <w:jc w:val="left"/>
        <w:rPr>
          <w:rFonts w:hint="default" w:ascii="Times New Roman" w:hAnsi="Times New Roman" w:cs="Times New Roman"/>
          <w:b/>
          <w:color w:val="auto"/>
          <w:sz w:val="24"/>
          <w:szCs w:val="24"/>
          <w:highlight w:val="none"/>
        </w:rPr>
      </w:pPr>
    </w:p>
    <w:p w14:paraId="2AAA17A9">
      <w:pPr>
        <w:jc w:val="left"/>
        <w:rPr>
          <w:rFonts w:hint="default" w:ascii="Times New Roman" w:hAnsi="Times New Roman" w:cs="Times New Roman"/>
          <w:b/>
          <w:color w:val="auto"/>
          <w:sz w:val="24"/>
          <w:szCs w:val="24"/>
          <w:highlight w:val="none"/>
        </w:rPr>
      </w:pPr>
    </w:p>
    <w:p w14:paraId="3F6FD74A">
      <w:pPr>
        <w:jc w:val="left"/>
        <w:rPr>
          <w:rFonts w:hint="default" w:ascii="Times New Roman" w:hAnsi="Times New Roman" w:cs="Times New Roman"/>
          <w:b/>
          <w:color w:val="auto"/>
          <w:sz w:val="24"/>
          <w:szCs w:val="24"/>
          <w:highlight w:val="none"/>
        </w:rPr>
      </w:pPr>
    </w:p>
    <w:p w14:paraId="2F27C13D">
      <w:pPr>
        <w:jc w:val="left"/>
        <w:rPr>
          <w:rFonts w:hint="default" w:ascii="Times New Roman" w:hAnsi="Times New Roman" w:cs="Times New Roman"/>
          <w:b/>
          <w:color w:val="auto"/>
          <w:sz w:val="24"/>
          <w:szCs w:val="24"/>
          <w:highlight w:val="none"/>
        </w:rPr>
      </w:pPr>
    </w:p>
    <w:p w14:paraId="61A0D084">
      <w:pPr>
        <w:jc w:val="left"/>
        <w:rPr>
          <w:rFonts w:hint="default" w:ascii="Times New Roman" w:hAnsi="Times New Roman" w:cs="Times New Roman"/>
          <w:b/>
          <w:color w:val="auto"/>
          <w:sz w:val="24"/>
          <w:szCs w:val="24"/>
          <w:highlight w:val="none"/>
        </w:rPr>
      </w:pPr>
    </w:p>
    <w:p w14:paraId="3FD5EEF3">
      <w:pPr>
        <w:jc w:val="left"/>
        <w:rPr>
          <w:rFonts w:hint="default" w:ascii="Times New Roman" w:hAnsi="Times New Roman" w:cs="Times New Roman"/>
          <w:b/>
          <w:color w:val="auto"/>
          <w:sz w:val="24"/>
          <w:szCs w:val="24"/>
          <w:highlight w:val="none"/>
        </w:rPr>
      </w:pPr>
    </w:p>
    <w:p w14:paraId="112D0717">
      <w:pPr>
        <w:jc w:val="left"/>
        <w:rPr>
          <w:rFonts w:hint="default" w:ascii="Times New Roman" w:hAnsi="Times New Roman" w:cs="Times New Roman"/>
          <w:b/>
          <w:color w:val="auto"/>
          <w:sz w:val="24"/>
          <w:szCs w:val="24"/>
          <w:highlight w:val="none"/>
        </w:rPr>
      </w:pPr>
    </w:p>
    <w:p w14:paraId="160A9F46">
      <w:pPr>
        <w:jc w:val="left"/>
        <w:rPr>
          <w:rFonts w:hint="default" w:ascii="Times New Roman" w:hAnsi="Times New Roman" w:cs="Times New Roman"/>
          <w:b/>
          <w:color w:val="auto"/>
          <w:sz w:val="24"/>
          <w:szCs w:val="24"/>
          <w:highlight w:val="none"/>
        </w:rPr>
      </w:pPr>
    </w:p>
    <w:p w14:paraId="3F5996E1">
      <w:pPr>
        <w:jc w:val="left"/>
        <w:rPr>
          <w:rFonts w:hint="default" w:ascii="Times New Roman" w:hAnsi="Times New Roman" w:cs="Times New Roman"/>
          <w:b/>
          <w:color w:val="auto"/>
          <w:sz w:val="24"/>
          <w:szCs w:val="24"/>
          <w:highlight w:val="none"/>
        </w:rPr>
      </w:pPr>
    </w:p>
    <w:p w14:paraId="51BCDE97">
      <w:pPr>
        <w:jc w:val="left"/>
        <w:rPr>
          <w:rFonts w:hint="default" w:ascii="Times New Roman" w:hAnsi="Times New Roman" w:cs="Times New Roman"/>
          <w:b/>
          <w:color w:val="auto"/>
          <w:sz w:val="24"/>
          <w:szCs w:val="24"/>
          <w:highlight w:val="none"/>
        </w:rPr>
      </w:pPr>
    </w:p>
    <w:p w14:paraId="5822D032">
      <w:pPr>
        <w:jc w:val="left"/>
        <w:rPr>
          <w:rFonts w:hint="default" w:ascii="Times New Roman" w:hAnsi="Times New Roman" w:cs="Times New Roman"/>
          <w:b/>
          <w:color w:val="auto"/>
          <w:sz w:val="24"/>
          <w:szCs w:val="24"/>
          <w:highlight w:val="none"/>
        </w:rPr>
      </w:pPr>
    </w:p>
    <w:p w14:paraId="77E0A0E9">
      <w:pPr>
        <w:jc w:val="left"/>
        <w:rPr>
          <w:rFonts w:hint="default" w:ascii="Times New Roman" w:hAnsi="Times New Roman" w:cs="Times New Roman"/>
          <w:b/>
          <w:color w:val="auto"/>
          <w:sz w:val="24"/>
          <w:szCs w:val="24"/>
          <w:highlight w:val="none"/>
        </w:rPr>
      </w:pPr>
    </w:p>
    <w:p w14:paraId="43938E79">
      <w:pPr>
        <w:jc w:val="left"/>
        <w:rPr>
          <w:rFonts w:hint="default" w:ascii="Times New Roman" w:hAnsi="Times New Roman" w:cs="Times New Roman"/>
          <w:b/>
          <w:color w:val="auto"/>
          <w:sz w:val="24"/>
          <w:szCs w:val="24"/>
          <w:highlight w:val="none"/>
        </w:rPr>
      </w:pPr>
    </w:p>
    <w:p w14:paraId="7150DAA5">
      <w:pPr>
        <w:jc w:val="left"/>
        <w:rPr>
          <w:rFonts w:hint="default" w:ascii="Times New Roman" w:hAnsi="Times New Roman" w:cs="Times New Roman"/>
          <w:b/>
          <w:color w:val="auto"/>
          <w:sz w:val="24"/>
          <w:szCs w:val="24"/>
          <w:highlight w:val="none"/>
        </w:rPr>
      </w:pPr>
    </w:p>
    <w:p w14:paraId="6A871912">
      <w:pPr>
        <w:jc w:val="left"/>
        <w:rPr>
          <w:rFonts w:hint="default" w:ascii="Times New Roman" w:hAnsi="Times New Roman" w:cs="Times New Roman" w:eastAsiaTheme="minorEastAsia"/>
          <w:b/>
          <w:color w:val="auto"/>
          <w:sz w:val="24"/>
          <w:szCs w:val="24"/>
          <w:highlight w:val="none"/>
          <w:lang w:val="en-US" w:eastAsia="zh-CN"/>
        </w:rPr>
      </w:pPr>
      <w:r>
        <w:rPr>
          <w:rFonts w:hint="default" w:ascii="Times New Roman" w:hAnsi="Times New Roman" w:cs="Times New Roman"/>
          <w:b/>
          <w:color w:val="auto"/>
          <w:sz w:val="24"/>
          <w:szCs w:val="24"/>
          <w:highlight w:val="none"/>
        </w:rPr>
        <w:t xml:space="preserve">Supplementary </w:t>
      </w:r>
      <w:r>
        <w:rPr>
          <w:rFonts w:hint="eastAsia" w:ascii="Times New Roman" w:hAnsi="Times New Roman" w:cs="Times New Roman"/>
          <w:b/>
          <w:color w:val="auto"/>
          <w:sz w:val="24"/>
          <w:szCs w:val="24"/>
          <w:highlight w:val="none"/>
          <w:lang w:val="en-US" w:eastAsia="zh-CN"/>
        </w:rPr>
        <w:t>Figures</w:t>
      </w:r>
    </w:p>
    <w:p w14:paraId="5377F84C">
      <w:pPr>
        <w:numPr>
          <w:ilvl w:val="0"/>
          <w:numId w:val="0"/>
        </w:numPr>
        <w:jc w:val="both"/>
        <w:outlineLvl w:val="9"/>
        <w:rPr>
          <w:rFonts w:hint="default" w:ascii="Times New Roman" w:hAnsi="Times New Roman" w:cs="Times New Roman"/>
          <w:b/>
          <w:bCs/>
          <w:color w:val="auto"/>
          <w:sz w:val="21"/>
          <w:szCs w:val="21"/>
          <w:highlight w:val="none"/>
        </w:rPr>
      </w:pPr>
    </w:p>
    <w:p w14:paraId="7BF82022">
      <w:pPr>
        <w:numPr>
          <w:ilvl w:val="0"/>
          <w:numId w:val="0"/>
        </w:numPr>
        <w:jc w:val="both"/>
        <w:outlineLvl w:val="2"/>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drawing>
          <wp:inline distT="0" distB="0" distL="114300" distR="114300">
            <wp:extent cx="5699760" cy="5922010"/>
            <wp:effectExtent l="0" t="0" r="0" b="6350"/>
            <wp:docPr id="1" name="图片 1" descr="Figure S1 ROC 曲线分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S1 ROC 曲线分析"/>
                    <pic:cNvPicPr>
                      <a:picLocks noChangeAspect="1"/>
                    </pic:cNvPicPr>
                  </pic:nvPicPr>
                  <pic:blipFill>
                    <a:blip r:embed="rId4"/>
                    <a:stretch>
                      <a:fillRect/>
                    </a:stretch>
                  </pic:blipFill>
                  <pic:spPr>
                    <a:xfrm>
                      <a:off x="0" y="0"/>
                      <a:ext cx="5699760" cy="5922010"/>
                    </a:xfrm>
                    <a:prstGeom prst="rect">
                      <a:avLst/>
                    </a:prstGeom>
                  </pic:spPr>
                </pic:pic>
              </a:graphicData>
            </a:graphic>
          </wp:inline>
        </w:drawing>
      </w:r>
    </w:p>
    <w:p w14:paraId="2AC8F3A0">
      <w:pPr>
        <w:rPr>
          <w:rFonts w:hint="default" w:ascii="Times New Roman" w:hAnsi="Times New Roman" w:eastAsia="宋体" w:cs="Times New Roman"/>
          <w:b/>
          <w:bCs/>
          <w:color w:val="auto"/>
          <w:sz w:val="21"/>
          <w:szCs w:val="21"/>
          <w:highlight w:val="none"/>
        </w:rPr>
      </w:pPr>
    </w:p>
    <w:p w14:paraId="77D9248C">
      <w:pPr>
        <w:numPr>
          <w:ilvl w:val="0"/>
          <w:numId w:val="0"/>
        </w:numPr>
        <w:jc w:val="both"/>
        <w:outlineLvl w:val="2"/>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bCs/>
          <w:color w:val="auto"/>
          <w:sz w:val="21"/>
          <w:szCs w:val="21"/>
          <w:highlight w:val="none"/>
        </w:rPr>
        <w:t>Supplementary Figure S1 ROC curves of five composite indices for incident CMM in CHARLS</w:t>
      </w:r>
      <w:r>
        <w:rPr>
          <w:rFonts w:hint="default" w:ascii="Times New Roman" w:hAnsi="Times New Roman" w:eastAsia="宋体" w:cs="Times New Roman"/>
          <w:b/>
          <w:bCs/>
          <w:color w:val="auto"/>
          <w:sz w:val="21"/>
          <w:szCs w:val="21"/>
          <w:highlight w:val="none"/>
          <w:lang w:val="en-US" w:eastAsia="zh-CN"/>
        </w:rPr>
        <w:t xml:space="preserve"> and ELS</w:t>
      </w:r>
      <w:r>
        <w:rPr>
          <w:rFonts w:hint="eastAsia" w:ascii="Times New Roman" w:hAnsi="Times New Roman" w:eastAsia="宋体" w:cs="Times New Roman"/>
          <w:b/>
          <w:bCs/>
          <w:color w:val="auto"/>
          <w:sz w:val="21"/>
          <w:szCs w:val="21"/>
          <w:highlight w:val="none"/>
          <w:lang w:val="en-US" w:eastAsia="zh-CN"/>
        </w:rPr>
        <w:t xml:space="preserve">. </w:t>
      </w:r>
      <w:r>
        <w:rPr>
          <w:rFonts w:hint="default" w:ascii="Times New Roman" w:hAnsi="Times New Roman" w:eastAsia="宋体" w:cs="Times New Roman"/>
          <w:b/>
          <w:bCs/>
          <w:color w:val="auto"/>
          <w:sz w:val="21"/>
          <w:szCs w:val="21"/>
          <w:highlight w:val="none"/>
          <w:lang w:val="en-US" w:eastAsia="zh-CN"/>
        </w:rPr>
        <w:t>A</w:t>
      </w:r>
      <w:r>
        <w:rPr>
          <w:rFonts w:hint="eastAsia" w:ascii="Times New Roman" w:hAnsi="Times New Roman" w:eastAsia="宋体" w:cs="Times New Roman"/>
          <w:b w:val="0"/>
          <w:bCs w:val="0"/>
          <w:color w:val="auto"/>
          <w:sz w:val="21"/>
          <w:szCs w:val="21"/>
          <w:highlight w:val="none"/>
          <w:lang w:val="en-US" w:eastAsia="zh-CN"/>
        </w:rPr>
        <w:t xml:space="preserve"> T</w:t>
      </w:r>
      <w:r>
        <w:rPr>
          <w:rFonts w:hint="default" w:ascii="Times New Roman" w:hAnsi="Times New Roman" w:eastAsia="宋体" w:cs="Times New Roman"/>
          <w:b w:val="0"/>
          <w:bCs w:val="0"/>
          <w:color w:val="auto"/>
          <w:sz w:val="21"/>
          <w:szCs w:val="21"/>
          <w:highlight w:val="none"/>
          <w:lang w:val="en-US" w:eastAsia="zh-CN"/>
        </w:rPr>
        <w:t>he ROC curves in the CHARLS cohort</w:t>
      </w:r>
      <w:r>
        <w:rPr>
          <w:rFonts w:hint="eastAsia"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lang w:val="en-US" w:eastAsia="zh-CN"/>
        </w:rPr>
        <w:t xml:space="preserve"> </w:t>
      </w:r>
      <w:r>
        <w:rPr>
          <w:rFonts w:hint="default" w:ascii="Times New Roman" w:hAnsi="Times New Roman" w:eastAsia="宋体" w:cs="Times New Roman"/>
          <w:b/>
          <w:bCs/>
          <w:color w:val="auto"/>
          <w:sz w:val="21"/>
          <w:szCs w:val="21"/>
          <w:highlight w:val="none"/>
          <w:lang w:val="en-US" w:eastAsia="zh-CN"/>
        </w:rPr>
        <w:t>B</w:t>
      </w:r>
      <w:r>
        <w:rPr>
          <w:rFonts w:hint="default" w:ascii="Times New Roman" w:hAnsi="Times New Roman" w:eastAsia="宋体" w:cs="Times New Roman"/>
          <w:b w:val="0"/>
          <w:bCs w:val="0"/>
          <w:color w:val="auto"/>
          <w:sz w:val="21"/>
          <w:szCs w:val="21"/>
          <w:highlight w:val="none"/>
          <w:lang w:val="en-US" w:eastAsia="zh-CN"/>
        </w:rPr>
        <w:t xml:space="preserve"> </w:t>
      </w:r>
      <w:r>
        <w:rPr>
          <w:rFonts w:hint="eastAsia" w:ascii="Times New Roman" w:hAnsi="Times New Roman" w:eastAsia="宋体" w:cs="Times New Roman"/>
          <w:b w:val="0"/>
          <w:bCs w:val="0"/>
          <w:color w:val="auto"/>
          <w:sz w:val="21"/>
          <w:szCs w:val="21"/>
          <w:highlight w:val="none"/>
          <w:lang w:val="en-US" w:eastAsia="zh-CN"/>
        </w:rPr>
        <w:t>T</w:t>
      </w:r>
      <w:r>
        <w:rPr>
          <w:rFonts w:hint="default" w:ascii="Times New Roman" w:hAnsi="Times New Roman" w:eastAsia="宋体" w:cs="Times New Roman"/>
          <w:b w:val="0"/>
          <w:bCs w:val="0"/>
          <w:color w:val="auto"/>
          <w:sz w:val="21"/>
          <w:szCs w:val="21"/>
          <w:highlight w:val="none"/>
          <w:lang w:val="en-US" w:eastAsia="zh-CN"/>
        </w:rPr>
        <w:t xml:space="preserve">he ROC curves in the ELSA cohort. </w:t>
      </w:r>
    </w:p>
    <w:p w14:paraId="2FE6C61D">
      <w:pPr>
        <w:rPr>
          <w:rFonts w:hint="default" w:ascii="Times New Roman" w:hAnsi="Times New Roman" w:eastAsia="宋体" w:cs="Times New Roman"/>
          <w:b/>
          <w:bCs/>
          <w:color w:val="auto"/>
          <w:sz w:val="21"/>
          <w:szCs w:val="21"/>
          <w:highlight w:val="none"/>
        </w:rPr>
      </w:pPr>
    </w:p>
    <w:p w14:paraId="11DA814A">
      <w:pPr>
        <w:rPr>
          <w:rFonts w:hint="default" w:ascii="Times New Roman" w:hAnsi="Times New Roman" w:cs="Times New Roman" w:eastAsiaTheme="minorEastAsia"/>
          <w:color w:val="auto"/>
          <w:sz w:val="21"/>
          <w:szCs w:val="21"/>
          <w:highlight w:val="none"/>
          <w:lang w:eastAsia="zh-CN"/>
        </w:rPr>
      </w:pPr>
      <w:r>
        <w:rPr>
          <w:rFonts w:hint="default" w:ascii="Times New Roman" w:hAnsi="Times New Roman" w:cs="Times New Roman" w:eastAsiaTheme="minorEastAsia"/>
          <w:color w:val="auto"/>
          <w:sz w:val="21"/>
          <w:szCs w:val="21"/>
          <w:highlight w:val="none"/>
          <w:lang w:eastAsia="zh-CN"/>
        </w:rPr>
        <w:drawing>
          <wp:inline distT="0" distB="0" distL="114300" distR="114300">
            <wp:extent cx="5771515" cy="4809490"/>
            <wp:effectExtent l="0" t="0" r="4445" b="6350"/>
            <wp:docPr id="2" name="图片 2" descr="Supplementary Figure2 Threshold effect analysis of TyG-WHtR and ICMRS for incident 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upplementary Figure2 Threshold effect analysis of TyG-WHtR and ICMRS for incident CM"/>
                    <pic:cNvPicPr>
                      <a:picLocks noChangeAspect="1"/>
                    </pic:cNvPicPr>
                  </pic:nvPicPr>
                  <pic:blipFill>
                    <a:blip r:embed="rId5"/>
                    <a:stretch>
                      <a:fillRect/>
                    </a:stretch>
                  </pic:blipFill>
                  <pic:spPr>
                    <a:xfrm>
                      <a:off x="0" y="0"/>
                      <a:ext cx="5771515" cy="4809490"/>
                    </a:xfrm>
                    <a:prstGeom prst="rect">
                      <a:avLst/>
                    </a:prstGeom>
                  </pic:spPr>
                </pic:pic>
              </a:graphicData>
            </a:graphic>
          </wp:inline>
        </w:drawing>
      </w:r>
    </w:p>
    <w:p w14:paraId="407490D2">
      <w:pPr>
        <w:outlineLvl w:val="2"/>
        <w:rPr>
          <w:rFonts w:hint="default" w:ascii="Times New Roman" w:hAnsi="Times New Roman" w:cs="Times New Roman" w:eastAsiaTheme="minorEastAsia"/>
          <w:color w:val="auto"/>
          <w:sz w:val="21"/>
          <w:szCs w:val="21"/>
          <w:highlight w:val="none"/>
          <w:lang w:eastAsia="zh-CN"/>
        </w:rPr>
      </w:pPr>
      <w:r>
        <w:rPr>
          <w:rFonts w:hint="default" w:ascii="Times New Roman" w:hAnsi="Times New Roman" w:eastAsia="宋体" w:cs="Times New Roman"/>
          <w:b/>
          <w:bCs/>
          <w:color w:val="auto"/>
          <w:sz w:val="21"/>
          <w:szCs w:val="21"/>
          <w:highlight w:val="none"/>
        </w:rPr>
        <w:t xml:space="preserve">Supplementary Figure </w:t>
      </w:r>
      <w:r>
        <w:rPr>
          <w:rFonts w:hint="eastAsia" w:ascii="Times New Roman" w:hAnsi="Times New Roman" w:eastAsia="宋体" w:cs="Times New Roman"/>
          <w:b/>
          <w:bCs/>
          <w:color w:val="auto"/>
          <w:sz w:val="21"/>
          <w:szCs w:val="21"/>
          <w:highlight w:val="none"/>
          <w:lang w:val="en-US" w:eastAsia="zh-CN"/>
        </w:rPr>
        <w:t>S</w:t>
      </w:r>
      <w:r>
        <w:rPr>
          <w:rFonts w:hint="default" w:ascii="Times New Roman" w:hAnsi="Times New Roman" w:eastAsia="宋体" w:cs="Times New Roman"/>
          <w:b/>
          <w:bCs/>
          <w:color w:val="auto"/>
          <w:sz w:val="21"/>
          <w:szCs w:val="21"/>
          <w:highlight w:val="none"/>
          <w:lang w:val="en-US" w:eastAsia="zh-CN"/>
        </w:rPr>
        <w:t>2</w:t>
      </w:r>
      <w:r>
        <w:rPr>
          <w:rFonts w:hint="default" w:ascii="Times New Roman" w:hAnsi="Times New Roman" w:eastAsia="宋体" w:cs="Times New Roman"/>
          <w:b/>
          <w:bCs/>
          <w:color w:val="auto"/>
          <w:sz w:val="21"/>
          <w:szCs w:val="21"/>
          <w:highlight w:val="none"/>
        </w:rPr>
        <w:t xml:space="preserve"> Threshold effect analysis of TyG-WHtR and ICMRS for incident CMM.</w:t>
      </w:r>
      <w:r>
        <w:rPr>
          <w:rFonts w:hint="default" w:ascii="Times New Roman" w:hAnsi="Times New Roman" w:eastAsia="宋体" w:cs="Times New Roman"/>
          <w:color w:val="auto"/>
          <w:sz w:val="21"/>
          <w:szCs w:val="21"/>
          <w:highlight w:val="none"/>
        </w:rPr>
        <w:br w:type="textWrapping"/>
      </w:r>
      <w:r>
        <w:rPr>
          <w:rFonts w:hint="default" w:ascii="Times New Roman" w:hAnsi="Times New Roman" w:eastAsia="宋体" w:cs="Times New Roman"/>
          <w:color w:val="auto"/>
          <w:sz w:val="21"/>
          <w:szCs w:val="21"/>
          <w:highlight w:val="none"/>
        </w:rPr>
        <w:t>Restricted cubic spline curves show the associations of TyG-WHtR and ICMRS with the risk of incident cardiometabolic multimorbidity (CMM) in the CHARLS and ELSA cohorts. The red solid line represents the adjusted hazard ratio, and the shaded area indicates the 95% confidence interval. The grey dashed horizontal line indicates HR = 1. The blue-green dashed vertical line indicates the threshold identified by two-piecewise Cox regression. Histograms at the bottom show the distribution of each exposure.</w:t>
      </w:r>
    </w:p>
    <w:p w14:paraId="0EDF4C59">
      <w:pPr>
        <w:rPr>
          <w:rFonts w:hint="default" w:ascii="Times New Roman" w:hAnsi="Times New Roman" w:eastAsia="宋体" w:cs="Times New Roman"/>
          <w:b/>
          <w:bCs/>
          <w:color w:val="auto"/>
          <w:sz w:val="21"/>
          <w:szCs w:val="21"/>
          <w:highlight w:val="none"/>
        </w:rPr>
      </w:pPr>
    </w:p>
    <w:p w14:paraId="79CDEB0B">
      <w:pPr>
        <w:rPr>
          <w:rFonts w:hint="default" w:ascii="Times New Roman" w:hAnsi="Times New Roman" w:cs="Times New Roman"/>
          <w:color w:val="auto"/>
          <w:sz w:val="21"/>
          <w:szCs w:val="21"/>
          <w:highlight w:val="none"/>
        </w:rPr>
      </w:pPr>
    </w:p>
    <w:sectPr>
      <w:pgSz w:w="11906" w:h="16838"/>
      <w:pgMar w:top="1440" w:right="1463" w:bottom="1440" w:left="146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0E7FEC"/>
    <w:rsid w:val="05DD332B"/>
    <w:rsid w:val="084B690D"/>
    <w:rsid w:val="103D699F"/>
    <w:rsid w:val="17AC1CA0"/>
    <w:rsid w:val="190E7FEC"/>
    <w:rsid w:val="1F6F66B0"/>
    <w:rsid w:val="37423F76"/>
    <w:rsid w:val="467758CC"/>
    <w:rsid w:val="50392C40"/>
    <w:rsid w:val="55922A70"/>
    <w:rsid w:val="74761D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876</Words>
  <Characters>5621</Characters>
  <Lines>0</Lines>
  <Paragraphs>0</Paragraphs>
  <TotalTime>9</TotalTime>
  <ScaleCrop>false</ScaleCrop>
  <LinksUpToDate>false</LinksUpToDate>
  <CharactersWithSpaces>6282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2026-05-15T02:50:00Z</dcterms:created>
  <dc:creator>Xiaoyan Jia</dc:creator>
  <cp:lastModifiedBy>Xiaoyan Jia</cp:lastModifiedBy>
  <dcterms:modified xsi:type="dcterms:W3CDTF">2026-05-19T15:54:53Z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E986025509A2428D876E80F19830C471_13</vt:lpwstr>
  </property>
  <property fmtid="{D5CDD505-2E9C-101B-9397-08002B2CF9AE}" pid="4" name="KSOTemplateDocerSaveRecord">
    <vt:lpwstr>eyJoZGlkIjoiNzA0MDNjNGJmODFmYTA0OWNkM2M0MjE1NmZjZjU1YzciLCJ1c2VySWQiOiIyMDI3MTYyMDMifQ==</vt:lpwstr>
  </property>
</Properties>
</file>