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fontTable.xml.rels" ContentType="application/vnd.openxmlformats-package.relationships+xml"/>
  <Override PartName="/word/_rels/document.xml.rels" ContentType="application/vnd.openxmlformats-package.relationships+xml"/>
  <Override PartName="/word/media/image13.png" ContentType="image/png"/>
  <Override PartName="/word/media/image9.png" ContentType="image/png"/>
  <Override PartName="/word/media/image1.jpeg" ContentType="image/jpeg"/>
  <Override PartName="/word/media/image10.png" ContentType="image/png"/>
  <Override PartName="/word/media/image6.png" ContentType="image/png"/>
  <Override PartName="/word/media/image15.png" ContentType="image/png"/>
  <Override PartName="/word/media/image2.jpeg" ContentType="image/jpeg"/>
  <Override PartName="/word/media/image4.jpeg" ContentType="image/jpeg"/>
  <Override PartName="/word/media/image14.png" ContentType="image/png"/>
  <Override PartName="/word/media/image5.png" ContentType="image/png"/>
  <Override PartName="/word/media/image7.png" ContentType="image/png"/>
  <Override PartName="/word/media/image11.png" ContentType="image/png"/>
  <Override PartName="/word/media/image8.png" ContentType="image/png"/>
  <Override PartName="/word/media/image12.png" ContentType="image/png"/>
  <Override PartName="/word/media/image3.png" ContentType="image/png"/>
  <Override PartName="/word/header5.xml" ContentType="application/vnd.openxmlformats-officedocument.wordprocessingml.head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360"/>
        <w:rPr>
          <w:b/>
          <w:bCs/>
          <w:color w:val="A61C00"/>
        </w:rPr>
      </w:pPr>
      <w:r>
        <w:rPr>
          <w:b/>
          <w:bCs/>
          <w:color w:val="A61C00"/>
          <w:sz w:val="24"/>
          <w:szCs w:val="24"/>
        </w:rPr>
        <w:t>Colonial legacies in eponymous species names: a global network perspective</w:t>
      </w:r>
    </w:p>
    <w:p>
      <w:pPr>
        <w:pStyle w:val="normal1"/>
        <w:spacing w:lineRule="auto" w:line="276"/>
        <w:rPr>
          <w:b/>
          <w:bCs/>
          <w:vertAlign w:val="superscript"/>
        </w:rPr>
      </w:pPr>
      <w:r>
        <w:rPr>
          <w:b/>
          <w:bCs/>
        </w:rPr>
        <w:t>Akshay Bharadwaj, Joel Pick, Bernd Lenzner</w:t>
      </w:r>
    </w:p>
    <w:p>
      <w:pPr>
        <w:pStyle w:val="normal1"/>
        <w:spacing w:lineRule="auto" w:line="276"/>
        <w:rPr>
          <w:b/>
          <w:bCs/>
          <w:color w:val="A61C00"/>
          <w:u w:val="single"/>
        </w:rPr>
      </w:pPr>
      <w:r>
        <w:rPr>
          <w:b/>
          <w:bCs/>
          <w:color w:val="A61C00"/>
          <w:u w:val="single"/>
        </w:rPr>
      </w:r>
    </w:p>
    <w:p>
      <w:pPr>
        <w:pStyle w:val="normal1"/>
        <w:spacing w:lineRule="auto" w:line="276"/>
        <w:rPr>
          <w:b/>
          <w:bCs/>
          <w:color w:val="A61C00"/>
          <w:u w:val="single"/>
        </w:rPr>
      </w:pPr>
      <w:r>
        <w:rPr>
          <w:b/>
          <w:bCs/>
          <w:color w:val="A61C00"/>
          <w:u w:val="single"/>
        </w:rPr>
        <w:t>Supplementary materials:</w:t>
      </w:r>
    </w:p>
    <w:p>
      <w:pPr>
        <w:pStyle w:val="normal1"/>
        <w:spacing w:lineRule="auto" w:line="276"/>
        <w:rPr>
          <w:b/>
          <w:bCs/>
          <w:highlight w:val="white"/>
        </w:rPr>
      </w:pPr>
      <w:r>
        <w:rPr>
          <w:b/>
          <w:bCs/>
          <w:highlight w:val="white"/>
        </w:rPr>
      </w:r>
    </w:p>
    <w:p>
      <w:pPr>
        <w:pStyle w:val="normal1"/>
        <w:spacing w:lineRule="auto" w:line="276"/>
        <w:rPr>
          <w:b/>
          <w:bCs/>
          <w:highlight w:val="white"/>
        </w:rPr>
      </w:pPr>
      <w:r>
        <w:rPr>
          <w:b/>
          <w:bCs/>
        </w:rPr>
        <w:drawing>
          <wp:anchor behindDoc="0" distT="0" distB="0" distL="0" distR="0" simplePos="0" locked="0" layoutInCell="0" allowOverlap="1" relativeHeight="16">
            <wp:simplePos x="0" y="0"/>
            <wp:positionH relativeFrom="column">
              <wp:posOffset>-733425</wp:posOffset>
            </wp:positionH>
            <wp:positionV relativeFrom="paragraph">
              <wp:posOffset>123825</wp:posOffset>
            </wp:positionV>
            <wp:extent cx="7415530" cy="3258185"/>
            <wp:effectExtent l="0" t="0" r="0" b="0"/>
            <wp:wrapTopAndBottom/>
            <wp:docPr id="1" name="image12.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2.jpg" descr=""/>
                    <pic:cNvPicPr>
                      <a:picLocks noChangeAspect="1" noChangeArrowheads="1"/>
                    </pic:cNvPicPr>
                  </pic:nvPicPr>
                  <pic:blipFill>
                    <a:blip r:embed="rId2"/>
                    <a:srcRect l="0" t="19172" r="0" b="18715"/>
                    <a:stretch>
                      <a:fillRect/>
                    </a:stretch>
                  </pic:blipFill>
                  <pic:spPr bwMode="auto">
                    <a:xfrm>
                      <a:off x="0" y="0"/>
                      <a:ext cx="7415530" cy="3258185"/>
                    </a:xfrm>
                    <a:prstGeom prst="rect">
                      <a:avLst/>
                    </a:prstGeom>
                  </pic:spPr>
                </pic:pic>
              </a:graphicData>
            </a:graphic>
          </wp:anchor>
        </w:drawing>
      </w:r>
      <w:r>
        <w:rPr>
          <w:b/>
          <w:bCs/>
        </w:rPr>
        <w:t>Figure S1: A global map showing the analyzed regions. Some countries (such as Nigeria) encompass the area of the entire country. Meanwhile, other countries (such as India), consist of multiple “regions” which each represent an area with a shared colonial history.</w:t>
      </w:r>
      <w:r>
        <w:br w:type="page"/>
      </w:r>
    </w:p>
    <w:p>
      <w:pPr>
        <w:pStyle w:val="normal1"/>
        <w:spacing w:lineRule="auto" w:line="276" w:before="0" w:after="0"/>
        <w:rPr>
          <w:b/>
          <w:bCs/>
          <w:highlight w:val="white"/>
        </w:rPr>
      </w:pPr>
      <w:r>
        <w:rPr>
          <w:b/>
          <w:bCs/>
          <w:highlight w:val="white"/>
        </w:rPr>
      </w:r>
    </w:p>
    <w:p>
      <w:pPr>
        <w:pStyle w:val="normal1"/>
        <w:spacing w:lineRule="auto" w:line="276"/>
        <w:rPr>
          <w:b/>
          <w:bCs/>
          <w:highlight w:val="white"/>
        </w:rPr>
      </w:pPr>
      <w:r>
        <w:rPr>
          <w:b/>
          <w:bCs/>
          <w:highlight w:val="white"/>
        </w:rPr>
        <w:drawing>
          <wp:anchor behindDoc="0" distT="0" distB="0" distL="0" distR="0" simplePos="0" locked="0" layoutInCell="0" allowOverlap="1" relativeHeight="15">
            <wp:simplePos x="0" y="0"/>
            <wp:positionH relativeFrom="column">
              <wp:posOffset>-876300</wp:posOffset>
            </wp:positionH>
            <wp:positionV relativeFrom="paragraph">
              <wp:posOffset>62865</wp:posOffset>
            </wp:positionV>
            <wp:extent cx="7665085" cy="4409440"/>
            <wp:effectExtent l="0" t="0" r="0" b="0"/>
            <wp:wrapTopAndBottom/>
            <wp:docPr id="2" name="image14.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4.jpg" descr=""/>
                    <pic:cNvPicPr>
                      <a:picLocks noChangeAspect="1" noChangeArrowheads="1"/>
                    </pic:cNvPicPr>
                  </pic:nvPicPr>
                  <pic:blipFill>
                    <a:blip r:embed="rId3"/>
                    <a:stretch>
                      <a:fillRect/>
                    </a:stretch>
                  </pic:blipFill>
                  <pic:spPr bwMode="auto">
                    <a:xfrm>
                      <a:off x="0" y="0"/>
                      <a:ext cx="7665085" cy="4409440"/>
                    </a:xfrm>
                    <a:prstGeom prst="rect">
                      <a:avLst/>
                    </a:prstGeom>
                  </pic:spPr>
                </pic:pic>
              </a:graphicData>
            </a:graphic>
          </wp:anchor>
        </w:drawing>
      </w:r>
    </w:p>
    <w:p>
      <w:pPr>
        <w:pStyle w:val="normal1"/>
        <w:spacing w:lineRule="auto" w:line="276"/>
        <w:rPr>
          <w:highlight w:val="white"/>
        </w:rPr>
      </w:pPr>
      <w:r>
        <w:rPr>
          <w:b/>
          <w:bCs/>
          <w:highlight w:val="white"/>
        </w:rPr>
        <w:t xml:space="preserve">Figure S2: </w:t>
      </w:r>
      <w:r>
        <w:rPr>
          <w:highlight w:val="white"/>
        </w:rPr>
        <w:t>The decision tree followed to assign nationality of honored persons. Nationality (Beolens et al., 2020) was updated only when a person from a certain country (often a colonial empire) spent over two decades living and working in foreign country in a private capacity, i.e., not part of a colonial administrative service (diplomacy, civil service, military tenure etc.). We utilized the decision tree to help assign nationalities in a transparent and reproducible manner.</w:t>
      </w:r>
    </w:p>
    <w:p>
      <w:pPr>
        <w:pStyle w:val="normal1"/>
        <w:spacing w:lineRule="auto" w:line="276"/>
        <w:rPr>
          <w:i/>
          <w:i/>
          <w:iCs/>
          <w:highlight w:val="white"/>
        </w:rPr>
      </w:pPr>
      <w:r>
        <w:rPr>
          <w:i/>
          <w:iCs/>
          <w:highlight w:val="white"/>
        </w:rPr>
      </w:r>
    </w:p>
    <w:p>
      <w:pPr>
        <w:pStyle w:val="normal1"/>
        <w:spacing w:lineRule="auto" w:line="276"/>
        <w:rPr>
          <w:i/>
          <w:i/>
          <w:iCs/>
          <w:highlight w:val="white"/>
        </w:rPr>
      </w:pPr>
      <w:r>
        <w:rPr>
          <w:i/>
          <w:iCs/>
          <w:highlight w:val="white"/>
        </w:rPr>
        <w:t>Citation:</w:t>
      </w:r>
    </w:p>
    <w:p>
      <w:pPr>
        <w:pStyle w:val="normal1"/>
        <w:spacing w:lineRule="auto" w:line="276"/>
        <w:rPr>
          <w:highlight w:val="white"/>
        </w:rPr>
      </w:pPr>
      <w:r>
        <w:rPr>
          <w:highlight w:val="white"/>
        </w:rPr>
        <w:t xml:space="preserve">Beolens, B., Watkins, M., &amp; Grayson, M. (2020). </w:t>
      </w:r>
      <w:r>
        <w:rPr>
          <w:i/>
          <w:iCs/>
          <w:highlight w:val="white"/>
        </w:rPr>
        <w:t>The eponym dictionary of birds</w:t>
      </w:r>
      <w:r>
        <w:rPr>
          <w:highlight w:val="white"/>
        </w:rPr>
        <w:t>. Bloomsbury Publishing.</w:t>
      </w:r>
    </w:p>
    <w:p>
      <w:pPr>
        <w:pStyle w:val="normal1"/>
        <w:spacing w:lineRule="auto" w:line="276"/>
        <w:rPr>
          <w:b/>
          <w:bCs/>
          <w:highlight w:val="white"/>
        </w:rPr>
      </w:pPr>
      <w:r>
        <w:rPr>
          <w:b/>
          <w:bCs/>
          <w:highlight w:val="white"/>
        </w:rPr>
      </w:r>
      <w:r>
        <w:br w:type="page"/>
      </w:r>
    </w:p>
    <w:p>
      <w:pPr>
        <w:pStyle w:val="normal1"/>
        <w:spacing w:lineRule="auto" w:line="276" w:before="0" w:after="0"/>
        <w:rPr>
          <w:b/>
          <w:bCs/>
          <w:highlight w:val="white"/>
        </w:rPr>
      </w:pPr>
      <w:r>
        <w:rPr>
          <w:b/>
          <w:bCs/>
          <w:highlight w:val="white"/>
        </w:rPr>
      </w:r>
    </w:p>
    <w:p>
      <w:pPr>
        <w:pStyle w:val="normal1"/>
        <w:spacing w:lineRule="auto" w:line="276"/>
        <w:rPr>
          <w:b/>
          <w:bCs/>
        </w:rPr>
      </w:pPr>
      <w:r>
        <w:rPr>
          <w:b/>
          <w:bCs/>
        </w:rPr>
        <w:drawing>
          <wp:anchor behindDoc="0" distT="0" distB="0" distL="0" distR="0" simplePos="0" locked="0" layoutInCell="0" allowOverlap="1" relativeHeight="14">
            <wp:simplePos x="0" y="0"/>
            <wp:positionH relativeFrom="column">
              <wp:posOffset>-859790</wp:posOffset>
            </wp:positionH>
            <wp:positionV relativeFrom="paragraph">
              <wp:posOffset>19050</wp:posOffset>
            </wp:positionV>
            <wp:extent cx="7613015" cy="6278245"/>
            <wp:effectExtent l="0" t="0" r="0" b="0"/>
            <wp:wrapTopAndBottom/>
            <wp:docPr id="3" name="image1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3.png" descr=""/>
                    <pic:cNvPicPr>
                      <a:picLocks noChangeAspect="1" noChangeArrowheads="1"/>
                    </pic:cNvPicPr>
                  </pic:nvPicPr>
                  <pic:blipFill>
                    <a:blip r:embed="rId4"/>
                    <a:srcRect l="0" t="0" r="0" b="3810"/>
                    <a:stretch>
                      <a:fillRect/>
                    </a:stretch>
                  </pic:blipFill>
                  <pic:spPr bwMode="auto">
                    <a:xfrm>
                      <a:off x="0" y="0"/>
                      <a:ext cx="7613015" cy="6278245"/>
                    </a:xfrm>
                    <a:prstGeom prst="rect">
                      <a:avLst/>
                    </a:prstGeom>
                  </pic:spPr>
                </pic:pic>
              </a:graphicData>
            </a:graphic>
          </wp:anchor>
        </w:drawing>
      </w:r>
    </w:p>
    <w:p>
      <w:pPr>
        <w:pStyle w:val="normal1"/>
        <w:spacing w:lineRule="auto" w:line="276"/>
        <w:rPr/>
      </w:pPr>
      <w:r>
        <w:rPr>
          <w:b/>
          <w:bCs/>
        </w:rPr>
        <w:t xml:space="preserve">Figure S3: </w:t>
      </w:r>
      <w:r>
        <w:rPr/>
        <w:t xml:space="preserve">Bipartite networks visualizing relationships in eponymous common bird names (a) overall, (b) in the early colonization period, (c) colonial expansion period and (d) post-colonial period. In each separate network, countries where eponymous birds occur are shown in the bottom layer, while the country of origin of the persons honored in the eponymous bird name is shown on the top layer. A gray edge between the layers denotes a single eponymous bird species found in a country when it is named after a person who is not from that country. Conversely, red edges highlight cases where the bird and the person honored in its name are from the same country. </w:t>
      </w:r>
      <w:r>
        <w:rPr>
          <w:i/>
          <w:iCs/>
        </w:rPr>
        <w:t>The full key to all ISO country codes is provided in Table S1.</w:t>
        <w:br/>
      </w:r>
      <w:r>
        <w:br w:type="page"/>
      </w:r>
    </w:p>
    <w:p>
      <w:pPr>
        <w:pStyle w:val="normal1"/>
        <w:spacing w:lineRule="auto" w:line="276" w:before="0" w:after="0"/>
        <w:rPr>
          <w:b/>
          <w:bCs/>
        </w:rPr>
      </w:pPr>
      <w:r>
        <w:rPr>
          <w:b/>
          <w:bCs/>
        </w:rPr>
        <w:drawing>
          <wp:anchor behindDoc="0" distT="0" distB="0" distL="0" distR="0" simplePos="0" locked="0" layoutInCell="0" allowOverlap="1" relativeHeight="13">
            <wp:simplePos x="0" y="0"/>
            <wp:positionH relativeFrom="column">
              <wp:posOffset>-838200</wp:posOffset>
            </wp:positionH>
            <wp:positionV relativeFrom="paragraph">
              <wp:posOffset>635</wp:posOffset>
            </wp:positionV>
            <wp:extent cx="7558405" cy="3901440"/>
            <wp:effectExtent l="0" t="0" r="0" b="0"/>
            <wp:wrapTopAndBottom/>
            <wp:docPr id="4" name="image1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1.jpg" descr=""/>
                    <pic:cNvPicPr>
                      <a:picLocks noChangeAspect="1" noChangeArrowheads="1"/>
                    </pic:cNvPicPr>
                  </pic:nvPicPr>
                  <pic:blipFill>
                    <a:blip r:embed="rId5"/>
                    <a:srcRect l="5928" t="16010" r="5928" b="15830"/>
                    <a:stretch>
                      <a:fillRect/>
                    </a:stretch>
                  </pic:blipFill>
                  <pic:spPr bwMode="auto">
                    <a:xfrm>
                      <a:off x="0" y="0"/>
                      <a:ext cx="7558405" cy="3901440"/>
                    </a:xfrm>
                    <a:prstGeom prst="rect">
                      <a:avLst/>
                    </a:prstGeom>
                  </pic:spPr>
                </pic:pic>
              </a:graphicData>
            </a:graphic>
          </wp:anchor>
        </w:drawing>
      </w:r>
    </w:p>
    <w:p>
      <w:pPr>
        <w:pStyle w:val="normal1"/>
        <w:spacing w:lineRule="auto" w:line="276"/>
        <w:rPr/>
      </w:pPr>
      <w:r>
        <w:rPr>
          <w:b/>
          <w:bCs/>
        </w:rPr>
        <w:t>Figure S4:</w:t>
      </w:r>
      <w:r>
        <w:rPr/>
        <w:t xml:space="preserve">  Bipartite network visualization of relationships of eponymous bird names (common names in English). The top layer denote former colonial powers</w:t>
      </w:r>
      <w:r>
        <w:rPr>
          <w:i/>
          <w:iCs/>
        </w:rPr>
        <w:t xml:space="preserve"> (in order: Blue = Great Britain, Cyan = France, Red = Germany, Orange = Netherlands, Gray = Italy, Green = Portugal, Purple = Belgium, Yellow = Spain</w:t>
      </w:r>
      <w:r>
        <w:rPr/>
        <w:t>), while gray nodes in the bottom layer represent former colonies which are today independent political entities.</w:t>
      </w:r>
    </w:p>
    <w:p>
      <w:pPr>
        <w:pStyle w:val="normal1"/>
        <w:spacing w:lineRule="auto" w:line="276"/>
        <w:rPr/>
      </w:pPr>
      <w:r>
        <w:rPr/>
      </w:r>
    </w:p>
    <w:p>
      <w:pPr>
        <w:pStyle w:val="normal1"/>
        <w:spacing w:lineRule="auto" w:line="276"/>
        <w:rPr/>
      </w:pPr>
      <w:r>
        <w:rPr/>
      </w:r>
      <w:r>
        <w:br w:type="page"/>
      </w:r>
    </w:p>
    <w:p>
      <w:pPr>
        <w:pStyle w:val="normal1"/>
        <w:spacing w:lineRule="auto" w:line="276" w:before="0" w:after="0"/>
        <w:rPr/>
      </w:pPr>
      <w:r>
        <w:rPr/>
        <w:drawing>
          <wp:anchor behindDoc="0" distT="0" distB="0" distL="0" distR="0" simplePos="0" locked="0" layoutInCell="0" allowOverlap="1" relativeHeight="2">
            <wp:simplePos x="0" y="0"/>
            <wp:positionH relativeFrom="column">
              <wp:posOffset>-695325</wp:posOffset>
            </wp:positionH>
            <wp:positionV relativeFrom="paragraph">
              <wp:posOffset>114300</wp:posOffset>
            </wp:positionV>
            <wp:extent cx="7296150" cy="6082030"/>
            <wp:effectExtent l="0" t="0" r="0" b="0"/>
            <wp:wrapTopAndBottom/>
            <wp:docPr id="5"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descr=""/>
                    <pic:cNvPicPr>
                      <a:picLocks noChangeAspect="1" noChangeArrowheads="1"/>
                    </pic:cNvPicPr>
                  </pic:nvPicPr>
                  <pic:blipFill>
                    <a:blip r:embed="rId6"/>
                    <a:stretch>
                      <a:fillRect/>
                    </a:stretch>
                  </pic:blipFill>
                  <pic:spPr bwMode="auto">
                    <a:xfrm>
                      <a:off x="0" y="0"/>
                      <a:ext cx="7296150" cy="6082030"/>
                    </a:xfrm>
                    <a:prstGeom prst="rect">
                      <a:avLst/>
                    </a:prstGeom>
                  </pic:spPr>
                </pic:pic>
              </a:graphicData>
            </a:graphic>
          </wp:anchor>
        </w:drawing>
      </w:r>
    </w:p>
    <w:p>
      <w:pPr>
        <w:sectPr>
          <w:headerReference w:type="even" r:id="rId7"/>
          <w:headerReference w:type="default" r:id="rId8"/>
          <w:headerReference w:type="first" r:id="rId9"/>
          <w:type w:val="nextPage"/>
          <w:pgSz w:w="12240" w:h="15840"/>
          <w:pgMar w:left="1440" w:right="1440" w:gutter="0" w:header="720" w:top="1440" w:footer="0" w:bottom="1170"/>
          <w:lnNumType w:countBy="1" w:restart="continuous" w:distance="346"/>
          <w:pgNumType w:start="1" w:fmt="decimal"/>
          <w:formProt w:val="false"/>
          <w:textDirection w:val="lrTb"/>
          <w:docGrid w:type="default" w:linePitch="100" w:charSpace="4096"/>
        </w:sectPr>
        <w:pStyle w:val="normal1"/>
        <w:spacing w:lineRule="auto" w:line="276"/>
        <w:rPr/>
      </w:pPr>
      <w:r>
        <w:rPr>
          <w:b/>
          <w:bCs/>
        </w:rPr>
        <w:t>Figure S5:</w:t>
      </w:r>
      <w:r>
        <w:rPr/>
        <w:t xml:space="preserve"> </w:t>
      </w:r>
      <w:r>
        <w:rPr>
          <w:b/>
          <w:bCs/>
        </w:rPr>
        <w:t xml:space="preserve">(A) </w:t>
      </w:r>
      <w:r>
        <w:rPr/>
        <w:t xml:space="preserve">Model-predicted relationship between CEI and number of eponyms in common names. Black points represent raw data points, while the red line represents the central tendency of the relationship (posterior median, marginalized over colonizers). There is a three-fold increase in the number of predicted eponyms across the range of CEI values [from ~3 eponyms with </w:t>
      </w:r>
      <w:r>
        <w:rPr>
          <w:i/>
          <w:iCs/>
        </w:rPr>
        <w:t>CEI = 0</w:t>
      </w:r>
      <w:r>
        <w:rPr/>
        <w:t xml:space="preserve">, to 11 eponyms with </w:t>
      </w:r>
      <w:r>
        <w:rPr>
          <w:i/>
          <w:iCs/>
        </w:rPr>
        <w:t>CEI = 1</w:t>
      </w:r>
      <w:r>
        <w:rPr/>
        <w:t>].</w:t>
      </w:r>
      <w:r>
        <w:rPr>
          <w:b/>
          <w:bCs/>
        </w:rPr>
        <w:t xml:space="preserve"> (B)</w:t>
      </w:r>
      <w:r>
        <w:rPr/>
        <w:t xml:space="preserve"> Actual effects of CEI on the number of eponyms (common names) for each European colonizer. In the top row, the scale is absolute and represents the actual number of predicted eponyms on the vertical axis. </w:t>
      </w:r>
      <w:r>
        <w:rPr>
          <w:b/>
          <w:bCs/>
        </w:rPr>
        <w:t xml:space="preserve">(C) </w:t>
      </w:r>
      <w:r>
        <w:rPr/>
        <w:t>Latent scale parameter estimates with the 95% confidence intervals of the Poisson-component intercepts, effect size of Colonial Exposure Index (CEI) and the Zero-inflated-component intercept on the number of eponyms for each colonizer (in common names). In the bottom row, the reported values are relative to the overall effect across all colonizers, represented by the posterior-predicted median line shown in (A) and Table 1. Overall, eponyms honoring persons from Great Britain, France and Germany are widespread irrespective of the CEI of the empire in the region; while for the Spanish, Portuguese and Belgian empires, there is a higher number of eponymous bird species honoring its citizens primarily occurring within their own respective former colonies. Statistical support for an overall effect of CEI (i.e. in both components combined) showed a consistent positive effect of CEI on the number of eponyms in &gt;99% of iterations. All model outputs are reported in Table S6.</w:t>
      </w:r>
    </w:p>
    <w:p>
      <w:pPr>
        <w:pStyle w:val="normal1"/>
        <w:widowControl w:val="false"/>
        <w:rPr>
          <w:b/>
          <w:bCs/>
        </w:rPr>
      </w:pPr>
      <w:r>
        <w:rPr>
          <w:b/>
          <w:bCs/>
        </w:rPr>
        <w:t>Table S1: Number of eponyms and the number of eponyms as a percentage of total national bird richness of each country.</w:t>
      </w:r>
    </w:p>
    <w:p>
      <w:pPr>
        <w:pStyle w:val="normal1"/>
        <w:widowControl w:val="false"/>
        <w:rPr>
          <w:b/>
          <w:bCs/>
        </w:rPr>
      </w:pPr>
      <w:r>
        <w:rPr>
          <w:b/>
          <w:bCs/>
        </w:rPr>
      </w:r>
    </w:p>
    <w:tbl>
      <w:tblPr>
        <w:tblStyle w:val="Table1"/>
        <w:tblpPr w:vertAnchor="text" w:horzAnchor="text" w:bottomFromText="180" w:leftFromText="180" w:rightFromText="180" w:topFromText="180" w:tblpX="-45" w:tblpY="0"/>
        <w:tblW w:w="11660" w:type="dxa"/>
        <w:jc w:val="left"/>
        <w:tblInd w:w="-7" w:type="dxa"/>
        <w:tblLayout w:type="fixed"/>
        <w:tblCellMar>
          <w:top w:w="40" w:type="dxa"/>
          <w:left w:w="40" w:type="dxa"/>
          <w:bottom w:w="40" w:type="dxa"/>
          <w:right w:w="40" w:type="dxa"/>
        </w:tblCellMar>
        <w:tblLook w:val="0600"/>
      </w:tblPr>
      <w:tblGrid>
        <w:gridCol w:w="919"/>
        <w:gridCol w:w="2540"/>
        <w:gridCol w:w="1400"/>
        <w:gridCol w:w="1700"/>
        <w:gridCol w:w="1700"/>
        <w:gridCol w:w="1700"/>
        <w:gridCol w:w="1700"/>
      </w:tblGrid>
      <w:tr>
        <w:trPr>
          <w:trHeight w:val="780" w:hRule="atLeast"/>
        </w:trPr>
        <w:tc>
          <w:tcPr>
            <w:tcW w:w="919" w:type="dxa"/>
            <w:tcBorders>
              <w:top w:val="single" w:sz="6" w:space="0" w:color="000000"/>
              <w:left w:val="single" w:sz="6" w:space="0" w:color="000000"/>
              <w:bottom w:val="single" w:sz="6" w:space="0" w:color="000000"/>
              <w:right w:val="single" w:sz="6" w:space="0" w:color="000000"/>
            </w:tcBorders>
            <w:shd w:fill="CCCCCC" w:val="clear"/>
            <w:vAlign w:val="bottom"/>
          </w:tcPr>
          <w:p>
            <w:pPr>
              <w:pStyle w:val="normal1"/>
              <w:widowControl w:val="false"/>
              <w:rPr>
                <w:b/>
                <w:bCs/>
                <w:sz w:val="20"/>
                <w:szCs w:val="20"/>
              </w:rPr>
            </w:pPr>
            <w:r>
              <w:rPr>
                <w:b/>
                <w:bCs/>
                <w:sz w:val="20"/>
                <w:szCs w:val="20"/>
              </w:rPr>
              <w:t>3-letter ISO code</w:t>
            </w:r>
          </w:p>
        </w:tc>
        <w:tc>
          <w:tcPr>
            <w:tcW w:w="2540" w:type="dxa"/>
            <w:tcBorders>
              <w:top w:val="single" w:sz="6" w:space="0" w:color="000000"/>
              <w:left w:val="single" w:sz="6" w:space="0" w:color="000000"/>
              <w:bottom w:val="single" w:sz="6" w:space="0" w:color="000000"/>
              <w:right w:val="single" w:sz="6" w:space="0" w:color="000000"/>
            </w:tcBorders>
            <w:shd w:fill="CCCCCC" w:val="clear"/>
            <w:vAlign w:val="bottom"/>
          </w:tcPr>
          <w:p>
            <w:pPr>
              <w:pStyle w:val="normal1"/>
              <w:widowControl w:val="false"/>
              <w:rPr>
                <w:b/>
                <w:bCs/>
                <w:sz w:val="20"/>
                <w:szCs w:val="20"/>
              </w:rPr>
            </w:pPr>
            <w:r>
              <w:rPr>
                <w:b/>
                <w:bCs/>
                <w:sz w:val="20"/>
                <w:szCs w:val="20"/>
              </w:rPr>
              <w:t>Country</w:t>
            </w:r>
          </w:p>
        </w:tc>
        <w:tc>
          <w:tcPr>
            <w:tcW w:w="1400" w:type="dxa"/>
            <w:tcBorders>
              <w:top w:val="single" w:sz="6" w:space="0" w:color="000000"/>
              <w:left w:val="single" w:sz="6" w:space="0" w:color="000000"/>
              <w:bottom w:val="single" w:sz="6" w:space="0" w:color="000000"/>
              <w:right w:val="single" w:sz="6" w:space="0" w:color="000000"/>
            </w:tcBorders>
            <w:shd w:fill="CCCCCC" w:val="clear"/>
            <w:vAlign w:val="bottom"/>
          </w:tcPr>
          <w:p>
            <w:pPr>
              <w:pStyle w:val="normal1"/>
              <w:widowControl w:val="false"/>
              <w:rPr>
                <w:b/>
                <w:bCs/>
                <w:sz w:val="20"/>
                <w:szCs w:val="20"/>
              </w:rPr>
            </w:pPr>
            <w:r>
              <w:rPr>
                <w:b/>
                <w:bCs/>
                <w:sz w:val="20"/>
                <w:szCs w:val="20"/>
              </w:rPr>
              <w:t>Total number of bird species</w:t>
            </w:r>
          </w:p>
        </w:tc>
        <w:tc>
          <w:tcPr>
            <w:tcW w:w="1700" w:type="dxa"/>
            <w:tcBorders>
              <w:top w:val="single" w:sz="6" w:space="0" w:color="000000"/>
              <w:left w:val="single" w:sz="6" w:space="0" w:color="000000"/>
              <w:bottom w:val="single" w:sz="6" w:space="0" w:color="000000"/>
              <w:right w:val="single" w:sz="6" w:space="0" w:color="000000"/>
            </w:tcBorders>
            <w:shd w:fill="CCCCCC" w:val="clear"/>
            <w:vAlign w:val="bottom"/>
          </w:tcPr>
          <w:p>
            <w:pPr>
              <w:pStyle w:val="normal1"/>
              <w:widowControl w:val="false"/>
              <w:rPr>
                <w:b/>
                <w:bCs/>
                <w:sz w:val="20"/>
                <w:szCs w:val="20"/>
              </w:rPr>
            </w:pPr>
            <w:r>
              <w:rPr>
                <w:b/>
                <w:bCs/>
                <w:sz w:val="20"/>
                <w:szCs w:val="20"/>
              </w:rPr>
              <w:t>Number of eponyms in scientific name</w:t>
            </w:r>
          </w:p>
        </w:tc>
        <w:tc>
          <w:tcPr>
            <w:tcW w:w="1700" w:type="dxa"/>
            <w:tcBorders>
              <w:top w:val="single" w:sz="6" w:space="0" w:color="000000"/>
              <w:left w:val="single" w:sz="6" w:space="0" w:color="000000"/>
              <w:bottom w:val="single" w:sz="6" w:space="0" w:color="000000"/>
              <w:right w:val="single" w:sz="6" w:space="0" w:color="000000"/>
            </w:tcBorders>
            <w:shd w:fill="CCCCCC" w:val="clear"/>
            <w:vAlign w:val="bottom"/>
          </w:tcPr>
          <w:p>
            <w:pPr>
              <w:pStyle w:val="normal1"/>
              <w:widowControl w:val="false"/>
              <w:rPr>
                <w:b/>
                <w:bCs/>
                <w:sz w:val="20"/>
                <w:szCs w:val="20"/>
              </w:rPr>
            </w:pPr>
            <w:r>
              <w:rPr>
                <w:b/>
                <w:bCs/>
                <w:sz w:val="20"/>
                <w:szCs w:val="20"/>
              </w:rPr>
              <w:t>Percentage of country's bird scientific names that are eponymous</w:t>
            </w:r>
          </w:p>
        </w:tc>
        <w:tc>
          <w:tcPr>
            <w:tcW w:w="1700" w:type="dxa"/>
            <w:tcBorders>
              <w:top w:val="single" w:sz="6" w:space="0" w:color="000000"/>
              <w:left w:val="single" w:sz="6" w:space="0" w:color="000000"/>
              <w:bottom w:val="single" w:sz="6" w:space="0" w:color="000000"/>
              <w:right w:val="single" w:sz="6" w:space="0" w:color="000000"/>
            </w:tcBorders>
            <w:shd w:fill="CCCCCC" w:val="clear"/>
            <w:vAlign w:val="bottom"/>
          </w:tcPr>
          <w:p>
            <w:pPr>
              <w:pStyle w:val="normal1"/>
              <w:widowControl w:val="false"/>
              <w:rPr>
                <w:b/>
                <w:bCs/>
                <w:sz w:val="20"/>
                <w:szCs w:val="20"/>
              </w:rPr>
            </w:pPr>
            <w:r>
              <w:rPr>
                <w:b/>
                <w:bCs/>
                <w:sz w:val="20"/>
                <w:szCs w:val="20"/>
              </w:rPr>
              <w:t>Number of eponyms in common name</w:t>
            </w:r>
          </w:p>
        </w:tc>
        <w:tc>
          <w:tcPr>
            <w:tcW w:w="1700" w:type="dxa"/>
            <w:tcBorders>
              <w:top w:val="single" w:sz="6" w:space="0" w:color="000000"/>
              <w:left w:val="single" w:sz="6" w:space="0" w:color="000000"/>
              <w:bottom w:val="single" w:sz="6" w:space="0" w:color="000000"/>
              <w:right w:val="single" w:sz="6" w:space="0" w:color="000000"/>
            </w:tcBorders>
            <w:shd w:fill="CCCCCC" w:val="clear"/>
            <w:tcMar>
              <w:left w:w="0" w:type="dxa"/>
              <w:right w:w="0" w:type="dxa"/>
            </w:tcMar>
            <w:vAlign w:val="bottom"/>
          </w:tcPr>
          <w:p>
            <w:pPr>
              <w:pStyle w:val="normal1"/>
              <w:widowControl w:val="false"/>
              <w:rPr>
                <w:b/>
                <w:bCs/>
                <w:sz w:val="20"/>
                <w:szCs w:val="20"/>
              </w:rPr>
            </w:pPr>
            <w:r>
              <w:rPr>
                <w:b/>
                <w:bCs/>
                <w:sz w:val="20"/>
                <w:szCs w:val="20"/>
              </w:rPr>
              <w:t>Percentage of country's bird common names that are eponymous</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ABW</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Aruba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AFG</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Afghanistan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445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AGO</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Angola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939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9.8</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AIA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Anguilla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ALB</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Albania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AND</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Andorra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2.6</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ARE</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United Arab Emirates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6.1</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ARG</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Argentina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998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ARM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Armenia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290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ASM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American Samoa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5.8</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ATG</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Antigua and Barbuda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AUS</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Australia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771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3.5</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AUT</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Austria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253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BDI</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Burundi</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664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BEL</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Belgium</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251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BEN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Benin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592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6.6</w:t>
            </w:r>
          </w:p>
        </w:tc>
      </w:tr>
      <w:tr>
        <w:trPr>
          <w:trHeight w:val="78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BES</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Bonaire, Sint Eustatius and Saba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BFA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Burkina Faso</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492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BGD</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Bangladesh</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651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BGR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Bulgaria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BHS</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Bahamas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4.4</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BIH</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Bosnia and Herzegovina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2.9</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BLM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Saint Barthélemy</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BLR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Belarus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238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BLZ</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Belize</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515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BMU</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Bermuda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BOL</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Bolivia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1449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BRA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Brazil</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1835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BRB</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Barbados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BRN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Brunei Darussalam</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468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BTN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Bhutan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675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BWA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Botswana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551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6.5</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CAF</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Central African Republic</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743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CAN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Canada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477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11.5</w:t>
            </w:r>
          </w:p>
        </w:tc>
      </w:tr>
      <w:tr>
        <w:trPr>
          <w:trHeight w:val="78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CCK</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Cocos (Keeling) Islands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12.5</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CHE</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Switzerland</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CHL</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Chile</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422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3.8</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CHN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China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1317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5.8</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CIV</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Cote d'Ivoire</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694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CMR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Cameroon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921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9.4</w:t>
            </w:r>
          </w:p>
        </w:tc>
      </w:tr>
      <w:tr>
        <w:trPr>
          <w:trHeight w:val="78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COD</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Congo, The Democratic Republic of</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1154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11.5</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COG</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Congo</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670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COK</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Cook Islands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7.8</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COL</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Colombia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1925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Comoros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CPV</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Cape Verde</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CRI</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Costa Rica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811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CUB</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Cuba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CUW</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Curaçao</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CXR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Christmas Island</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8.3</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CYM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Cayman Islands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3.8</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CYP</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Cyprus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208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5.3</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CZE</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Czech Republic</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230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DEU</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Germany</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297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DJI</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Djibouti</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350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DMA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Dominica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DNK</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Denmark</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0.8</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DOM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Dominican Republic</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232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DZA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Algeria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ECU</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Ecuador</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1631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EGY</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Egypt</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355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ERI</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Eritrea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568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6.7</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ESH</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Western Sahara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ESP</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Spain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343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6.1</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EST</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Estonia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ETH</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Ethiopia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841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FIN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Finland</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FJI</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Fiji</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FRA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France</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520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FRO</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Faroe Islands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w:t>
            </w:r>
          </w:p>
        </w:tc>
      </w:tr>
      <w:tr>
        <w:trPr>
          <w:trHeight w:val="78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FSM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Micronesia, Federated States of</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GAB</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Gabon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595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GAM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Gambia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503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GBR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Great_Britain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4.5</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GEO</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Georgia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294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GHA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Ghana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699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GIN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Guinea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700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GLP</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Guadeloupe</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GNB</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Guinea-Bissau</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469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GNQ</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Equatorial Guinea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486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GRC</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Greece</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3.8</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GRD</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Grenada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GRL</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Greenland</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GTM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Guatemala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689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4.5</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GUF</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French Guiana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686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GUM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Guam</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GUY</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Guyana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831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HMD</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Heard and Mc Donald Islands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HRV</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Croatia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293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HTI</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Haiti</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HUN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Hungary</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IDN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Indonesia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1721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IND</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India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1233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IRL</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Ireland</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2.6</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IRN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Iran, Islamic Republic of</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458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IRQ</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Iraq</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354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ISL</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Iceland</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ISR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Israel</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342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ITA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Italy</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337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JAM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Jamaica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232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JEY</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Jersey</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JOR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Jordan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303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JPN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Japan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389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KAZ</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Kazakstan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422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KEN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Kenya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1080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KGZ</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Kyrgyzstan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324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KHM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Cambodia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559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3.8</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KIR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Kiribati</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14.5</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KNA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Saint Kitts &amp; Nevis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KOR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Korea, Republic of</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5.6</w:t>
            </w:r>
          </w:p>
        </w:tc>
      </w:tr>
      <w:tr>
        <w:trPr>
          <w:trHeight w:val="78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LAO</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Lao, People's Democratic Republic</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729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3.8</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LBR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Liberia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560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8.8</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LBY</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Libyan Arab Jamahiriya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235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LCA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Saint Lucia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LIE</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Liechtenstein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LKA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Sri Lanka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356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LSO</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Lesotho</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346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LTU</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Lithuania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238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LUX</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Luxembourg</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LVA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Latvia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MAF</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Saint Martin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Morocco</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341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7.3</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MDA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Moldova, Republic of</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253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MDG</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Madagascar</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20.6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MDV</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Maldives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10.8</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MEX</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Mexico</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1069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8.1</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MHL</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Marshall Islands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11.3</w:t>
            </w:r>
          </w:p>
        </w:tc>
      </w:tr>
      <w:tr>
        <w:trPr>
          <w:trHeight w:val="100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MKD</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Macedonia, The Former Yugoslav Republic Of</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266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MLI</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Mali</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559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MLT</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Malta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MMR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Myanmar</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1067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MNE</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Montenegro</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MNG</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Mongolia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370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5.7</w:t>
            </w:r>
          </w:p>
        </w:tc>
      </w:tr>
      <w:tr>
        <w:trPr>
          <w:trHeight w:val="78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MNP</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Northern Mariana Islands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MOZ</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Mozambique</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731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7.5</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MRT</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Mauritania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487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MSR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Montserrat</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MTQ</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Martinique</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MUS</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Mauritius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MWI</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Malawi</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649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MYS</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Malaysia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595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NAM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Namibia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615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NCL</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New Caledonia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NER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Niger</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498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NFK</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Norfolk Island</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NGA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Nigeria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891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8.5</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NIC</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Nicaragua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694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NLD</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Netherlands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256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NOR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Norway</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258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NPL</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Nepal</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804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NRU</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Nauru</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NZL</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New Zealand</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266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4.5</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OMN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Oman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PAK</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Pakistan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650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4.8</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PAN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Panama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897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2.5</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PER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Peru</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1858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3.5</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PHL</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Philippines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568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2.6</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PNG</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Papua New Guinea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767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POL</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Poland</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265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PRI</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Puerto Rico</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2.9</w:t>
            </w:r>
          </w:p>
        </w:tc>
      </w:tr>
      <w:tr>
        <w:trPr>
          <w:trHeight w:val="100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PRK</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Korea, Democratic People's Republic of</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309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6.5</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PRT</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Portugal</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301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PRY</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Paraguay</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694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PYF</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French Polynesia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QAT</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Qatar</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ROU</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Romania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295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RUS</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Russia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675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RWA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Rwanda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708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SAU</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Saudi Arabia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354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SEN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Senegal</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584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SGP</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Singapore</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366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3.6</w:t>
            </w:r>
          </w:p>
        </w:tc>
      </w:tr>
      <w:tr>
        <w:trPr>
          <w:trHeight w:val="100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SGS</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South Georgia &amp; The South Sandwich Islands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SHN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Saint Helena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6.4</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SLB</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Solomon Islands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4.1</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SLE</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Sierra Leone</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608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SOM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Somalia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8.2</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SPM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Saint Pierre and Miquelon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4.4</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SRB</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Republic of Serbia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STP</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Sao Tome and Principe</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SUR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Suriname</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706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SVK</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Slovakia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238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SVN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Slovenia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266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SWE</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Sweden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265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SWZ</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Swaziland</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508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4.5</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SYC</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Seychelles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TCD</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Chad</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561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TGO</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Togo</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608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7.1</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THA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Thailand</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922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TJK</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Tajikistan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323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TMP</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Timor Leste</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3.3</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TON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Tonga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TUN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Tunisia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295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6.1</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TUR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Turkey</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372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4.6</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TUV</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Tuvalu</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9.8</w:t>
            </w:r>
          </w:p>
        </w:tc>
      </w:tr>
      <w:tr>
        <w:trPr>
          <w:trHeight w:val="78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TWN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Taiwan, Province of China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335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4.8</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TZA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Tanzania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1101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203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UGA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Uganda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1026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UKR</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Ukraine</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306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URY</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Uruguay</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424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USA</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USA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906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10.5</w:t>
            </w:r>
          </w:p>
        </w:tc>
      </w:tr>
      <w:tr>
        <w:trPr>
          <w:trHeight w:val="78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VCT</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Saint Vincent and the Grenadines</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VEN</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Venezuela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1402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VGB</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Virgin Islands, British</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VNM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Vietnam</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829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VUT</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Vanuatu</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r>
      <w:tr>
        <w:trPr>
          <w:trHeight w:val="540"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WLF</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Wallis and Futuna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6.9</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WSM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Samoa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85</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4.7</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YEM</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Yemen</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7.4</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ZAF</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South Africa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762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90</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11.8</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47</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ZMB</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Zambia</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744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114</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15.3</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61</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8.2</w:t>
            </w:r>
          </w:p>
        </w:tc>
      </w:tr>
      <w:tr>
        <w:trPr>
          <w:trHeight w:val="315" w:hRule="atLeast"/>
        </w:trPr>
        <w:tc>
          <w:tcPr>
            <w:tcW w:w="91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ZWE</w:t>
            </w:r>
          </w:p>
        </w:tc>
        <w:tc>
          <w:tcPr>
            <w:tcW w:w="25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Zimbabwe</w:t>
            </w:r>
          </w:p>
        </w:tc>
        <w:tc>
          <w:tcPr>
            <w:tcW w:w="14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632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76</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39</w:t>
            </w:r>
          </w:p>
        </w:tc>
        <w:tc>
          <w:tcPr>
            <w:tcW w:w="170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6.2</w:t>
            </w:r>
          </w:p>
        </w:tc>
      </w:tr>
    </w:tbl>
    <w:p>
      <w:pPr>
        <w:pStyle w:val="normal1"/>
        <w:widowControl w:val="false"/>
        <w:rPr>
          <w:b/>
          <w:bCs/>
        </w:rPr>
      </w:pPr>
      <w:r>
        <w:rPr>
          <w:b/>
          <w:bCs/>
        </w:rPr>
      </w:r>
    </w:p>
    <w:p>
      <w:pPr>
        <w:pStyle w:val="normal1"/>
        <w:widowControl w:val="false"/>
        <w:rPr>
          <w:b/>
          <w:bCs/>
        </w:rPr>
      </w:pPr>
      <w:r>
        <w:rPr>
          <w:b/>
          <w:bCs/>
        </w:rPr>
      </w:r>
    </w:p>
    <w:p>
      <w:pPr>
        <w:pStyle w:val="normal1"/>
        <w:widowControl w:val="false"/>
        <w:rPr>
          <w:b/>
          <w:bCs/>
        </w:rPr>
      </w:pPr>
      <w:r>
        <w:rPr>
          <w:b/>
          <w:bCs/>
        </w:rPr>
      </w:r>
    </w:p>
    <w:p>
      <w:pPr>
        <w:pStyle w:val="normal1"/>
        <w:widowControl w:val="false"/>
        <w:rPr>
          <w:b/>
          <w:bCs/>
        </w:rPr>
      </w:pPr>
      <w:r>
        <w:rPr>
          <w:b/>
          <w:bCs/>
        </w:rPr>
        <w:t>Table S2: Number of eponyms and proportion of all eponyms attributed to persons belonging to each country.</w:t>
      </w:r>
    </w:p>
    <w:p>
      <w:pPr>
        <w:pStyle w:val="normal1"/>
        <w:widowControl w:val="false"/>
        <w:rPr>
          <w:b/>
          <w:bCs/>
        </w:rPr>
      </w:pPr>
      <w:r>
        <w:rPr>
          <w:b/>
          <w:bCs/>
        </w:rPr>
      </w:r>
    </w:p>
    <w:tbl>
      <w:tblPr>
        <w:tblStyle w:val="Table2"/>
        <w:tblW w:w="13125" w:type="dxa"/>
        <w:jc w:val="left"/>
        <w:tblInd w:w="0" w:type="dxa"/>
        <w:tblLayout w:type="fixed"/>
        <w:tblCellMar>
          <w:top w:w="40" w:type="dxa"/>
          <w:left w:w="40" w:type="dxa"/>
          <w:bottom w:w="40" w:type="dxa"/>
          <w:right w:w="40" w:type="dxa"/>
        </w:tblCellMar>
        <w:tblLook w:val="0600"/>
      </w:tblPr>
      <w:tblGrid>
        <w:gridCol w:w="2039"/>
        <w:gridCol w:w="2940"/>
        <w:gridCol w:w="2490"/>
        <w:gridCol w:w="3196"/>
        <w:gridCol w:w="2460"/>
      </w:tblGrid>
      <w:tr>
        <w:trPr>
          <w:trHeight w:val="1245" w:hRule="atLeast"/>
        </w:trPr>
        <w:tc>
          <w:tcPr>
            <w:tcW w:w="2039" w:type="dxa"/>
            <w:tcBorders>
              <w:top w:val="single" w:sz="6" w:space="0" w:color="000000"/>
              <w:left w:val="single" w:sz="6" w:space="0" w:color="000000"/>
              <w:bottom w:val="single" w:sz="6" w:space="0" w:color="000000"/>
              <w:right w:val="single" w:sz="6" w:space="0" w:color="000000"/>
            </w:tcBorders>
            <w:shd w:fill="CCCCCC" w:val="clear"/>
            <w:vAlign w:val="bottom"/>
          </w:tcPr>
          <w:p>
            <w:pPr>
              <w:pStyle w:val="normal1"/>
              <w:widowControl w:val="false"/>
              <w:rPr>
                <w:b/>
                <w:bCs/>
                <w:sz w:val="20"/>
                <w:szCs w:val="20"/>
              </w:rPr>
            </w:pPr>
            <w:r>
              <w:rPr>
                <w:b/>
                <w:bCs/>
                <w:sz w:val="20"/>
                <w:szCs w:val="20"/>
              </w:rPr>
              <w:t>Nationalities of persons named in eponyms worldwide</w:t>
            </w:r>
          </w:p>
        </w:tc>
        <w:tc>
          <w:tcPr>
            <w:tcW w:w="2940" w:type="dxa"/>
            <w:tcBorders>
              <w:top w:val="single" w:sz="6" w:space="0" w:color="000000"/>
              <w:left w:val="single" w:sz="6" w:space="0" w:color="000000"/>
              <w:bottom w:val="single" w:sz="6" w:space="0" w:color="000000"/>
              <w:right w:val="single" w:sz="6" w:space="0" w:color="000000"/>
            </w:tcBorders>
            <w:shd w:fill="CCCCCC" w:val="clear"/>
            <w:vAlign w:val="bottom"/>
          </w:tcPr>
          <w:p>
            <w:pPr>
              <w:pStyle w:val="normal1"/>
              <w:widowControl w:val="false"/>
              <w:rPr>
                <w:b/>
                <w:bCs/>
                <w:sz w:val="20"/>
                <w:szCs w:val="20"/>
              </w:rPr>
            </w:pPr>
            <w:r>
              <w:rPr>
                <w:b/>
                <w:bCs/>
                <w:sz w:val="20"/>
                <w:szCs w:val="20"/>
              </w:rPr>
              <w:t>Number of scientific name eponyms attributed to the country</w:t>
            </w:r>
          </w:p>
        </w:tc>
        <w:tc>
          <w:tcPr>
            <w:tcW w:w="2490" w:type="dxa"/>
            <w:tcBorders>
              <w:top w:val="single" w:sz="6" w:space="0" w:color="000000"/>
              <w:left w:val="single" w:sz="6" w:space="0" w:color="000000"/>
              <w:bottom w:val="single" w:sz="6" w:space="0" w:color="000000"/>
              <w:right w:val="single" w:sz="6" w:space="0" w:color="000000"/>
            </w:tcBorders>
            <w:shd w:fill="CCCCCC" w:val="clear"/>
            <w:tcMar>
              <w:left w:w="0" w:type="dxa"/>
              <w:right w:w="0" w:type="dxa"/>
            </w:tcMar>
            <w:vAlign w:val="bottom"/>
          </w:tcPr>
          <w:p>
            <w:pPr>
              <w:pStyle w:val="normal1"/>
              <w:widowControl w:val="false"/>
              <w:rPr>
                <w:b/>
                <w:bCs/>
                <w:sz w:val="20"/>
                <w:szCs w:val="20"/>
              </w:rPr>
            </w:pPr>
            <w:r>
              <w:rPr>
                <w:b/>
                <w:bCs/>
                <w:sz w:val="20"/>
                <w:szCs w:val="20"/>
              </w:rPr>
              <w:t>Percentage of all scientific name eponyms that honor a person from the country</w:t>
            </w:r>
          </w:p>
        </w:tc>
        <w:tc>
          <w:tcPr>
            <w:tcW w:w="3196" w:type="dxa"/>
            <w:tcBorders>
              <w:top w:val="single" w:sz="6" w:space="0" w:color="000000"/>
              <w:left w:val="single" w:sz="6" w:space="0" w:color="000000"/>
              <w:bottom w:val="single" w:sz="6" w:space="0" w:color="000000"/>
              <w:right w:val="single" w:sz="6" w:space="0" w:color="000000"/>
            </w:tcBorders>
            <w:shd w:fill="CCCCCC" w:val="clear"/>
            <w:vAlign w:val="bottom"/>
          </w:tcPr>
          <w:p>
            <w:pPr>
              <w:pStyle w:val="normal1"/>
              <w:widowControl w:val="false"/>
              <w:rPr>
                <w:b/>
                <w:bCs/>
                <w:sz w:val="20"/>
                <w:szCs w:val="20"/>
              </w:rPr>
            </w:pPr>
            <w:r>
              <w:rPr>
                <w:b/>
                <w:bCs/>
                <w:sz w:val="20"/>
                <w:szCs w:val="20"/>
              </w:rPr>
              <w:t xml:space="preserve">Number of common name eponyms attributed to the country </w:t>
            </w:r>
          </w:p>
        </w:tc>
        <w:tc>
          <w:tcPr>
            <w:tcW w:w="2460" w:type="dxa"/>
            <w:tcBorders>
              <w:top w:val="single" w:sz="6" w:space="0" w:color="000000"/>
              <w:left w:val="single" w:sz="6" w:space="0" w:color="000000"/>
              <w:bottom w:val="single" w:sz="6" w:space="0" w:color="000000"/>
              <w:right w:val="single" w:sz="6" w:space="0" w:color="000000"/>
            </w:tcBorders>
            <w:shd w:fill="CCCCCC" w:val="clear"/>
            <w:tcMar>
              <w:left w:w="0" w:type="dxa"/>
              <w:right w:w="0" w:type="dxa"/>
            </w:tcMar>
            <w:vAlign w:val="bottom"/>
          </w:tcPr>
          <w:p>
            <w:pPr>
              <w:pStyle w:val="normal1"/>
              <w:widowControl w:val="false"/>
              <w:rPr>
                <w:b/>
                <w:bCs/>
                <w:sz w:val="20"/>
                <w:szCs w:val="20"/>
              </w:rPr>
            </w:pPr>
            <w:r>
              <w:rPr>
                <w:b/>
                <w:bCs/>
                <w:sz w:val="20"/>
                <w:szCs w:val="20"/>
              </w:rPr>
              <w:t>Percentage of all common name eponyms that honor a person from the country</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Argentina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0.41</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0.54</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Australia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49</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2.22</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1.21</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Austria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39</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1.76</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1.48</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Belgium</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0.72</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1.08</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Bolivia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0.09</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0.13</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Brazil</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1.09</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0.81</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Bulgaria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Cambodia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Canada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0.18</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0.4</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Chile</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China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Colombia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0.63</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0.54</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Costa Rica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0.18</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0.13</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Cuba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0.36</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0.13</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Cyprus</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540"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Czech Republic</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0.09</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0.27</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Denmark</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0.32</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0.13</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Ecuador</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0.14</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Egypt</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Estonia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Finland</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France</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348</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15.75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59</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7.94</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Germany</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323</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14.62</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116</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15.61</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Great_Britain</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647</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29.28</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244</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32.84</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Greece</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0.09</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Guadeloupe</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0.09</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Guatemala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Hungary</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0.27</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0.27</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India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0.09</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Indonesia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0.14</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Ireland</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0.45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0.4</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Israel</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Italy</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42</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23</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Japan</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0.4</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Latvia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Liberia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Luxembourg</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Madagascar</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Mauritius</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Mexico</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0.41</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0.27</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Mozambique</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Netherlands</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106</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4.8</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2.29</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New Zealand</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0.77</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0.54</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Nigeria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Norway</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0.18</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0.13</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Peru</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0.27</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0.4</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Philippines</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0.14</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0.13</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Poland</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1.27</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0.94</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Portugal</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0.86</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1.08</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Russia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26</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1.18</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2.96</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Saint Lucia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0.13</w:t>
            </w:r>
          </w:p>
        </w:tc>
      </w:tr>
      <w:tr>
        <w:trPr>
          <w:trHeight w:val="540"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Sao Tome and Princepe</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South Africa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17</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0.77</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1.48</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Spain</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0.41</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0.4</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Sri Lanka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Sweden</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0.59</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0.81</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Switzerland</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0.81</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1.08</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Tanzania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Thailand</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Trinidad</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0.13</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Turkey</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0.13</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USA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320</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14.48</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136</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18.3</w:t>
            </w:r>
          </w:p>
        </w:tc>
      </w:tr>
      <w:tr>
        <w:trPr>
          <w:trHeight w:val="315" w:hRule="atLeast"/>
        </w:trPr>
        <w:tc>
          <w:tcPr>
            <w:tcW w:w="203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Venezuela</w:t>
            </w:r>
          </w:p>
        </w:tc>
        <w:tc>
          <w:tcPr>
            <w:tcW w:w="294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249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0.05</w:t>
            </w:r>
          </w:p>
        </w:tc>
        <w:tc>
          <w:tcPr>
            <w:tcW w:w="3196"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c>
          <w:tcPr>
            <w:tcW w:w="24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w:t>
            </w:r>
          </w:p>
        </w:tc>
      </w:tr>
    </w:tbl>
    <w:p>
      <w:pPr>
        <w:pStyle w:val="normal1"/>
        <w:widowControl w:val="false"/>
        <w:rPr>
          <w:b/>
          <w:bCs/>
        </w:rPr>
      </w:pPr>
      <w:r>
        <w:rPr>
          <w:b/>
          <w:bCs/>
        </w:rPr>
      </w:r>
    </w:p>
    <w:p>
      <w:pPr>
        <w:pStyle w:val="normal1"/>
        <w:widowControl w:val="false"/>
        <w:rPr>
          <w:b/>
          <w:bCs/>
        </w:rPr>
      </w:pPr>
      <w:r>
        <w:rPr>
          <w:b/>
          <w:bCs/>
        </w:rPr>
      </w:r>
      <w:r>
        <w:br w:type="page"/>
      </w:r>
    </w:p>
    <w:p>
      <w:pPr>
        <w:pStyle w:val="normal1"/>
        <w:widowControl w:val="false"/>
        <w:spacing w:before="0" w:after="0"/>
        <w:rPr>
          <w:b/>
          <w:bCs/>
        </w:rPr>
      </w:pPr>
      <w:r>
        <w:rPr>
          <w:b/>
          <w:bCs/>
        </w:rPr>
        <w:t xml:space="preserve">Table S3: Number of country-matching eponyms found in each modern-day country (where the species is named after a person from the country where it occurs) and the percentage of all eponyms which are country-matching in each country, shown separately for scientific and common names. </w:t>
      </w:r>
    </w:p>
    <w:p>
      <w:pPr>
        <w:pStyle w:val="normal1"/>
        <w:widowControl w:val="false"/>
        <w:rPr>
          <w:b/>
          <w:bCs/>
        </w:rPr>
      </w:pPr>
      <w:r>
        <w:rPr>
          <w:b/>
          <w:bCs/>
        </w:rPr>
      </w:r>
    </w:p>
    <w:tbl>
      <w:tblPr>
        <w:tblStyle w:val="Table3"/>
        <w:tblW w:w="13545" w:type="dxa"/>
        <w:jc w:val="left"/>
        <w:tblInd w:w="0" w:type="dxa"/>
        <w:tblLayout w:type="fixed"/>
        <w:tblCellMar>
          <w:top w:w="40" w:type="dxa"/>
          <w:left w:w="40" w:type="dxa"/>
          <w:bottom w:w="40" w:type="dxa"/>
          <w:right w:w="40" w:type="dxa"/>
        </w:tblCellMar>
        <w:tblLook w:val="0600"/>
      </w:tblPr>
      <w:tblGrid>
        <w:gridCol w:w="1499"/>
        <w:gridCol w:w="3751"/>
        <w:gridCol w:w="2355"/>
        <w:gridCol w:w="3060"/>
        <w:gridCol w:w="2880"/>
      </w:tblGrid>
      <w:tr>
        <w:trPr>
          <w:trHeight w:val="1470" w:hRule="atLeast"/>
        </w:trPr>
        <w:tc>
          <w:tcPr>
            <w:tcW w:w="1499" w:type="dxa"/>
            <w:tcBorders>
              <w:top w:val="single" w:sz="6" w:space="0" w:color="000000"/>
              <w:left w:val="single" w:sz="6" w:space="0" w:color="000000"/>
              <w:bottom w:val="single" w:sz="6" w:space="0" w:color="000000"/>
              <w:right w:val="single" w:sz="6" w:space="0" w:color="000000"/>
            </w:tcBorders>
            <w:shd w:fill="CCCCCC" w:val="clear"/>
            <w:vAlign w:val="bottom"/>
          </w:tcPr>
          <w:p>
            <w:pPr>
              <w:pStyle w:val="normal1"/>
              <w:widowControl w:val="false"/>
              <w:rPr>
                <w:b/>
                <w:bCs/>
                <w:sz w:val="20"/>
                <w:szCs w:val="20"/>
              </w:rPr>
            </w:pPr>
            <w:r>
              <w:rPr>
                <w:b/>
                <w:bCs/>
                <w:sz w:val="20"/>
                <w:szCs w:val="20"/>
              </w:rPr>
              <w:t>Country</w:t>
            </w:r>
          </w:p>
        </w:tc>
        <w:tc>
          <w:tcPr>
            <w:tcW w:w="3751" w:type="dxa"/>
            <w:tcBorders>
              <w:top w:val="single" w:sz="6" w:space="0" w:color="000000"/>
              <w:left w:val="single" w:sz="6" w:space="0" w:color="000000"/>
              <w:bottom w:val="single" w:sz="6" w:space="0" w:color="000000"/>
              <w:right w:val="single" w:sz="6" w:space="0" w:color="000000"/>
            </w:tcBorders>
            <w:shd w:fill="CCCCCC" w:val="clear"/>
            <w:vAlign w:val="bottom"/>
          </w:tcPr>
          <w:p>
            <w:pPr>
              <w:pStyle w:val="normal1"/>
              <w:widowControl w:val="false"/>
              <w:rPr>
                <w:b/>
                <w:bCs/>
                <w:sz w:val="20"/>
                <w:szCs w:val="20"/>
              </w:rPr>
            </w:pPr>
            <w:r>
              <w:rPr>
                <w:b/>
                <w:bCs/>
                <w:sz w:val="20"/>
                <w:szCs w:val="20"/>
              </w:rPr>
              <w:t>Number of country-matching scientific name eponyms in the country (in brackets: total number of eponymous species found in the country)</w:t>
            </w:r>
          </w:p>
        </w:tc>
        <w:tc>
          <w:tcPr>
            <w:tcW w:w="2355" w:type="dxa"/>
            <w:tcBorders>
              <w:top w:val="single" w:sz="6" w:space="0" w:color="000000"/>
              <w:left w:val="single" w:sz="6" w:space="0" w:color="000000"/>
              <w:bottom w:val="single" w:sz="6" w:space="0" w:color="000000"/>
              <w:right w:val="single" w:sz="6" w:space="0" w:color="000000"/>
            </w:tcBorders>
            <w:shd w:fill="CCCCCC" w:val="clear"/>
            <w:vAlign w:val="bottom"/>
          </w:tcPr>
          <w:p>
            <w:pPr>
              <w:pStyle w:val="normal1"/>
              <w:widowControl w:val="false"/>
              <w:rPr>
                <w:b/>
                <w:bCs/>
                <w:sz w:val="20"/>
                <w:szCs w:val="20"/>
              </w:rPr>
            </w:pPr>
            <w:r>
              <w:rPr>
                <w:b/>
                <w:bCs/>
                <w:sz w:val="20"/>
                <w:szCs w:val="20"/>
              </w:rPr>
              <w:t>Percentage of all scientific name eponyms which are country-matching</w:t>
            </w:r>
          </w:p>
        </w:tc>
        <w:tc>
          <w:tcPr>
            <w:tcW w:w="3060" w:type="dxa"/>
            <w:tcBorders>
              <w:top w:val="single" w:sz="6" w:space="0" w:color="000000"/>
              <w:left w:val="single" w:sz="6" w:space="0" w:color="000000"/>
              <w:bottom w:val="single" w:sz="6" w:space="0" w:color="000000"/>
              <w:right w:val="single" w:sz="6" w:space="0" w:color="000000"/>
            </w:tcBorders>
            <w:shd w:fill="CCCCCC" w:val="clear"/>
            <w:vAlign w:val="bottom"/>
          </w:tcPr>
          <w:p>
            <w:pPr>
              <w:pStyle w:val="normal1"/>
              <w:widowControl w:val="false"/>
              <w:rPr>
                <w:b/>
                <w:bCs/>
                <w:sz w:val="20"/>
                <w:szCs w:val="20"/>
              </w:rPr>
            </w:pPr>
            <w:r>
              <w:rPr>
                <w:b/>
                <w:bCs/>
                <w:sz w:val="20"/>
                <w:szCs w:val="20"/>
              </w:rPr>
              <w:t>Number of country-matching common name eponyms in the country (in brackets: total number of eponymous species found in the country)</w:t>
            </w:r>
          </w:p>
        </w:tc>
        <w:tc>
          <w:tcPr>
            <w:tcW w:w="2880" w:type="dxa"/>
            <w:tcBorders>
              <w:top w:val="single" w:sz="6" w:space="0" w:color="000000"/>
              <w:left w:val="single" w:sz="6" w:space="0" w:color="000000"/>
              <w:bottom w:val="single" w:sz="6" w:space="0" w:color="000000"/>
              <w:right w:val="single" w:sz="6" w:space="0" w:color="000000"/>
            </w:tcBorders>
            <w:shd w:fill="CCCCCC" w:val="clear"/>
            <w:vAlign w:val="bottom"/>
          </w:tcPr>
          <w:p>
            <w:pPr>
              <w:pStyle w:val="normal1"/>
              <w:widowControl w:val="false"/>
              <w:rPr>
                <w:b/>
                <w:bCs/>
                <w:sz w:val="20"/>
                <w:szCs w:val="20"/>
              </w:rPr>
            </w:pPr>
            <w:r>
              <w:rPr>
                <w:b/>
                <w:bCs/>
                <w:sz w:val="20"/>
                <w:szCs w:val="20"/>
              </w:rPr>
              <w:t>Percentage of all common name eponyms which are country-matching</w:t>
            </w:r>
          </w:p>
        </w:tc>
      </w:tr>
      <w:tr>
        <w:trPr>
          <w:trHeight w:val="324"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USA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58 (118)</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49.2</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63 (95)</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66.3</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Australia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26 (87)</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29.9</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5 (27)</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18.5</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Brazil</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22 (225)</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9.8</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5 (77)</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6.5</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France</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15 (52)</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28.8</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3 (27)</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11.1</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Colombia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14 (270)</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5.2</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4 (60)</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6.7</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New Zealand</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11 (37)</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29.7</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4 (12)</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33.3</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South Africa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10 (90)</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11.1</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7 (47)</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14.9</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Argentina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8 (94)</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8.5</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4 (31)</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12.9</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Cuba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8 (28)</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28.6</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(13)</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7.7</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Mexico</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8 (156)</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5.1</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2 (87)</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2.3</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Japan</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6 (42)</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14.3</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3 (27)</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11.1</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Peru</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6 (285)</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2.1</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3 (65)</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4.6</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Russia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6 (52)</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11.5</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14 (45)</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31.1</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Costa Rica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4 (97)</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4.1</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(25)</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Italy</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4 (10)</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40</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8 (12)</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66.7</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Ecuador</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3 (221)</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1.4</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(52)</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Great Britain</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3 (11)</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27.3</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5 (13)</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38.5</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Indonesia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3 (288)</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(84)</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Philippines</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3 (89)</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3.4</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(15)</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6.7</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Bolivia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2 (172)</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(46)</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Guadeloupe</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2 (9)</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22.2</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(3)</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India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2 (149)</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(64)</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Cambodia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(64)</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1.6</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(21)</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Canada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(53)</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1.9</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(55)</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1.8</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China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(182)</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0.5</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(77)</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Germany</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(4)</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25</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(4)</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Greece</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(11)</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9.1</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(12)</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Israel</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(19)</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5.3</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(18)</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Liberia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(77)</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1.3</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(49)</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Madagascar</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(51)</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2</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(24)</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Mauritius</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(15)</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6.7</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(4)</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Nigeria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(130)</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0.8</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(76)</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Saint Lucia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(8)</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12.5</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(3)</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33.3</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Sri Lanka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(31)</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3.2</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(20)</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Tanzania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(203)</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0.5</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(103)</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Thailand</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(108)</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0.9</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(43)</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Venezuela</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(143)</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0.7</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(28)</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r>
      <w:tr>
        <w:trPr>
          <w:trHeight w:val="315" w:hRule="atLeast"/>
        </w:trPr>
        <w:tc>
          <w:tcPr>
            <w:tcW w:w="149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Portugal</w:t>
            </w:r>
          </w:p>
        </w:tc>
        <w:tc>
          <w:tcPr>
            <w:tcW w:w="3751"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0 (19)</w:t>
            </w:r>
          </w:p>
        </w:tc>
        <w:tc>
          <w:tcPr>
            <w:tcW w:w="2355"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0</w:t>
            </w:r>
          </w:p>
        </w:tc>
        <w:tc>
          <w:tcPr>
            <w:tcW w:w="306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sz w:val="20"/>
                <w:szCs w:val="20"/>
              </w:rPr>
            </w:pPr>
            <w:r>
              <w:rPr>
                <w:sz w:val="20"/>
                <w:szCs w:val="20"/>
              </w:rPr>
              <w:t>1 (19)</w:t>
            </w:r>
          </w:p>
        </w:tc>
        <w:tc>
          <w:tcPr>
            <w:tcW w:w="288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right"/>
              <w:rPr>
                <w:sz w:val="20"/>
                <w:szCs w:val="20"/>
              </w:rPr>
            </w:pPr>
            <w:r>
              <w:rPr>
                <w:sz w:val="20"/>
                <w:szCs w:val="20"/>
              </w:rPr>
              <w:t>5.3</w:t>
            </w:r>
          </w:p>
        </w:tc>
      </w:tr>
    </w:tbl>
    <w:p>
      <w:pPr>
        <w:pStyle w:val="normal1"/>
        <w:widowControl w:val="false"/>
        <w:rPr>
          <w:b/>
          <w:bCs/>
        </w:rPr>
      </w:pPr>
      <w:r>
        <w:rPr>
          <w:b/>
          <w:bCs/>
        </w:rPr>
      </w:r>
      <w:r>
        <w:br w:type="page"/>
      </w:r>
    </w:p>
    <w:p>
      <w:pPr>
        <w:pStyle w:val="normal1"/>
        <w:widowControl w:val="false"/>
        <w:spacing w:before="0" w:after="0"/>
        <w:rPr>
          <w:b/>
          <w:bCs/>
        </w:rPr>
      </w:pPr>
      <w:r>
        <w:rPr>
          <w:b/>
          <w:bCs/>
        </w:rPr>
        <w:t xml:space="preserve">Table S4: The reasons/professions of the honorees in all eponyms found worldwide. </w:t>
      </w:r>
    </w:p>
    <w:p>
      <w:pPr>
        <w:pStyle w:val="normal1"/>
        <w:spacing w:lineRule="auto" w:line="276"/>
        <w:rPr>
          <w:b/>
          <w:bCs/>
        </w:rPr>
      </w:pPr>
      <w:r>
        <w:rPr>
          <w:b/>
          <w:bCs/>
        </w:rPr>
      </w:r>
    </w:p>
    <w:tbl>
      <w:tblPr>
        <w:tblStyle w:val="Table4"/>
        <w:tblW w:w="8760" w:type="dxa"/>
        <w:jc w:val="left"/>
        <w:tblInd w:w="0" w:type="dxa"/>
        <w:tblLayout w:type="fixed"/>
        <w:tblCellMar>
          <w:top w:w="40" w:type="dxa"/>
          <w:left w:w="40" w:type="dxa"/>
          <w:bottom w:w="40" w:type="dxa"/>
          <w:right w:w="40" w:type="dxa"/>
        </w:tblCellMar>
        <w:tblLook w:val="0600"/>
      </w:tblPr>
      <w:tblGrid>
        <w:gridCol w:w="3449"/>
        <w:gridCol w:w="5310"/>
      </w:tblGrid>
      <w:tr>
        <w:trPr>
          <w:trHeight w:val="780" w:hRule="atLeast"/>
        </w:trPr>
        <w:tc>
          <w:tcPr>
            <w:tcW w:w="3449" w:type="dxa"/>
            <w:tcBorders>
              <w:top w:val="single" w:sz="6" w:space="0" w:color="000000"/>
              <w:left w:val="single" w:sz="6" w:space="0" w:color="000000"/>
              <w:bottom w:val="single" w:sz="6" w:space="0" w:color="000000"/>
              <w:right w:val="single" w:sz="6" w:space="0" w:color="000000"/>
            </w:tcBorders>
            <w:shd w:fill="D9D9D9" w:val="clear"/>
            <w:vAlign w:val="bottom"/>
          </w:tcPr>
          <w:p>
            <w:pPr>
              <w:pStyle w:val="normal1"/>
              <w:widowControl w:val="false"/>
              <w:rPr>
                <w:b/>
                <w:bCs/>
                <w:sz w:val="20"/>
                <w:szCs w:val="20"/>
              </w:rPr>
            </w:pPr>
            <w:r>
              <w:rPr>
                <w:b/>
                <w:bCs/>
                <w:sz w:val="20"/>
                <w:szCs w:val="20"/>
              </w:rPr>
              <w:t>Occupation/Reason for naming</w:t>
            </w:r>
          </w:p>
        </w:tc>
        <w:tc>
          <w:tcPr>
            <w:tcW w:w="5310" w:type="dxa"/>
            <w:tcBorders>
              <w:top w:val="single" w:sz="6" w:space="0" w:color="000000"/>
              <w:left w:val="single" w:sz="6" w:space="0" w:color="000000"/>
              <w:bottom w:val="single" w:sz="6" w:space="0" w:color="000000"/>
              <w:right w:val="single" w:sz="6" w:space="0" w:color="000000"/>
            </w:tcBorders>
            <w:shd w:fill="D9D9D9" w:val="clear"/>
            <w:tcMar>
              <w:left w:w="0" w:type="dxa"/>
              <w:right w:w="0" w:type="dxa"/>
            </w:tcMar>
            <w:vAlign w:val="bottom"/>
          </w:tcPr>
          <w:p>
            <w:pPr>
              <w:pStyle w:val="normal1"/>
              <w:widowControl w:val="false"/>
              <w:rPr>
                <w:b/>
                <w:bCs/>
                <w:sz w:val="20"/>
                <w:szCs w:val="20"/>
              </w:rPr>
            </w:pPr>
            <w:r>
              <w:rPr>
                <w:b/>
                <w:bCs/>
                <w:sz w:val="20"/>
                <w:szCs w:val="20"/>
              </w:rPr>
              <w:t>Total number of eponyms honoring person with the occupation/reason</w:t>
            </w:r>
          </w:p>
        </w:tc>
      </w:tr>
      <w:tr>
        <w:trPr>
          <w:trHeight w:val="315" w:hRule="atLeast"/>
        </w:trPr>
        <w:tc>
          <w:tcPr>
            <w:tcW w:w="344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Scientist</w:t>
            </w:r>
          </w:p>
        </w:tc>
        <w:tc>
          <w:tcPr>
            <w:tcW w:w="531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center"/>
              <w:rPr>
                <w:sz w:val="20"/>
                <w:szCs w:val="20"/>
              </w:rPr>
            </w:pPr>
            <w:r>
              <w:rPr>
                <w:sz w:val="20"/>
                <w:szCs w:val="20"/>
              </w:rPr>
              <w:t>892</w:t>
            </w:r>
          </w:p>
        </w:tc>
      </w:tr>
      <w:tr>
        <w:trPr>
          <w:trHeight w:val="315" w:hRule="atLeast"/>
        </w:trPr>
        <w:tc>
          <w:tcPr>
            <w:tcW w:w="344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Naturalist</w:t>
            </w:r>
          </w:p>
        </w:tc>
        <w:tc>
          <w:tcPr>
            <w:tcW w:w="531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center"/>
              <w:rPr>
                <w:sz w:val="20"/>
                <w:szCs w:val="20"/>
              </w:rPr>
            </w:pPr>
            <w:r>
              <w:rPr>
                <w:sz w:val="20"/>
                <w:szCs w:val="20"/>
              </w:rPr>
              <w:t>394</w:t>
            </w:r>
          </w:p>
        </w:tc>
      </w:tr>
      <w:tr>
        <w:trPr>
          <w:trHeight w:val="315" w:hRule="atLeast"/>
        </w:trPr>
        <w:tc>
          <w:tcPr>
            <w:tcW w:w="344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Civilian</w:t>
            </w:r>
          </w:p>
        </w:tc>
        <w:tc>
          <w:tcPr>
            <w:tcW w:w="531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center"/>
              <w:rPr>
                <w:sz w:val="20"/>
                <w:szCs w:val="20"/>
              </w:rPr>
            </w:pPr>
            <w:r>
              <w:rPr>
                <w:sz w:val="20"/>
                <w:szCs w:val="20"/>
              </w:rPr>
              <w:t>253</w:t>
            </w:r>
          </w:p>
        </w:tc>
      </w:tr>
      <w:tr>
        <w:trPr>
          <w:trHeight w:val="540" w:hRule="atLeast"/>
        </w:trPr>
        <w:tc>
          <w:tcPr>
            <w:tcW w:w="344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Army/Civil Servant</w:t>
            </w:r>
          </w:p>
        </w:tc>
        <w:tc>
          <w:tcPr>
            <w:tcW w:w="531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center"/>
              <w:rPr>
                <w:sz w:val="20"/>
                <w:szCs w:val="20"/>
              </w:rPr>
            </w:pPr>
            <w:r>
              <w:rPr>
                <w:sz w:val="20"/>
                <w:szCs w:val="20"/>
              </w:rPr>
              <w:t>200</w:t>
            </w:r>
          </w:p>
        </w:tc>
      </w:tr>
      <w:tr>
        <w:trPr>
          <w:trHeight w:val="540" w:hRule="atLeast"/>
        </w:trPr>
        <w:tc>
          <w:tcPr>
            <w:tcW w:w="344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Personal relation</w:t>
            </w:r>
          </w:p>
        </w:tc>
        <w:tc>
          <w:tcPr>
            <w:tcW w:w="531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center"/>
              <w:rPr>
                <w:sz w:val="20"/>
                <w:szCs w:val="20"/>
              </w:rPr>
            </w:pPr>
            <w:r>
              <w:rPr>
                <w:sz w:val="20"/>
                <w:szCs w:val="20"/>
              </w:rPr>
              <w:t>108</w:t>
            </w:r>
          </w:p>
        </w:tc>
      </w:tr>
      <w:tr>
        <w:trPr>
          <w:trHeight w:val="540" w:hRule="atLeast"/>
        </w:trPr>
        <w:tc>
          <w:tcPr>
            <w:tcW w:w="344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Royalty/Landowner</w:t>
            </w:r>
          </w:p>
        </w:tc>
        <w:tc>
          <w:tcPr>
            <w:tcW w:w="531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center"/>
              <w:rPr>
                <w:sz w:val="20"/>
                <w:szCs w:val="20"/>
              </w:rPr>
            </w:pPr>
            <w:r>
              <w:rPr>
                <w:sz w:val="20"/>
                <w:szCs w:val="20"/>
              </w:rPr>
              <w:t>107</w:t>
            </w:r>
          </w:p>
        </w:tc>
      </w:tr>
      <w:tr>
        <w:trPr>
          <w:trHeight w:val="315" w:hRule="atLeast"/>
        </w:trPr>
        <w:tc>
          <w:tcPr>
            <w:tcW w:w="344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Businessman</w:t>
            </w:r>
          </w:p>
        </w:tc>
        <w:tc>
          <w:tcPr>
            <w:tcW w:w="531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center"/>
              <w:rPr>
                <w:sz w:val="20"/>
                <w:szCs w:val="20"/>
              </w:rPr>
            </w:pPr>
            <w:r>
              <w:rPr>
                <w:sz w:val="20"/>
                <w:szCs w:val="20"/>
              </w:rPr>
              <w:t>94</w:t>
            </w:r>
          </w:p>
        </w:tc>
      </w:tr>
      <w:tr>
        <w:trPr>
          <w:trHeight w:val="315" w:hRule="atLeast"/>
        </w:trPr>
        <w:tc>
          <w:tcPr>
            <w:tcW w:w="344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Doctor</w:t>
            </w:r>
          </w:p>
        </w:tc>
        <w:tc>
          <w:tcPr>
            <w:tcW w:w="531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center"/>
              <w:rPr>
                <w:sz w:val="20"/>
                <w:szCs w:val="20"/>
              </w:rPr>
            </w:pPr>
            <w:r>
              <w:rPr>
                <w:sz w:val="20"/>
                <w:szCs w:val="20"/>
              </w:rPr>
              <w:t>78</w:t>
            </w:r>
          </w:p>
        </w:tc>
      </w:tr>
      <w:tr>
        <w:trPr>
          <w:trHeight w:val="540" w:hRule="atLeast"/>
        </w:trPr>
        <w:tc>
          <w:tcPr>
            <w:tcW w:w="344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Religious person</w:t>
            </w:r>
          </w:p>
        </w:tc>
        <w:tc>
          <w:tcPr>
            <w:tcW w:w="531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center"/>
              <w:rPr>
                <w:sz w:val="20"/>
                <w:szCs w:val="20"/>
              </w:rPr>
            </w:pPr>
            <w:r>
              <w:rPr>
                <w:sz w:val="20"/>
                <w:szCs w:val="20"/>
              </w:rPr>
              <w:t>47</w:t>
            </w:r>
          </w:p>
        </w:tc>
      </w:tr>
      <w:tr>
        <w:trPr>
          <w:trHeight w:val="315" w:hRule="atLeast"/>
        </w:trPr>
        <w:tc>
          <w:tcPr>
            <w:tcW w:w="344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Artist</w:t>
            </w:r>
          </w:p>
        </w:tc>
        <w:tc>
          <w:tcPr>
            <w:tcW w:w="531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center"/>
              <w:rPr>
                <w:sz w:val="20"/>
                <w:szCs w:val="20"/>
              </w:rPr>
            </w:pPr>
            <w:r>
              <w:rPr>
                <w:sz w:val="20"/>
                <w:szCs w:val="20"/>
              </w:rPr>
              <w:t>26</w:t>
            </w:r>
          </w:p>
        </w:tc>
      </w:tr>
      <w:tr>
        <w:trPr>
          <w:trHeight w:val="315" w:hRule="atLeast"/>
        </w:trPr>
        <w:tc>
          <w:tcPr>
            <w:tcW w:w="3449"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rPr>
                <w:b/>
                <w:bCs/>
                <w:sz w:val="20"/>
                <w:szCs w:val="20"/>
              </w:rPr>
            </w:pPr>
            <w:r>
              <w:rPr>
                <w:b/>
                <w:bCs/>
                <w:sz w:val="20"/>
                <w:szCs w:val="20"/>
              </w:rPr>
              <w:t>Conservationist</w:t>
            </w:r>
          </w:p>
        </w:tc>
        <w:tc>
          <w:tcPr>
            <w:tcW w:w="5310" w:type="dxa"/>
            <w:tcBorders>
              <w:top w:val="single" w:sz="6" w:space="0" w:color="000000"/>
              <w:left w:val="single" w:sz="6" w:space="0" w:color="000000"/>
              <w:bottom w:val="single" w:sz="6" w:space="0" w:color="000000"/>
              <w:right w:val="single" w:sz="6" w:space="0" w:color="000000"/>
            </w:tcBorders>
            <w:vAlign w:val="bottom"/>
          </w:tcPr>
          <w:p>
            <w:pPr>
              <w:pStyle w:val="normal1"/>
              <w:widowControl w:val="false"/>
              <w:jc w:val="center"/>
              <w:rPr>
                <w:sz w:val="20"/>
                <w:szCs w:val="20"/>
              </w:rPr>
            </w:pPr>
            <w:r>
              <w:rPr>
                <w:sz w:val="20"/>
                <w:szCs w:val="20"/>
              </w:rPr>
              <w:t>6</w:t>
            </w:r>
          </w:p>
        </w:tc>
      </w:tr>
    </w:tbl>
    <w:p>
      <w:pPr>
        <w:pStyle w:val="normal1"/>
        <w:spacing w:lineRule="auto" w:line="276"/>
        <w:rPr>
          <w:b/>
          <w:bCs/>
        </w:rPr>
      </w:pPr>
      <w:r>
        <w:rPr>
          <w:b/>
          <w:bCs/>
        </w:rPr>
      </w:r>
    </w:p>
    <w:p>
      <w:pPr>
        <w:pStyle w:val="normal1"/>
        <w:spacing w:lineRule="auto" w:line="276"/>
        <w:rPr>
          <w:b/>
          <w:bCs/>
        </w:rPr>
      </w:pPr>
      <w:r>
        <w:rPr>
          <w:b/>
          <w:bCs/>
        </w:rPr>
      </w:r>
      <w:r>
        <w:br w:type="page"/>
      </w:r>
    </w:p>
    <w:p>
      <w:pPr>
        <w:pStyle w:val="normal1"/>
        <w:spacing w:lineRule="auto" w:line="276" w:before="0" w:after="0"/>
        <w:rPr>
          <w:b/>
          <w:bCs/>
        </w:rPr>
      </w:pPr>
      <w:r>
        <w:rPr>
          <w:b/>
          <w:bCs/>
        </w:rPr>
        <w:t xml:space="preserve">Table S5: The order of priority when marking professions of persons named in eponyms, as stated in the Book of Bird Eponyms </w:t>
      </w:r>
      <w:hyperlink r:id="rId10">
        <w:r>
          <w:rPr>
            <w:rStyle w:val="ListLabel1"/>
            <w:b/>
            <w:bCs/>
          </w:rPr>
          <w:t>(Beolens et al. 2020)</w:t>
        </w:r>
      </w:hyperlink>
      <w:r>
        <w:rPr>
          <w:b/>
          <w:bCs/>
        </w:rPr>
        <w:t>. This order was needed to distinguish naturalists and collectors from polymaths and professionals defined by the field of study they undertook. For example, to distinguish an amateur collector of bird specimens from an army doctor or a professional zoologist.</w:t>
      </w:r>
    </w:p>
    <w:tbl>
      <w:tblPr>
        <w:tblStyle w:val="Table5"/>
        <w:tblW w:w="9360" w:type="dxa"/>
        <w:jc w:val="left"/>
        <w:tblInd w:w="0" w:type="dxa"/>
        <w:tblLayout w:type="fixed"/>
        <w:tblCellMar>
          <w:top w:w="100" w:type="dxa"/>
          <w:left w:w="100" w:type="dxa"/>
          <w:bottom w:w="100" w:type="dxa"/>
          <w:right w:w="100" w:type="dxa"/>
        </w:tblCellMar>
        <w:tblLook w:val="0600"/>
      </w:tblPr>
      <w:tblGrid>
        <w:gridCol w:w="1080"/>
        <w:gridCol w:w="5160"/>
        <w:gridCol w:w="3120"/>
      </w:tblGrid>
      <w:tr>
        <w:trPr/>
        <w:tc>
          <w:tcPr>
            <w:tcW w:w="1080" w:type="dxa"/>
            <w:tcBorders>
              <w:top w:val="single" w:sz="8" w:space="0" w:color="000000"/>
              <w:left w:val="single" w:sz="8" w:space="0" w:color="000000"/>
              <w:bottom w:val="single" w:sz="8" w:space="0" w:color="000000"/>
              <w:right w:val="single" w:sz="8" w:space="0" w:color="000000"/>
            </w:tcBorders>
            <w:shd w:fill="EFEFEF" w:val="clear"/>
          </w:tcPr>
          <w:p>
            <w:pPr>
              <w:pStyle w:val="normal1"/>
              <w:widowControl w:val="false"/>
              <w:spacing w:lineRule="auto" w:line="240"/>
              <w:rPr>
                <w:b/>
                <w:bCs/>
              </w:rPr>
            </w:pPr>
            <w:r>
              <w:rPr>
                <w:b/>
                <w:bCs/>
              </w:rPr>
              <w:t>Priority</w:t>
            </w:r>
          </w:p>
        </w:tc>
        <w:tc>
          <w:tcPr>
            <w:tcW w:w="5160" w:type="dxa"/>
            <w:tcBorders>
              <w:top w:val="single" w:sz="8" w:space="0" w:color="000000"/>
              <w:left w:val="single" w:sz="8" w:space="0" w:color="000000"/>
              <w:bottom w:val="single" w:sz="8" w:space="0" w:color="000000"/>
              <w:right w:val="single" w:sz="8" w:space="0" w:color="000000"/>
            </w:tcBorders>
            <w:shd w:fill="EFEFEF" w:val="clear"/>
          </w:tcPr>
          <w:p>
            <w:pPr>
              <w:pStyle w:val="normal1"/>
              <w:widowControl w:val="false"/>
              <w:spacing w:lineRule="auto" w:line="240"/>
              <w:rPr>
                <w:b/>
                <w:bCs/>
              </w:rPr>
            </w:pPr>
            <w:r>
              <w:rPr>
                <w:b/>
                <w:bCs/>
              </w:rPr>
              <w:t>Criteria</w:t>
            </w:r>
          </w:p>
        </w:tc>
        <w:tc>
          <w:tcPr>
            <w:tcW w:w="3120" w:type="dxa"/>
            <w:tcBorders>
              <w:top w:val="single" w:sz="8" w:space="0" w:color="000000"/>
              <w:left w:val="single" w:sz="8" w:space="0" w:color="000000"/>
              <w:bottom w:val="single" w:sz="8" w:space="0" w:color="000000"/>
              <w:right w:val="single" w:sz="8" w:space="0" w:color="000000"/>
            </w:tcBorders>
            <w:shd w:fill="EFEFEF" w:val="clear"/>
          </w:tcPr>
          <w:p>
            <w:pPr>
              <w:pStyle w:val="normal1"/>
              <w:widowControl w:val="false"/>
              <w:spacing w:lineRule="auto" w:line="240"/>
              <w:rPr>
                <w:b/>
                <w:bCs/>
              </w:rPr>
            </w:pPr>
            <w:r>
              <w:rPr>
                <w:b/>
                <w:bCs/>
              </w:rPr>
              <w:t>Example</w:t>
            </w:r>
          </w:p>
        </w:tc>
      </w:tr>
      <w:tr>
        <w:trPr/>
        <w:tc>
          <w:tcPr>
            <w:tcW w:w="1080" w:type="dxa"/>
            <w:tcBorders>
              <w:top w:val="single" w:sz="8" w:space="0" w:color="000000"/>
              <w:left w:val="single" w:sz="8" w:space="0" w:color="000000"/>
              <w:bottom w:val="single" w:sz="8" w:space="0" w:color="000000"/>
              <w:right w:val="single" w:sz="8" w:space="0" w:color="000000"/>
            </w:tcBorders>
            <w:shd w:fill="93C47D" w:val="clear"/>
          </w:tcPr>
          <w:p>
            <w:pPr>
              <w:pStyle w:val="normal1"/>
              <w:widowControl w:val="false"/>
              <w:spacing w:lineRule="auto" w:line="240"/>
              <w:jc w:val="center"/>
              <w:rPr/>
            </w:pPr>
            <w:r>
              <w:rPr/>
              <w:t>1</w:t>
            </w:r>
          </w:p>
        </w:tc>
        <w:tc>
          <w:tcPr>
            <w:tcW w:w="5160" w:type="dxa"/>
            <w:tcBorders>
              <w:top w:val="single" w:sz="8" w:space="0" w:color="000000"/>
              <w:left w:val="single" w:sz="8" w:space="0" w:color="000000"/>
              <w:bottom w:val="single" w:sz="8" w:space="0" w:color="000000"/>
              <w:right w:val="single" w:sz="8" w:space="0" w:color="000000"/>
            </w:tcBorders>
            <w:shd w:fill="93C47D" w:val="clear"/>
          </w:tcPr>
          <w:p>
            <w:pPr>
              <w:pStyle w:val="normal1"/>
              <w:widowControl w:val="false"/>
              <w:spacing w:lineRule="auto" w:line="240"/>
              <w:rPr/>
            </w:pPr>
            <w:r>
              <w:rPr/>
              <w:t>If there is a mention of any professional training, it is placed at highest priority.</w:t>
            </w:r>
          </w:p>
        </w:tc>
        <w:tc>
          <w:tcPr>
            <w:tcW w:w="3120" w:type="dxa"/>
            <w:tcBorders>
              <w:top w:val="single" w:sz="8" w:space="0" w:color="000000"/>
              <w:left w:val="single" w:sz="8" w:space="0" w:color="000000"/>
              <w:bottom w:val="single" w:sz="8" w:space="0" w:color="000000"/>
              <w:right w:val="single" w:sz="8" w:space="0" w:color="000000"/>
            </w:tcBorders>
            <w:shd w:fill="93C47D" w:val="clear"/>
          </w:tcPr>
          <w:p>
            <w:pPr>
              <w:pStyle w:val="normal1"/>
              <w:widowControl w:val="false"/>
              <w:spacing w:lineRule="auto" w:line="240"/>
              <w:rPr/>
            </w:pPr>
            <w:r>
              <w:rPr/>
              <w:t>Doctor, Lawyer</w:t>
            </w:r>
          </w:p>
        </w:tc>
      </w:tr>
      <w:tr>
        <w:trPr/>
        <w:tc>
          <w:tcPr>
            <w:tcW w:w="1080" w:type="dxa"/>
            <w:tcBorders>
              <w:top w:val="single" w:sz="8" w:space="0" w:color="000000"/>
              <w:left w:val="single" w:sz="8" w:space="0" w:color="000000"/>
              <w:bottom w:val="single" w:sz="8" w:space="0" w:color="000000"/>
              <w:right w:val="single" w:sz="8" w:space="0" w:color="000000"/>
            </w:tcBorders>
            <w:shd w:fill="B6D7A8" w:val="clear"/>
          </w:tcPr>
          <w:p>
            <w:pPr>
              <w:pStyle w:val="normal1"/>
              <w:widowControl w:val="false"/>
              <w:spacing w:lineRule="auto" w:line="240"/>
              <w:jc w:val="center"/>
              <w:rPr/>
            </w:pPr>
            <w:r>
              <w:rPr/>
              <w:t>2</w:t>
            </w:r>
          </w:p>
        </w:tc>
        <w:tc>
          <w:tcPr>
            <w:tcW w:w="5160" w:type="dxa"/>
            <w:tcBorders>
              <w:top w:val="single" w:sz="8" w:space="0" w:color="000000"/>
              <w:left w:val="single" w:sz="8" w:space="0" w:color="000000"/>
              <w:bottom w:val="single" w:sz="8" w:space="0" w:color="000000"/>
              <w:right w:val="single" w:sz="8" w:space="0" w:color="000000"/>
            </w:tcBorders>
            <w:shd w:fill="B6D7A8" w:val="clear"/>
          </w:tcPr>
          <w:p>
            <w:pPr>
              <w:pStyle w:val="normal1"/>
              <w:widowControl w:val="false"/>
              <w:spacing w:lineRule="auto" w:line="240"/>
              <w:rPr/>
            </w:pPr>
            <w:r>
              <w:rPr/>
              <w:t>If there was a field of science that the person was specialized in, it was given the next importance.</w:t>
            </w:r>
          </w:p>
        </w:tc>
        <w:tc>
          <w:tcPr>
            <w:tcW w:w="3120" w:type="dxa"/>
            <w:tcBorders>
              <w:top w:val="single" w:sz="8" w:space="0" w:color="000000"/>
              <w:left w:val="single" w:sz="8" w:space="0" w:color="000000"/>
              <w:bottom w:val="single" w:sz="8" w:space="0" w:color="000000"/>
              <w:right w:val="single" w:sz="8" w:space="0" w:color="000000"/>
            </w:tcBorders>
            <w:shd w:fill="B6D7A8" w:val="clear"/>
          </w:tcPr>
          <w:p>
            <w:pPr>
              <w:pStyle w:val="normal1"/>
              <w:widowControl w:val="false"/>
              <w:spacing w:lineRule="auto" w:line="240"/>
              <w:rPr/>
            </w:pPr>
            <w:r>
              <w:rPr/>
              <w:t>Zoologist, botanist</w:t>
            </w:r>
          </w:p>
        </w:tc>
      </w:tr>
      <w:tr>
        <w:trPr/>
        <w:tc>
          <w:tcPr>
            <w:tcW w:w="1080" w:type="dxa"/>
            <w:tcBorders>
              <w:top w:val="single" w:sz="8" w:space="0" w:color="000000"/>
              <w:left w:val="single" w:sz="8" w:space="0" w:color="000000"/>
              <w:bottom w:val="single" w:sz="8" w:space="0" w:color="000000"/>
              <w:right w:val="single" w:sz="8" w:space="0" w:color="000000"/>
            </w:tcBorders>
            <w:shd w:fill="D9EAD3" w:val="clear"/>
          </w:tcPr>
          <w:p>
            <w:pPr>
              <w:pStyle w:val="normal1"/>
              <w:widowControl w:val="false"/>
              <w:spacing w:lineRule="auto" w:line="240"/>
              <w:jc w:val="center"/>
              <w:rPr/>
            </w:pPr>
            <w:r>
              <w:rPr/>
              <w:t>3</w:t>
            </w:r>
          </w:p>
        </w:tc>
        <w:tc>
          <w:tcPr>
            <w:tcW w:w="5160" w:type="dxa"/>
            <w:tcBorders>
              <w:top w:val="single" w:sz="8" w:space="0" w:color="000000"/>
              <w:left w:val="single" w:sz="8" w:space="0" w:color="000000"/>
              <w:bottom w:val="single" w:sz="8" w:space="0" w:color="000000"/>
              <w:right w:val="single" w:sz="8" w:space="0" w:color="000000"/>
            </w:tcBorders>
            <w:shd w:fill="D9EAD3" w:val="clear"/>
          </w:tcPr>
          <w:p>
            <w:pPr>
              <w:pStyle w:val="normal1"/>
              <w:widowControl w:val="false"/>
              <w:spacing w:lineRule="auto" w:line="240"/>
              <w:rPr/>
            </w:pPr>
            <w:r>
              <w:rPr/>
              <w:t>If no other specific profession or field of scientific study was presented, persons were considered only a naturalist or collector.</w:t>
            </w:r>
          </w:p>
        </w:tc>
        <w:tc>
          <w:tcPr>
            <w:tcW w:w="3120" w:type="dxa"/>
            <w:tcBorders>
              <w:top w:val="single" w:sz="8" w:space="0" w:color="000000"/>
              <w:left w:val="single" w:sz="8" w:space="0" w:color="000000"/>
              <w:bottom w:val="single" w:sz="8" w:space="0" w:color="000000"/>
              <w:right w:val="single" w:sz="8" w:space="0" w:color="000000"/>
            </w:tcBorders>
            <w:shd w:fill="D9EAD3" w:val="clear"/>
          </w:tcPr>
          <w:p>
            <w:pPr>
              <w:pStyle w:val="normal1"/>
              <w:widowControl w:val="false"/>
              <w:spacing w:lineRule="auto" w:line="240"/>
              <w:rPr/>
            </w:pPr>
            <w:r>
              <w:rPr/>
              <w:t>Naturalist, Collector</w:t>
            </w:r>
          </w:p>
        </w:tc>
      </w:tr>
    </w:tbl>
    <w:p>
      <w:pPr>
        <w:pStyle w:val="normal1"/>
        <w:spacing w:lineRule="auto" w:line="276"/>
        <w:rPr>
          <w:b/>
          <w:bCs/>
        </w:rPr>
      </w:pPr>
      <w:r>
        <w:rPr>
          <w:b/>
          <w:bCs/>
        </w:rPr>
      </w:r>
    </w:p>
    <w:p>
      <w:pPr>
        <w:pStyle w:val="normal1"/>
        <w:spacing w:lineRule="auto" w:line="276"/>
        <w:rPr>
          <w:b/>
          <w:bCs/>
        </w:rPr>
      </w:pPr>
      <w:r>
        <w:rPr>
          <w:b/>
          <w:bCs/>
        </w:rPr>
      </w:r>
      <w:r>
        <w:br w:type="page"/>
      </w:r>
    </w:p>
    <w:p>
      <w:pPr>
        <w:pStyle w:val="normal1"/>
        <w:spacing w:lineRule="auto" w:line="276" w:before="0" w:after="0"/>
        <w:rPr>
          <w:b/>
          <w:bCs/>
        </w:rPr>
      </w:pPr>
      <w:r>
        <w:rPr>
          <w:b/>
          <w:bCs/>
        </w:rPr>
        <w:t xml:space="preserve">Table S6: Model estimates of the association between national counts of common name eponyms and colonizer CEI scores. The model includes observation-level random effects and random intercepts for countries and colonizing powers. R-hat and effective sample sizes (ESS) are reported for all parameters. R-hat was 1 with effective sample sizes (ESS) over 5000 for all parameters. </w:t>
      </w:r>
    </w:p>
    <w:p>
      <w:pPr>
        <w:pStyle w:val="normal1"/>
        <w:spacing w:lineRule="auto" w:line="276"/>
        <w:rPr>
          <w:b/>
          <w:bCs/>
        </w:rPr>
      </w:pPr>
      <w:r>
        <w:rPr>
          <w:b/>
          <w:bCs/>
        </w:rPr>
      </w:r>
    </w:p>
    <w:tbl>
      <w:tblPr>
        <w:tblStyle w:val="Table6"/>
        <w:tblW w:w="10575" w:type="dxa"/>
        <w:jc w:val="left"/>
        <w:tblInd w:w="-465" w:type="dxa"/>
        <w:tblLayout w:type="fixed"/>
        <w:tblCellMar>
          <w:top w:w="40" w:type="dxa"/>
          <w:left w:w="40" w:type="dxa"/>
          <w:bottom w:w="40" w:type="dxa"/>
          <w:right w:w="40" w:type="dxa"/>
        </w:tblCellMar>
        <w:tblLook w:val="0600"/>
      </w:tblPr>
      <w:tblGrid>
        <w:gridCol w:w="2745"/>
        <w:gridCol w:w="1305"/>
        <w:gridCol w:w="1305"/>
        <w:gridCol w:w="1305"/>
        <w:gridCol w:w="1305"/>
        <w:gridCol w:w="1305"/>
        <w:gridCol w:w="1304"/>
      </w:tblGrid>
      <w:tr>
        <w:trPr>
          <w:trHeight w:val="320" w:hRule="atLeast"/>
        </w:trPr>
        <w:tc>
          <w:tcPr>
            <w:tcW w:w="2745" w:type="dxa"/>
            <w:vMerge w:val="restart"/>
            <w:tcBorders>
              <w:top w:val="single" w:sz="8" w:space="0" w:color="000000"/>
              <w:left w:val="single" w:sz="8" w:space="0" w:color="000000"/>
              <w:bottom w:val="single" w:sz="8" w:space="0" w:color="000000"/>
              <w:right w:val="single" w:sz="8" w:space="0" w:color="000000"/>
            </w:tcBorders>
            <w:shd w:fill="999999" w:val="clear"/>
            <w:vAlign w:val="bottom"/>
          </w:tcPr>
          <w:p>
            <w:pPr>
              <w:pStyle w:val="normal1"/>
              <w:widowControl w:val="false"/>
              <w:jc w:val="center"/>
              <w:rPr>
                <w:sz w:val="24"/>
                <w:szCs w:val="24"/>
              </w:rPr>
            </w:pPr>
            <w:r>
              <w:rPr>
                <w:b/>
                <w:bCs/>
                <w:sz w:val="24"/>
                <w:szCs w:val="24"/>
              </w:rPr>
              <w:t>Term</w:t>
            </w:r>
          </w:p>
        </w:tc>
        <w:tc>
          <w:tcPr>
            <w:tcW w:w="3915" w:type="dxa"/>
            <w:gridSpan w:val="3"/>
            <w:tcBorders>
              <w:top w:val="single" w:sz="8" w:space="0" w:color="000000"/>
              <w:left w:val="single" w:sz="8" w:space="0" w:color="000000"/>
              <w:bottom w:val="single" w:sz="8" w:space="0" w:color="000000"/>
              <w:right w:val="single" w:sz="8" w:space="0" w:color="000000"/>
            </w:tcBorders>
            <w:shd w:fill="999999" w:val="clear"/>
            <w:vAlign w:val="center"/>
          </w:tcPr>
          <w:p>
            <w:pPr>
              <w:pStyle w:val="normal1"/>
              <w:widowControl w:val="false"/>
              <w:jc w:val="center"/>
              <w:rPr>
                <w:b/>
                <w:bCs/>
                <w:sz w:val="24"/>
                <w:szCs w:val="24"/>
              </w:rPr>
            </w:pPr>
            <w:r>
              <w:rPr>
                <w:b/>
                <w:bCs/>
                <w:sz w:val="24"/>
                <w:szCs w:val="24"/>
              </w:rPr>
              <w:t>Poisson component</w:t>
            </w:r>
          </w:p>
        </w:tc>
        <w:tc>
          <w:tcPr>
            <w:tcW w:w="3914" w:type="dxa"/>
            <w:gridSpan w:val="3"/>
            <w:tcBorders>
              <w:top w:val="single" w:sz="8" w:space="0" w:color="000000"/>
              <w:left w:val="single" w:sz="8" w:space="0" w:color="000000"/>
              <w:bottom w:val="single" w:sz="8" w:space="0" w:color="000000"/>
              <w:right w:val="single" w:sz="8" w:space="0" w:color="000000"/>
            </w:tcBorders>
            <w:shd w:fill="999999" w:val="clear"/>
            <w:vAlign w:val="center"/>
          </w:tcPr>
          <w:p>
            <w:pPr>
              <w:pStyle w:val="normal1"/>
              <w:widowControl w:val="false"/>
              <w:jc w:val="center"/>
              <w:rPr>
                <w:b/>
                <w:bCs/>
                <w:sz w:val="24"/>
                <w:szCs w:val="24"/>
              </w:rPr>
            </w:pPr>
            <w:r>
              <w:rPr>
                <w:b/>
                <w:bCs/>
                <w:sz w:val="24"/>
                <w:szCs w:val="24"/>
              </w:rPr>
              <w:t>Zero-inflated Component</w:t>
            </w:r>
          </w:p>
        </w:tc>
      </w:tr>
      <w:tr>
        <w:trPr>
          <w:trHeight w:val="320" w:hRule="atLeast"/>
        </w:trPr>
        <w:tc>
          <w:tcPr>
            <w:tcW w:w="2745" w:type="dxa"/>
            <w:vMerge w:val="continue"/>
            <w:tcBorders>
              <w:top w:val="single" w:sz="8" w:space="0" w:color="000000"/>
              <w:left w:val="single" w:sz="8" w:space="0" w:color="000000"/>
              <w:bottom w:val="single" w:sz="8" w:space="0" w:color="000000"/>
              <w:right w:val="single" w:sz="8" w:space="0" w:color="000000"/>
            </w:tcBorders>
            <w:shd w:fill="999999" w:val="clear"/>
            <w:vAlign w:val="bottom"/>
          </w:tcPr>
          <w:p>
            <w:pPr>
              <w:pStyle w:val="normal1"/>
              <w:widowControl w:val="false"/>
              <w:spacing w:lineRule="auto" w:line="240"/>
              <w:jc w:val="center"/>
              <w:rPr>
                <w:sz w:val="24"/>
                <w:szCs w:val="24"/>
              </w:rPr>
            </w:pPr>
            <w:r>
              <w:rPr>
                <w:sz w:val="24"/>
                <w:szCs w:val="24"/>
              </w:rPr>
            </w:r>
          </w:p>
        </w:tc>
        <w:tc>
          <w:tcPr>
            <w:tcW w:w="1305"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sz w:val="24"/>
                <w:szCs w:val="24"/>
              </w:rPr>
            </w:pPr>
            <w:r>
              <w:rPr>
                <w:b/>
                <w:bCs/>
                <w:sz w:val="24"/>
                <w:szCs w:val="24"/>
              </w:rPr>
              <w:t>Estimate</w:t>
            </w:r>
          </w:p>
        </w:tc>
        <w:tc>
          <w:tcPr>
            <w:tcW w:w="1305"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sz w:val="24"/>
                <w:szCs w:val="24"/>
              </w:rPr>
            </w:pPr>
            <w:r>
              <w:rPr>
                <w:b/>
                <w:bCs/>
                <w:sz w:val="24"/>
                <w:szCs w:val="24"/>
              </w:rPr>
              <w:t>Q2.5</w:t>
            </w:r>
          </w:p>
        </w:tc>
        <w:tc>
          <w:tcPr>
            <w:tcW w:w="1305"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sz w:val="24"/>
                <w:szCs w:val="24"/>
              </w:rPr>
            </w:pPr>
            <w:r>
              <w:rPr>
                <w:b/>
                <w:bCs/>
                <w:sz w:val="24"/>
                <w:szCs w:val="24"/>
              </w:rPr>
              <w:t>Q97.5</w:t>
            </w:r>
          </w:p>
        </w:tc>
        <w:tc>
          <w:tcPr>
            <w:tcW w:w="1305"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sz w:val="24"/>
                <w:szCs w:val="24"/>
              </w:rPr>
            </w:pPr>
            <w:r>
              <w:rPr>
                <w:b/>
                <w:bCs/>
                <w:sz w:val="24"/>
                <w:szCs w:val="24"/>
              </w:rPr>
              <w:t>Estimate</w:t>
            </w:r>
          </w:p>
        </w:tc>
        <w:tc>
          <w:tcPr>
            <w:tcW w:w="1305"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sz w:val="24"/>
                <w:szCs w:val="24"/>
              </w:rPr>
            </w:pPr>
            <w:r>
              <w:rPr>
                <w:b/>
                <w:bCs/>
                <w:sz w:val="24"/>
                <w:szCs w:val="24"/>
              </w:rPr>
              <w:t>Q2.5</w:t>
            </w:r>
          </w:p>
        </w:tc>
        <w:tc>
          <w:tcPr>
            <w:tcW w:w="1304"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sz w:val="24"/>
                <w:szCs w:val="24"/>
              </w:rPr>
            </w:pPr>
            <w:r>
              <w:rPr>
                <w:b/>
                <w:bCs/>
                <w:sz w:val="24"/>
                <w:szCs w:val="24"/>
              </w:rPr>
              <w:t>Q97.5</w:t>
            </w:r>
          </w:p>
        </w:tc>
      </w:tr>
      <w:tr>
        <w:trPr/>
        <w:tc>
          <w:tcPr>
            <w:tcW w:w="274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sz w:val="24"/>
                <w:szCs w:val="24"/>
              </w:rPr>
            </w:pPr>
            <w:r>
              <w:rPr>
                <w:b/>
                <w:bCs/>
                <w:sz w:val="24"/>
                <w:szCs w:val="24"/>
              </w:rPr>
              <w:t xml:space="preserve">Intercept </w:t>
            </w:r>
          </w:p>
        </w:tc>
        <w:tc>
          <w:tcPr>
            <w:tcW w:w="130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-6.90</w:t>
            </w:r>
          </w:p>
        </w:tc>
        <w:tc>
          <w:tcPr>
            <w:tcW w:w="130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-8.51</w:t>
            </w:r>
          </w:p>
        </w:tc>
        <w:tc>
          <w:tcPr>
            <w:tcW w:w="130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-5.4</w:t>
            </w:r>
          </w:p>
        </w:tc>
        <w:tc>
          <w:tcPr>
            <w:tcW w:w="130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-3.86</w:t>
            </w:r>
          </w:p>
        </w:tc>
        <w:tc>
          <w:tcPr>
            <w:tcW w:w="130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-8.49</w:t>
            </w:r>
          </w:p>
        </w:tc>
        <w:tc>
          <w:tcPr>
            <w:tcW w:w="1304"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1.74</w:t>
            </w:r>
          </w:p>
        </w:tc>
      </w:tr>
      <w:tr>
        <w:trPr/>
        <w:tc>
          <w:tcPr>
            <w:tcW w:w="274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sz w:val="24"/>
                <w:szCs w:val="24"/>
              </w:rPr>
            </w:pPr>
            <w:r>
              <w:rPr>
                <w:b/>
                <w:bCs/>
                <w:sz w:val="24"/>
                <w:szCs w:val="24"/>
              </w:rPr>
              <w:t xml:space="preserve">Effect of CEI </w:t>
            </w:r>
          </w:p>
        </w:tc>
        <w:tc>
          <w:tcPr>
            <w:tcW w:w="130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1.2</w:t>
            </w:r>
          </w:p>
        </w:tc>
        <w:tc>
          <w:tcPr>
            <w:tcW w:w="130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0.37</w:t>
            </w:r>
          </w:p>
        </w:tc>
        <w:tc>
          <w:tcPr>
            <w:tcW w:w="130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2.16</w:t>
            </w:r>
          </w:p>
        </w:tc>
        <w:tc>
          <w:tcPr>
            <w:tcW w:w="130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-9.87</w:t>
            </w:r>
          </w:p>
        </w:tc>
        <w:tc>
          <w:tcPr>
            <w:tcW w:w="130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-35.92</w:t>
            </w:r>
          </w:p>
        </w:tc>
        <w:tc>
          <w:tcPr>
            <w:tcW w:w="1304"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1.06</w:t>
            </w:r>
          </w:p>
        </w:tc>
      </w:tr>
      <w:tr>
        <w:trPr/>
        <w:tc>
          <w:tcPr>
            <w:tcW w:w="274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colonizer-level random intercepts</w:t>
            </w:r>
          </w:p>
        </w:tc>
        <w:tc>
          <w:tcPr>
            <w:tcW w:w="130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2.17</w:t>
            </w:r>
          </w:p>
        </w:tc>
        <w:tc>
          <w:tcPr>
            <w:tcW w:w="130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1.26</w:t>
            </w:r>
          </w:p>
        </w:tc>
        <w:tc>
          <w:tcPr>
            <w:tcW w:w="1305" w:type="dxa"/>
            <w:tcBorders>
              <w:top w:val="single" w:sz="8" w:space="0" w:color="000000"/>
              <w:left w:val="single" w:sz="8" w:space="0" w:color="000000"/>
              <w:bottom w:val="single" w:sz="4" w:space="0" w:color="000000"/>
              <w:right w:val="single" w:sz="8" w:space="0" w:color="000000"/>
            </w:tcBorders>
            <w:vAlign w:val="center"/>
          </w:tcPr>
          <w:p>
            <w:pPr>
              <w:pStyle w:val="normal1"/>
              <w:widowControl w:val="false"/>
              <w:jc w:val="center"/>
              <w:rPr>
                <w:sz w:val="24"/>
                <w:szCs w:val="24"/>
              </w:rPr>
            </w:pPr>
            <w:r>
              <w:rPr>
                <w:sz w:val="24"/>
                <w:szCs w:val="24"/>
              </w:rPr>
              <w:t>3.64</w:t>
            </w:r>
          </w:p>
        </w:tc>
        <w:tc>
          <w:tcPr>
            <w:tcW w:w="1305" w:type="dxa"/>
            <w:tcBorders>
              <w:top w:val="single" w:sz="8" w:space="0" w:color="000000"/>
              <w:left w:val="single" w:sz="8" w:space="0" w:color="000000"/>
              <w:bottom w:val="single" w:sz="4" w:space="0" w:color="000000"/>
              <w:right w:val="single" w:sz="8" w:space="0" w:color="000000"/>
            </w:tcBorders>
            <w:vAlign w:val="center"/>
          </w:tcPr>
          <w:p>
            <w:pPr>
              <w:pStyle w:val="normal1"/>
              <w:widowControl w:val="false"/>
              <w:jc w:val="center"/>
              <w:rPr>
                <w:sz w:val="24"/>
                <w:szCs w:val="24"/>
              </w:rPr>
            </w:pPr>
            <w:r>
              <w:rPr>
                <w:sz w:val="24"/>
                <w:szCs w:val="24"/>
              </w:rPr>
              <w:t>4.07</w:t>
            </w:r>
          </w:p>
        </w:tc>
        <w:tc>
          <w:tcPr>
            <w:tcW w:w="1305" w:type="dxa"/>
            <w:tcBorders>
              <w:top w:val="single" w:sz="8" w:space="0" w:color="000000"/>
              <w:left w:val="single" w:sz="8" w:space="0" w:color="000000"/>
              <w:bottom w:val="single" w:sz="4" w:space="0" w:color="000000"/>
              <w:right w:val="single" w:sz="8" w:space="0" w:color="000000"/>
            </w:tcBorders>
            <w:vAlign w:val="center"/>
          </w:tcPr>
          <w:p>
            <w:pPr>
              <w:pStyle w:val="normal1"/>
              <w:widowControl w:val="false"/>
              <w:jc w:val="center"/>
              <w:rPr>
                <w:sz w:val="24"/>
                <w:szCs w:val="24"/>
              </w:rPr>
            </w:pPr>
            <w:r>
              <w:rPr>
                <w:sz w:val="24"/>
                <w:szCs w:val="24"/>
              </w:rPr>
              <w:t>0.20</w:t>
            </w:r>
          </w:p>
        </w:tc>
        <w:tc>
          <w:tcPr>
            <w:tcW w:w="1304" w:type="dxa"/>
            <w:tcBorders>
              <w:top w:val="single" w:sz="8" w:space="0" w:color="000000"/>
              <w:left w:val="single" w:sz="8" w:space="0" w:color="000000"/>
              <w:bottom w:val="single" w:sz="4" w:space="0" w:color="000000"/>
              <w:right w:val="single" w:sz="8" w:space="0" w:color="000000"/>
            </w:tcBorders>
            <w:vAlign w:val="center"/>
          </w:tcPr>
          <w:p>
            <w:pPr>
              <w:pStyle w:val="normal1"/>
              <w:widowControl w:val="false"/>
              <w:jc w:val="center"/>
              <w:rPr>
                <w:sz w:val="24"/>
                <w:szCs w:val="24"/>
              </w:rPr>
            </w:pPr>
            <w:r>
              <w:rPr>
                <w:sz w:val="24"/>
                <w:szCs w:val="24"/>
              </w:rPr>
              <w:t>15.38</w:t>
            </w:r>
          </w:p>
        </w:tc>
      </w:tr>
      <w:tr>
        <w:trPr/>
        <w:tc>
          <w:tcPr>
            <w:tcW w:w="274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Country-level random intercepts</w:t>
            </w:r>
          </w:p>
        </w:tc>
        <w:tc>
          <w:tcPr>
            <w:tcW w:w="130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0.60</w:t>
            </w:r>
          </w:p>
        </w:tc>
        <w:tc>
          <w:tcPr>
            <w:tcW w:w="1305" w:type="dxa"/>
            <w:tcBorders>
              <w:top w:val="single" w:sz="8" w:space="0" w:color="000000"/>
              <w:left w:val="single" w:sz="8" w:space="0" w:color="000000"/>
              <w:bottom w:val="single" w:sz="8" w:space="0" w:color="000000"/>
              <w:right w:val="single" w:sz="4" w:space="0" w:color="000000"/>
            </w:tcBorders>
            <w:vAlign w:val="center"/>
          </w:tcPr>
          <w:p>
            <w:pPr>
              <w:pStyle w:val="normal1"/>
              <w:widowControl w:val="false"/>
              <w:jc w:val="center"/>
              <w:rPr>
                <w:sz w:val="24"/>
                <w:szCs w:val="24"/>
              </w:rPr>
            </w:pPr>
            <w:r>
              <w:rPr>
                <w:sz w:val="24"/>
                <w:szCs w:val="24"/>
              </w:rPr>
              <w:t>0.50</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0.71</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1.06</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0.03</w:t>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3.38</w:t>
            </w:r>
          </w:p>
        </w:tc>
      </w:tr>
      <w:tr>
        <w:trPr/>
        <w:tc>
          <w:tcPr>
            <w:tcW w:w="274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Observation-level random effect</w:t>
            </w:r>
          </w:p>
        </w:tc>
        <w:tc>
          <w:tcPr>
            <w:tcW w:w="130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0.37</w:t>
            </w:r>
          </w:p>
        </w:tc>
        <w:tc>
          <w:tcPr>
            <w:tcW w:w="1305" w:type="dxa"/>
            <w:tcBorders>
              <w:top w:val="single" w:sz="8" w:space="0" w:color="000000"/>
              <w:left w:val="single" w:sz="8" w:space="0" w:color="000000"/>
              <w:bottom w:val="single" w:sz="8" w:space="0" w:color="000000"/>
              <w:right w:val="single" w:sz="4" w:space="0" w:color="000000"/>
            </w:tcBorders>
            <w:vAlign w:val="center"/>
          </w:tcPr>
          <w:p>
            <w:pPr>
              <w:pStyle w:val="normal1"/>
              <w:widowControl w:val="false"/>
              <w:jc w:val="center"/>
              <w:rPr>
                <w:sz w:val="24"/>
                <w:szCs w:val="24"/>
              </w:rPr>
            </w:pPr>
            <w:r>
              <w:rPr>
                <w:sz w:val="24"/>
                <w:szCs w:val="24"/>
              </w:rPr>
              <w:t>0.3</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0.44</w:t>
            </w:r>
          </w:p>
        </w:tc>
        <w:tc>
          <w:tcPr>
            <w:tcW w:w="1305" w:type="dxa"/>
            <w:tcBorders>
              <w:top w:val="single" w:sz="4" w:space="0" w:color="000000"/>
              <w:left w:val="single" w:sz="4" w:space="0" w:color="000000"/>
            </w:tcBorders>
            <w:vAlign w:val="center"/>
          </w:tcPr>
          <w:p>
            <w:pPr>
              <w:pStyle w:val="normal1"/>
              <w:widowControl w:val="false"/>
              <w:jc w:val="center"/>
              <w:rPr>
                <w:sz w:val="24"/>
                <w:szCs w:val="24"/>
              </w:rPr>
            </w:pPr>
            <w:r>
              <w:rPr>
                <w:sz w:val="24"/>
                <w:szCs w:val="24"/>
              </w:rPr>
            </w:r>
          </w:p>
        </w:tc>
        <w:tc>
          <w:tcPr>
            <w:tcW w:w="1305" w:type="dxa"/>
            <w:tcBorders>
              <w:top w:val="single" w:sz="4" w:space="0" w:color="000000"/>
            </w:tcBorders>
            <w:vAlign w:val="center"/>
          </w:tcPr>
          <w:p>
            <w:pPr>
              <w:pStyle w:val="normal1"/>
              <w:widowControl w:val="false"/>
              <w:jc w:val="center"/>
              <w:rPr>
                <w:sz w:val="24"/>
                <w:szCs w:val="24"/>
              </w:rPr>
            </w:pPr>
            <w:r>
              <w:rPr>
                <w:sz w:val="24"/>
                <w:szCs w:val="24"/>
              </w:rPr>
            </w:r>
          </w:p>
        </w:tc>
        <w:tc>
          <w:tcPr>
            <w:tcW w:w="1304" w:type="dxa"/>
            <w:tcBorders>
              <w:top w:val="single" w:sz="4" w:space="0" w:color="000000"/>
            </w:tcBorders>
            <w:vAlign w:val="center"/>
          </w:tcPr>
          <w:p>
            <w:pPr>
              <w:pStyle w:val="normal1"/>
              <w:widowControl w:val="false"/>
              <w:jc w:val="center"/>
              <w:rPr>
                <w:sz w:val="24"/>
                <w:szCs w:val="24"/>
              </w:rPr>
            </w:pPr>
            <w:r>
              <w:rPr>
                <w:sz w:val="24"/>
                <w:szCs w:val="24"/>
              </w:rPr>
            </w:r>
          </w:p>
        </w:tc>
      </w:tr>
      <w:tr>
        <w:trPr/>
        <w:tc>
          <w:tcPr>
            <w:tcW w:w="274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colonizer-level random slopes</w:t>
            </w:r>
          </w:p>
        </w:tc>
        <w:tc>
          <w:tcPr>
            <w:tcW w:w="130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1.06</w:t>
            </w:r>
          </w:p>
        </w:tc>
        <w:tc>
          <w:tcPr>
            <w:tcW w:w="1305" w:type="dxa"/>
            <w:tcBorders>
              <w:top w:val="single" w:sz="8" w:space="0" w:color="000000"/>
              <w:left w:val="single" w:sz="8" w:space="0" w:color="000000"/>
              <w:bottom w:val="single" w:sz="8" w:space="0" w:color="000000"/>
              <w:right w:val="single" w:sz="4" w:space="0" w:color="000000"/>
            </w:tcBorders>
            <w:vAlign w:val="center"/>
          </w:tcPr>
          <w:p>
            <w:pPr>
              <w:pStyle w:val="normal1"/>
              <w:widowControl w:val="false"/>
              <w:jc w:val="center"/>
              <w:rPr>
                <w:sz w:val="24"/>
                <w:szCs w:val="24"/>
              </w:rPr>
            </w:pPr>
            <w:r>
              <w:rPr>
                <w:sz w:val="24"/>
                <w:szCs w:val="24"/>
              </w:rPr>
              <w:t>0.03</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3.38</w:t>
            </w:r>
          </w:p>
        </w:tc>
        <w:tc>
          <w:tcPr>
            <w:tcW w:w="1305" w:type="dxa"/>
            <w:tcBorders>
              <w:left w:val="single" w:sz="4" w:space="0" w:color="000000"/>
            </w:tcBorders>
            <w:vAlign w:val="center"/>
          </w:tcPr>
          <w:p>
            <w:pPr>
              <w:pStyle w:val="normal1"/>
              <w:widowControl w:val="false"/>
              <w:jc w:val="center"/>
              <w:rPr>
                <w:sz w:val="24"/>
                <w:szCs w:val="24"/>
              </w:rPr>
            </w:pPr>
            <w:r>
              <w:rPr>
                <w:sz w:val="24"/>
                <w:szCs w:val="24"/>
              </w:rPr>
            </w:r>
          </w:p>
        </w:tc>
        <w:tc>
          <w:tcPr>
            <w:tcW w:w="1305" w:type="dxa"/>
            <w:tcBorders/>
            <w:vAlign w:val="center"/>
          </w:tcPr>
          <w:p>
            <w:pPr>
              <w:pStyle w:val="normal1"/>
              <w:widowControl w:val="false"/>
              <w:jc w:val="center"/>
              <w:rPr>
                <w:sz w:val="24"/>
                <w:szCs w:val="24"/>
              </w:rPr>
            </w:pPr>
            <w:r>
              <w:rPr>
                <w:sz w:val="24"/>
                <w:szCs w:val="24"/>
              </w:rPr>
            </w:r>
          </w:p>
        </w:tc>
        <w:tc>
          <w:tcPr>
            <w:tcW w:w="1304" w:type="dxa"/>
            <w:tcBorders/>
            <w:vAlign w:val="center"/>
          </w:tcPr>
          <w:p>
            <w:pPr>
              <w:pStyle w:val="normal1"/>
              <w:widowControl w:val="false"/>
              <w:jc w:val="center"/>
              <w:rPr>
                <w:sz w:val="24"/>
                <w:szCs w:val="24"/>
              </w:rPr>
            </w:pPr>
            <w:r>
              <w:rPr>
                <w:sz w:val="24"/>
                <w:szCs w:val="24"/>
              </w:rPr>
            </w:r>
          </w:p>
        </w:tc>
      </w:tr>
      <w:tr>
        <w:trPr/>
        <w:tc>
          <w:tcPr>
            <w:tcW w:w="274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sz w:val="24"/>
                <w:szCs w:val="24"/>
              </w:rPr>
            </w:pPr>
            <w:r>
              <w:rPr>
                <w:b/>
                <w:bCs/>
                <w:sz w:val="24"/>
                <w:szCs w:val="24"/>
              </w:rPr>
              <w:t>Correlation between colonizer-specific intercepts and slopes</w:t>
            </w:r>
          </w:p>
        </w:tc>
        <w:tc>
          <w:tcPr>
            <w:tcW w:w="130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-0.79</w:t>
            </w:r>
          </w:p>
        </w:tc>
        <w:tc>
          <w:tcPr>
            <w:tcW w:w="1305" w:type="dxa"/>
            <w:tcBorders>
              <w:top w:val="single" w:sz="8" w:space="0" w:color="000000"/>
              <w:left w:val="single" w:sz="8" w:space="0" w:color="000000"/>
              <w:bottom w:val="single" w:sz="8" w:space="0" w:color="000000"/>
              <w:right w:val="single" w:sz="4" w:space="0" w:color="000000"/>
            </w:tcBorders>
            <w:vAlign w:val="center"/>
          </w:tcPr>
          <w:p>
            <w:pPr>
              <w:pStyle w:val="normal1"/>
              <w:widowControl w:val="false"/>
              <w:jc w:val="center"/>
              <w:rPr>
                <w:sz w:val="24"/>
                <w:szCs w:val="24"/>
              </w:rPr>
            </w:pPr>
            <w:r>
              <w:rPr>
                <w:sz w:val="24"/>
                <w:szCs w:val="24"/>
              </w:rPr>
              <w:t>-0.99</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-0.20</w:t>
            </w:r>
          </w:p>
        </w:tc>
        <w:tc>
          <w:tcPr>
            <w:tcW w:w="1305" w:type="dxa"/>
            <w:tcBorders>
              <w:left w:val="single" w:sz="4" w:space="0" w:color="000000"/>
            </w:tcBorders>
            <w:vAlign w:val="center"/>
          </w:tcPr>
          <w:p>
            <w:pPr>
              <w:pStyle w:val="normal1"/>
              <w:widowControl w:val="false"/>
              <w:jc w:val="center"/>
              <w:rPr>
                <w:sz w:val="24"/>
                <w:szCs w:val="24"/>
              </w:rPr>
            </w:pPr>
            <w:r>
              <w:rPr>
                <w:sz w:val="24"/>
                <w:szCs w:val="24"/>
              </w:rPr>
            </w:r>
          </w:p>
        </w:tc>
        <w:tc>
          <w:tcPr>
            <w:tcW w:w="1305" w:type="dxa"/>
            <w:tcBorders/>
            <w:vAlign w:val="center"/>
          </w:tcPr>
          <w:p>
            <w:pPr>
              <w:pStyle w:val="normal1"/>
              <w:widowControl w:val="false"/>
              <w:jc w:val="center"/>
              <w:rPr>
                <w:sz w:val="24"/>
                <w:szCs w:val="24"/>
              </w:rPr>
            </w:pPr>
            <w:r>
              <w:rPr>
                <w:sz w:val="24"/>
                <w:szCs w:val="24"/>
              </w:rPr>
            </w:r>
          </w:p>
        </w:tc>
        <w:tc>
          <w:tcPr>
            <w:tcW w:w="1304" w:type="dxa"/>
            <w:tcBorders/>
            <w:vAlign w:val="center"/>
          </w:tcPr>
          <w:p>
            <w:pPr>
              <w:pStyle w:val="normal1"/>
              <w:widowControl w:val="false"/>
              <w:jc w:val="center"/>
              <w:rPr>
                <w:sz w:val="24"/>
                <w:szCs w:val="24"/>
              </w:rPr>
            </w:pPr>
            <w:r>
              <w:rPr>
                <w:sz w:val="24"/>
                <w:szCs w:val="24"/>
              </w:rPr>
            </w:r>
          </w:p>
        </w:tc>
      </w:tr>
    </w:tbl>
    <w:p>
      <w:pPr>
        <w:pStyle w:val="normal1"/>
        <w:spacing w:lineRule="auto" w:line="276"/>
        <w:rPr/>
      </w:pPr>
      <w:r>
        <w:rPr/>
      </w:r>
    </w:p>
    <w:p>
      <w:pPr>
        <w:pStyle w:val="normal1"/>
        <w:spacing w:lineRule="auto" w:line="276"/>
        <w:rPr>
          <w:b/>
          <w:bCs/>
        </w:rPr>
      </w:pPr>
      <w:r>
        <w:rPr>
          <w:b/>
          <w:bCs/>
        </w:rPr>
      </w:r>
      <w:r>
        <w:br w:type="page"/>
      </w:r>
    </w:p>
    <w:p>
      <w:pPr>
        <w:pStyle w:val="normal1"/>
        <w:spacing w:before="0" w:after="0"/>
        <w:rPr>
          <w:b/>
          <w:bCs/>
          <w:color w:val="A61C00"/>
          <w:sz w:val="30"/>
          <w:szCs w:val="30"/>
        </w:rPr>
      </w:pPr>
      <w:r>
        <w:rPr>
          <w:b/>
          <w:bCs/>
          <w:color w:val="A61C00"/>
          <w:sz w:val="30"/>
          <w:szCs w:val="30"/>
        </w:rPr>
        <w:t>Supplementary Analysis 1: Assigning nationality by birth (not following the decision tree)</w:t>
      </w:r>
    </w:p>
    <w:p>
      <w:pPr>
        <w:pStyle w:val="normal1"/>
        <w:rPr/>
      </w:pPr>
      <w:r>
        <w:rPr/>
        <w:drawing>
          <wp:inline distT="0" distB="0" distL="0" distR="0">
            <wp:extent cx="7901305" cy="5029835"/>
            <wp:effectExtent l="0" t="0" r="0" b="0"/>
            <wp:docPr id="6" name="image9.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9.png" descr=""/>
                    <pic:cNvPicPr>
                      <a:picLocks noChangeAspect="1" noChangeArrowheads="1"/>
                    </pic:cNvPicPr>
                  </pic:nvPicPr>
                  <pic:blipFill>
                    <a:blip r:embed="rId11"/>
                    <a:srcRect l="0" t="4436" r="0" b="0"/>
                    <a:stretch>
                      <a:fillRect/>
                    </a:stretch>
                  </pic:blipFill>
                  <pic:spPr bwMode="auto">
                    <a:xfrm>
                      <a:off x="0" y="0"/>
                      <a:ext cx="7901305" cy="5029835"/>
                    </a:xfrm>
                    <a:prstGeom prst="rect">
                      <a:avLst/>
                    </a:prstGeom>
                  </pic:spPr>
                </pic:pic>
              </a:graphicData>
            </a:graphic>
          </wp:inline>
        </w:drawing>
      </w:r>
    </w:p>
    <w:p>
      <w:pPr>
        <w:pStyle w:val="normal1"/>
        <w:spacing w:lineRule="auto" w:line="276"/>
        <w:rPr>
          <w:b/>
          <w:bCs/>
        </w:rPr>
      </w:pPr>
      <w:r>
        <w:rPr>
          <w:b/>
          <w:bCs/>
        </w:rPr>
        <w:t xml:space="preserve">Figure S6: (A) </w:t>
      </w:r>
      <w:r>
        <w:rPr/>
        <w:t>Model-predicted relationship between CEI and number of eponyms. Black points represent raw data points, while the red line represents the central tendency of the relationship (posterior median, marginalized over colonizers), when nationality is assigned by country of birth;</w:t>
      </w:r>
      <w:r>
        <w:rPr>
          <w:b/>
          <w:bCs/>
        </w:rPr>
        <w:t xml:space="preserve"> (B)</w:t>
      </w:r>
      <w:r>
        <w:rPr/>
        <w:t xml:space="preserve"> Actual effects of CEI on the number of eponyms (scientific names) for each European colonizer. In the top row, the scale is absolute and represents the actual number of predicted eponyms on the vertical axis. </w:t>
      </w:r>
      <w:r>
        <w:rPr>
          <w:b/>
          <w:bCs/>
        </w:rPr>
        <w:t xml:space="preserve">(C) </w:t>
      </w:r>
      <w:r>
        <w:rPr/>
        <w:t xml:space="preserve">Latent scale parameter estimates with the 95% confidence intervals of the Poisson-component intercepts, effect size of Colonial Exposure Index (CEI) and the Zero-inflated-component intercept on the number of eponyms for each colonizer (in scientific names). </w:t>
      </w:r>
      <w:r>
        <w:br w:type="page"/>
      </w:r>
    </w:p>
    <w:p>
      <w:pPr>
        <w:pStyle w:val="normal1"/>
        <w:spacing w:lineRule="auto" w:line="276" w:before="0" w:after="0"/>
        <w:rPr/>
      </w:pPr>
      <w:r>
        <w:rPr>
          <w:b/>
          <w:bCs/>
        </w:rPr>
        <w:t>Table S7: Model estimates of the relationship between national counts of scientific name eponyms and colonizers CEI scores for the country – when using nationality assigned by country of birth, not following our decision tree.</w:t>
      </w:r>
      <w:r>
        <w:rPr/>
        <w:t xml:space="preserve"> The model includes observation-level random effects and random intercepts for countries and colonizing powers. R-hat was 1 with effective sample sizes (ESS) over 5000 for all parameters, indicating good convergence and reliable posterior estimation in the model.</w:t>
      </w:r>
    </w:p>
    <w:p>
      <w:pPr>
        <w:pStyle w:val="normal1"/>
        <w:spacing w:lineRule="auto" w:line="276"/>
        <w:rPr/>
      </w:pPr>
      <w:r>
        <w:rPr/>
      </w:r>
    </w:p>
    <w:tbl>
      <w:tblPr>
        <w:tblStyle w:val="Table7"/>
        <w:tblpPr w:vertAnchor="text" w:horzAnchor="text" w:bottomFromText="180" w:leftFromText="180" w:rightFromText="180" w:topFromText="180" w:tblpX="15" w:tblpY="0"/>
        <w:tblW w:w="10560" w:type="dxa"/>
        <w:jc w:val="left"/>
        <w:tblInd w:w="-10" w:type="dxa"/>
        <w:tblLayout w:type="fixed"/>
        <w:tblCellMar>
          <w:top w:w="40" w:type="dxa"/>
          <w:left w:w="40" w:type="dxa"/>
          <w:bottom w:w="40" w:type="dxa"/>
          <w:right w:w="40" w:type="dxa"/>
        </w:tblCellMar>
        <w:tblLook w:val="0600"/>
      </w:tblPr>
      <w:tblGrid>
        <w:gridCol w:w="2175"/>
        <w:gridCol w:w="2174"/>
        <w:gridCol w:w="1035"/>
        <w:gridCol w:w="1036"/>
        <w:gridCol w:w="1035"/>
        <w:gridCol w:w="1020"/>
        <w:gridCol w:w="1050"/>
        <w:gridCol w:w="1033"/>
      </w:tblGrid>
      <w:tr>
        <w:trPr>
          <w:tblHeader w:val="true"/>
          <w:trHeight w:val="320" w:hRule="atLeast"/>
        </w:trPr>
        <w:tc>
          <w:tcPr>
            <w:tcW w:w="2175" w:type="dxa"/>
            <w:vMerge w:val="restart"/>
            <w:tcBorders>
              <w:top w:val="single" w:sz="8" w:space="0" w:color="000000"/>
              <w:left w:val="single" w:sz="8" w:space="0" w:color="000000"/>
              <w:bottom w:val="single" w:sz="8" w:space="0" w:color="000000"/>
              <w:right w:val="single" w:sz="8" w:space="0" w:color="000000"/>
            </w:tcBorders>
            <w:shd w:fill="B7B7B7" w:val="clear"/>
            <w:vAlign w:val="bottom"/>
          </w:tcPr>
          <w:p>
            <w:pPr>
              <w:pStyle w:val="normal1"/>
              <w:widowControl w:val="false"/>
              <w:jc w:val="center"/>
              <w:rPr>
                <w:sz w:val="24"/>
                <w:szCs w:val="24"/>
              </w:rPr>
            </w:pPr>
            <w:r>
              <w:rPr>
                <w:b/>
                <w:bCs/>
                <w:sz w:val="24"/>
                <w:szCs w:val="24"/>
              </w:rPr>
              <w:t>Term</w:t>
            </w:r>
          </w:p>
        </w:tc>
        <w:tc>
          <w:tcPr>
            <w:tcW w:w="2174" w:type="dxa"/>
            <w:vMerge w:val="restart"/>
            <w:tcBorders>
              <w:top w:val="single" w:sz="8" w:space="0" w:color="000000"/>
              <w:left w:val="single" w:sz="8" w:space="0" w:color="000000"/>
              <w:bottom w:val="single" w:sz="8" w:space="0" w:color="000000"/>
              <w:right w:val="single" w:sz="8" w:space="0" w:color="000000"/>
            </w:tcBorders>
            <w:shd w:fill="B7B7B7" w:val="clear"/>
            <w:vAlign w:val="bottom"/>
          </w:tcPr>
          <w:p>
            <w:pPr>
              <w:pStyle w:val="normal1"/>
              <w:widowControl w:val="false"/>
              <w:jc w:val="center"/>
              <w:rPr>
                <w:b/>
                <w:bCs/>
                <w:sz w:val="24"/>
                <w:szCs w:val="24"/>
              </w:rPr>
            </w:pPr>
            <w:r>
              <w:rPr>
                <w:b/>
                <w:bCs/>
                <w:sz w:val="24"/>
                <w:szCs w:val="24"/>
              </w:rPr>
              <w:t>Effect type</w:t>
            </w:r>
          </w:p>
        </w:tc>
        <w:tc>
          <w:tcPr>
            <w:tcW w:w="3106" w:type="dxa"/>
            <w:gridSpan w:val="3"/>
            <w:tcBorders>
              <w:top w:val="single" w:sz="8" w:space="0" w:color="000000"/>
              <w:left w:val="single" w:sz="8" w:space="0" w:color="000000"/>
              <w:bottom w:val="single" w:sz="8" w:space="0" w:color="000000"/>
              <w:right w:val="single" w:sz="8" w:space="0" w:color="000000"/>
            </w:tcBorders>
            <w:shd w:fill="B7B7B7" w:val="clear"/>
            <w:vAlign w:val="center"/>
          </w:tcPr>
          <w:p>
            <w:pPr>
              <w:pStyle w:val="normal1"/>
              <w:widowControl w:val="false"/>
              <w:jc w:val="center"/>
              <w:rPr>
                <w:b/>
                <w:bCs/>
                <w:sz w:val="24"/>
                <w:szCs w:val="24"/>
              </w:rPr>
            </w:pPr>
            <w:r>
              <w:rPr>
                <w:b/>
                <w:bCs/>
                <w:sz w:val="24"/>
                <w:szCs w:val="24"/>
              </w:rPr>
              <w:t>Poisson component</w:t>
            </w:r>
          </w:p>
        </w:tc>
        <w:tc>
          <w:tcPr>
            <w:tcW w:w="3103" w:type="dxa"/>
            <w:gridSpan w:val="3"/>
            <w:tcBorders>
              <w:top w:val="single" w:sz="8" w:space="0" w:color="000000"/>
              <w:left w:val="single" w:sz="8" w:space="0" w:color="000000"/>
              <w:bottom w:val="single" w:sz="8" w:space="0" w:color="000000"/>
              <w:right w:val="single" w:sz="8" w:space="0" w:color="000000"/>
            </w:tcBorders>
            <w:shd w:fill="B7B7B7" w:val="clear"/>
            <w:vAlign w:val="center"/>
          </w:tcPr>
          <w:p>
            <w:pPr>
              <w:pStyle w:val="normal1"/>
              <w:widowControl w:val="false"/>
              <w:jc w:val="center"/>
              <w:rPr>
                <w:b/>
                <w:bCs/>
                <w:sz w:val="24"/>
                <w:szCs w:val="24"/>
              </w:rPr>
            </w:pPr>
            <w:r>
              <w:rPr>
                <w:b/>
                <w:bCs/>
                <w:sz w:val="24"/>
                <w:szCs w:val="24"/>
              </w:rPr>
              <w:t>Zero-inflated Component</w:t>
            </w:r>
          </w:p>
        </w:tc>
      </w:tr>
      <w:tr>
        <w:trPr>
          <w:tblHeader w:val="true"/>
          <w:trHeight w:val="320" w:hRule="atLeast"/>
        </w:trPr>
        <w:tc>
          <w:tcPr>
            <w:tcW w:w="2175" w:type="dxa"/>
            <w:vMerge w:val="continue"/>
            <w:tcBorders>
              <w:top w:val="single" w:sz="8" w:space="0" w:color="000000"/>
              <w:left w:val="single" w:sz="8" w:space="0" w:color="000000"/>
              <w:bottom w:val="single" w:sz="8" w:space="0" w:color="000000"/>
              <w:right w:val="single" w:sz="8" w:space="0" w:color="000000"/>
            </w:tcBorders>
            <w:shd w:fill="B7B7B7" w:val="clear"/>
            <w:vAlign w:val="bottom"/>
          </w:tcPr>
          <w:p>
            <w:pPr>
              <w:pStyle w:val="normal1"/>
              <w:widowControl w:val="false"/>
              <w:spacing w:lineRule="auto" w:line="240"/>
              <w:jc w:val="center"/>
              <w:rPr>
                <w:sz w:val="24"/>
                <w:szCs w:val="24"/>
              </w:rPr>
            </w:pPr>
            <w:r>
              <w:rPr>
                <w:sz w:val="24"/>
                <w:szCs w:val="24"/>
              </w:rPr>
            </w:r>
          </w:p>
        </w:tc>
        <w:tc>
          <w:tcPr>
            <w:tcW w:w="2174" w:type="dxa"/>
            <w:vMerge w:val="continue"/>
            <w:tcBorders>
              <w:top w:val="single" w:sz="8" w:space="0" w:color="000000"/>
              <w:left w:val="single" w:sz="8" w:space="0" w:color="000000"/>
              <w:bottom w:val="single" w:sz="8" w:space="0" w:color="000000"/>
              <w:right w:val="single" w:sz="8" w:space="0" w:color="000000"/>
            </w:tcBorders>
            <w:shd w:fill="B7B7B7" w:val="clear"/>
            <w:vAlign w:val="bottom"/>
          </w:tcPr>
          <w:p>
            <w:pPr>
              <w:pStyle w:val="normal1"/>
              <w:widowControl w:val="false"/>
              <w:spacing w:lineRule="auto" w:line="240"/>
              <w:jc w:val="center"/>
              <w:rPr>
                <w:sz w:val="24"/>
                <w:szCs w:val="24"/>
              </w:rPr>
            </w:pPr>
            <w:r>
              <w:rPr>
                <w:sz w:val="24"/>
                <w:szCs w:val="24"/>
              </w:rPr>
            </w:r>
          </w:p>
        </w:tc>
        <w:tc>
          <w:tcPr>
            <w:tcW w:w="1035"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pPr>
            <w:r>
              <w:rPr>
                <w:b/>
                <w:bCs/>
              </w:rPr>
              <w:t>Estimate</w:t>
            </w:r>
          </w:p>
        </w:tc>
        <w:tc>
          <w:tcPr>
            <w:tcW w:w="1036"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pPr>
            <w:r>
              <w:rPr>
                <w:b/>
                <w:bCs/>
              </w:rPr>
              <w:t>Q2.5</w:t>
            </w:r>
          </w:p>
        </w:tc>
        <w:tc>
          <w:tcPr>
            <w:tcW w:w="1035"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pPr>
            <w:r>
              <w:rPr>
                <w:b/>
                <w:bCs/>
              </w:rPr>
              <w:t>Q97.5</w:t>
            </w:r>
          </w:p>
        </w:tc>
        <w:tc>
          <w:tcPr>
            <w:tcW w:w="1020"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pPr>
            <w:r>
              <w:rPr>
                <w:b/>
                <w:bCs/>
              </w:rPr>
              <w:t>Estimate</w:t>
            </w:r>
          </w:p>
        </w:tc>
        <w:tc>
          <w:tcPr>
            <w:tcW w:w="1050"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pPr>
            <w:r>
              <w:rPr>
                <w:b/>
                <w:bCs/>
              </w:rPr>
              <w:t>Q2.5</w:t>
            </w:r>
          </w:p>
        </w:tc>
        <w:tc>
          <w:tcPr>
            <w:tcW w:w="1033"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pPr>
            <w:r>
              <w:rPr>
                <w:b/>
                <w:bCs/>
              </w:rPr>
              <w:t>Q97.5</w:t>
            </w:r>
          </w:p>
        </w:tc>
      </w:tr>
      <w:tr>
        <w:trPr>
          <w:tblHeader w:val="true"/>
        </w:trPr>
        <w:tc>
          <w:tcPr>
            <w:tcW w:w="217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sz w:val="24"/>
                <w:szCs w:val="24"/>
              </w:rPr>
            </w:pPr>
            <w:r>
              <w:rPr>
                <w:b/>
                <w:bCs/>
                <w:sz w:val="24"/>
                <w:szCs w:val="24"/>
              </w:rPr>
              <w:t xml:space="preserve">Intercept </w:t>
            </w:r>
          </w:p>
        </w:tc>
        <w:tc>
          <w:tcPr>
            <w:tcW w:w="2174"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Fixed</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-5.97</w:t>
            </w:r>
          </w:p>
        </w:tc>
        <w:tc>
          <w:tcPr>
            <w:tcW w:w="1036"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-7.63</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-4.3</w:t>
            </w:r>
          </w:p>
        </w:tc>
        <w:tc>
          <w:tcPr>
            <w:tcW w:w="1020"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-2.99</w:t>
            </w:r>
          </w:p>
        </w:tc>
        <w:tc>
          <w:tcPr>
            <w:tcW w:w="1050"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-7.36</w:t>
            </w:r>
          </w:p>
        </w:tc>
        <w:tc>
          <w:tcPr>
            <w:tcW w:w="1033"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0.99</w:t>
            </w:r>
          </w:p>
        </w:tc>
      </w:tr>
      <w:tr>
        <w:trPr/>
        <w:tc>
          <w:tcPr>
            <w:tcW w:w="217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sz w:val="24"/>
                <w:szCs w:val="24"/>
              </w:rPr>
            </w:pPr>
            <w:r>
              <w:rPr>
                <w:b/>
                <w:bCs/>
                <w:sz w:val="24"/>
                <w:szCs w:val="24"/>
              </w:rPr>
              <w:t xml:space="preserve">CEI </w:t>
            </w:r>
          </w:p>
        </w:tc>
        <w:tc>
          <w:tcPr>
            <w:tcW w:w="2174"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Fixed</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1.24</w:t>
            </w:r>
          </w:p>
        </w:tc>
        <w:tc>
          <w:tcPr>
            <w:tcW w:w="1036"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0.42</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2.13</w:t>
            </w:r>
          </w:p>
        </w:tc>
        <w:tc>
          <w:tcPr>
            <w:tcW w:w="1020"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-0.39</w:t>
            </w:r>
          </w:p>
        </w:tc>
        <w:tc>
          <w:tcPr>
            <w:tcW w:w="1050"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-2.69</w:t>
            </w:r>
          </w:p>
        </w:tc>
        <w:tc>
          <w:tcPr>
            <w:tcW w:w="1033"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1.79</w:t>
            </w:r>
          </w:p>
        </w:tc>
      </w:tr>
      <w:tr>
        <w:trPr/>
        <w:tc>
          <w:tcPr>
            <w:tcW w:w="217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colonizer-level intercepts</w:t>
            </w:r>
          </w:p>
        </w:tc>
        <w:tc>
          <w:tcPr>
            <w:tcW w:w="2174"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Random</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2.35</w:t>
            </w:r>
          </w:p>
        </w:tc>
        <w:tc>
          <w:tcPr>
            <w:tcW w:w="1036"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1.41</w:t>
            </w:r>
          </w:p>
        </w:tc>
        <w:tc>
          <w:tcPr>
            <w:tcW w:w="1035" w:type="dxa"/>
            <w:tcBorders>
              <w:top w:val="single" w:sz="8" w:space="0" w:color="000000"/>
              <w:left w:val="single" w:sz="8" w:space="0" w:color="000000"/>
              <w:bottom w:val="single" w:sz="4" w:space="0" w:color="000000"/>
              <w:right w:val="single" w:sz="8" w:space="0" w:color="000000"/>
            </w:tcBorders>
            <w:vAlign w:val="center"/>
          </w:tcPr>
          <w:p>
            <w:pPr>
              <w:pStyle w:val="normal1"/>
              <w:widowControl w:val="false"/>
              <w:jc w:val="center"/>
              <w:rPr>
                <w:sz w:val="24"/>
                <w:szCs w:val="24"/>
              </w:rPr>
            </w:pPr>
            <w:r>
              <w:rPr>
                <w:sz w:val="24"/>
                <w:szCs w:val="24"/>
              </w:rPr>
              <w:t>3.97</w:t>
            </w:r>
          </w:p>
        </w:tc>
        <w:tc>
          <w:tcPr>
            <w:tcW w:w="1020" w:type="dxa"/>
            <w:tcBorders>
              <w:top w:val="single" w:sz="8" w:space="0" w:color="000000"/>
              <w:left w:val="single" w:sz="8" w:space="0" w:color="000000"/>
              <w:bottom w:val="single" w:sz="4" w:space="0" w:color="000000"/>
              <w:right w:val="single" w:sz="8" w:space="0" w:color="000000"/>
            </w:tcBorders>
            <w:vAlign w:val="center"/>
          </w:tcPr>
          <w:p>
            <w:pPr>
              <w:pStyle w:val="normal1"/>
              <w:widowControl w:val="false"/>
              <w:jc w:val="center"/>
              <w:rPr>
                <w:sz w:val="24"/>
                <w:szCs w:val="24"/>
              </w:rPr>
            </w:pPr>
            <w:r>
              <w:rPr>
                <w:sz w:val="24"/>
                <w:szCs w:val="24"/>
              </w:rPr>
              <w:t>8.09</w:t>
            </w:r>
          </w:p>
        </w:tc>
        <w:tc>
          <w:tcPr>
            <w:tcW w:w="1050" w:type="dxa"/>
            <w:tcBorders>
              <w:top w:val="single" w:sz="8" w:space="0" w:color="000000"/>
              <w:left w:val="single" w:sz="8" w:space="0" w:color="000000"/>
              <w:bottom w:val="single" w:sz="4" w:space="0" w:color="000000"/>
              <w:right w:val="single" w:sz="8" w:space="0" w:color="000000"/>
            </w:tcBorders>
            <w:vAlign w:val="center"/>
          </w:tcPr>
          <w:p>
            <w:pPr>
              <w:pStyle w:val="normal1"/>
              <w:widowControl w:val="false"/>
              <w:jc w:val="center"/>
              <w:rPr>
                <w:sz w:val="24"/>
                <w:szCs w:val="24"/>
              </w:rPr>
            </w:pPr>
            <w:r>
              <w:rPr>
                <w:sz w:val="24"/>
                <w:szCs w:val="24"/>
              </w:rPr>
              <w:t>2.53</w:t>
            </w:r>
          </w:p>
        </w:tc>
        <w:tc>
          <w:tcPr>
            <w:tcW w:w="1033" w:type="dxa"/>
            <w:tcBorders>
              <w:top w:val="single" w:sz="8" w:space="0" w:color="000000"/>
              <w:left w:val="single" w:sz="8" w:space="0" w:color="000000"/>
              <w:bottom w:val="single" w:sz="4" w:space="0" w:color="000000"/>
              <w:right w:val="single" w:sz="8" w:space="0" w:color="000000"/>
            </w:tcBorders>
            <w:vAlign w:val="center"/>
          </w:tcPr>
          <w:p>
            <w:pPr>
              <w:pStyle w:val="normal1"/>
              <w:widowControl w:val="false"/>
              <w:jc w:val="center"/>
              <w:rPr>
                <w:sz w:val="24"/>
                <w:szCs w:val="24"/>
              </w:rPr>
            </w:pPr>
            <w:r>
              <w:rPr>
                <w:sz w:val="24"/>
                <w:szCs w:val="24"/>
              </w:rPr>
              <w:t>25.22</w:t>
            </w:r>
          </w:p>
        </w:tc>
      </w:tr>
      <w:tr>
        <w:trPr/>
        <w:tc>
          <w:tcPr>
            <w:tcW w:w="217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Country-level intercepts</w:t>
            </w:r>
          </w:p>
        </w:tc>
        <w:tc>
          <w:tcPr>
            <w:tcW w:w="2174"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Random</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0.31</w:t>
            </w:r>
          </w:p>
        </w:tc>
        <w:tc>
          <w:tcPr>
            <w:tcW w:w="1036" w:type="dxa"/>
            <w:tcBorders>
              <w:top w:val="single" w:sz="8" w:space="0" w:color="000000"/>
              <w:left w:val="single" w:sz="8" w:space="0" w:color="000000"/>
              <w:bottom w:val="single" w:sz="8" w:space="0" w:color="000000"/>
              <w:right w:val="single" w:sz="4" w:space="0" w:color="000000"/>
            </w:tcBorders>
            <w:vAlign w:val="center"/>
          </w:tcPr>
          <w:p>
            <w:pPr>
              <w:pStyle w:val="normal1"/>
              <w:widowControl w:val="false"/>
              <w:jc w:val="center"/>
              <w:rPr>
                <w:sz w:val="24"/>
                <w:szCs w:val="24"/>
              </w:rPr>
            </w:pPr>
            <w:r>
              <w:rPr>
                <w:sz w:val="24"/>
                <w:szCs w:val="24"/>
              </w:rPr>
              <w:t>0.24</w:t>
            </w:r>
          </w:p>
        </w:tc>
        <w:tc>
          <w:tcPr>
            <w:tcW w:w="1035"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0.39</w:t>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1.37</w:t>
            </w:r>
          </w:p>
        </w:tc>
        <w:tc>
          <w:tcPr>
            <w:tcW w:w="1050"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0.05</w:t>
            </w:r>
          </w:p>
        </w:tc>
        <w:tc>
          <w:tcPr>
            <w:tcW w:w="1033"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4.69</w:t>
            </w:r>
          </w:p>
        </w:tc>
      </w:tr>
      <w:tr>
        <w:trPr/>
        <w:tc>
          <w:tcPr>
            <w:tcW w:w="217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Observation-level effect</w:t>
            </w:r>
          </w:p>
        </w:tc>
        <w:tc>
          <w:tcPr>
            <w:tcW w:w="2174"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Random</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0.40</w:t>
            </w:r>
          </w:p>
        </w:tc>
        <w:tc>
          <w:tcPr>
            <w:tcW w:w="1036" w:type="dxa"/>
            <w:tcBorders>
              <w:top w:val="single" w:sz="8" w:space="0" w:color="000000"/>
              <w:left w:val="single" w:sz="8" w:space="0" w:color="000000"/>
              <w:bottom w:val="single" w:sz="8" w:space="0" w:color="000000"/>
              <w:right w:val="single" w:sz="4" w:space="0" w:color="000000"/>
            </w:tcBorders>
            <w:vAlign w:val="center"/>
          </w:tcPr>
          <w:p>
            <w:pPr>
              <w:pStyle w:val="normal1"/>
              <w:widowControl w:val="false"/>
              <w:jc w:val="center"/>
              <w:rPr>
                <w:sz w:val="24"/>
                <w:szCs w:val="24"/>
              </w:rPr>
            </w:pPr>
            <w:r>
              <w:rPr>
                <w:sz w:val="24"/>
                <w:szCs w:val="24"/>
              </w:rPr>
              <w:t>0.35</w:t>
            </w:r>
          </w:p>
        </w:tc>
        <w:tc>
          <w:tcPr>
            <w:tcW w:w="1035"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0.45</w:t>
            </w:r>
          </w:p>
        </w:tc>
        <w:tc>
          <w:tcPr>
            <w:tcW w:w="1020" w:type="dxa"/>
            <w:tcBorders>
              <w:top w:val="single" w:sz="4" w:space="0" w:color="000000"/>
              <w:left w:val="single" w:sz="4" w:space="0" w:color="000000"/>
            </w:tcBorders>
            <w:vAlign w:val="center"/>
          </w:tcPr>
          <w:p>
            <w:pPr>
              <w:pStyle w:val="normal1"/>
              <w:widowControl w:val="false"/>
              <w:jc w:val="center"/>
              <w:rPr>
                <w:sz w:val="24"/>
                <w:szCs w:val="24"/>
              </w:rPr>
            </w:pPr>
            <w:r>
              <w:rPr>
                <w:sz w:val="24"/>
                <w:szCs w:val="24"/>
              </w:rPr>
            </w:r>
          </w:p>
        </w:tc>
        <w:tc>
          <w:tcPr>
            <w:tcW w:w="1050" w:type="dxa"/>
            <w:tcBorders>
              <w:top w:val="single" w:sz="4" w:space="0" w:color="000000"/>
            </w:tcBorders>
            <w:vAlign w:val="center"/>
          </w:tcPr>
          <w:p>
            <w:pPr>
              <w:pStyle w:val="normal1"/>
              <w:widowControl w:val="false"/>
              <w:jc w:val="center"/>
              <w:rPr>
                <w:sz w:val="24"/>
                <w:szCs w:val="24"/>
              </w:rPr>
            </w:pPr>
            <w:r>
              <w:rPr>
                <w:sz w:val="24"/>
                <w:szCs w:val="24"/>
              </w:rPr>
            </w:r>
          </w:p>
        </w:tc>
        <w:tc>
          <w:tcPr>
            <w:tcW w:w="1033" w:type="dxa"/>
            <w:tcBorders>
              <w:top w:val="single" w:sz="4" w:space="0" w:color="000000"/>
            </w:tcBorders>
            <w:vAlign w:val="center"/>
          </w:tcPr>
          <w:p>
            <w:pPr>
              <w:pStyle w:val="normal1"/>
              <w:widowControl w:val="false"/>
              <w:jc w:val="center"/>
              <w:rPr>
                <w:sz w:val="24"/>
                <w:szCs w:val="24"/>
              </w:rPr>
            </w:pPr>
            <w:r>
              <w:rPr>
                <w:sz w:val="24"/>
                <w:szCs w:val="24"/>
              </w:rPr>
            </w:r>
          </w:p>
        </w:tc>
      </w:tr>
      <w:tr>
        <w:trPr/>
        <w:tc>
          <w:tcPr>
            <w:tcW w:w="217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colonizer-level slopes</w:t>
            </w:r>
          </w:p>
        </w:tc>
        <w:tc>
          <w:tcPr>
            <w:tcW w:w="2174"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Random</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1.12</w:t>
            </w:r>
          </w:p>
        </w:tc>
        <w:tc>
          <w:tcPr>
            <w:tcW w:w="1036" w:type="dxa"/>
            <w:tcBorders>
              <w:top w:val="single" w:sz="8" w:space="0" w:color="000000"/>
              <w:left w:val="single" w:sz="8" w:space="0" w:color="000000"/>
              <w:bottom w:val="single" w:sz="8" w:space="0" w:color="000000"/>
              <w:right w:val="single" w:sz="4" w:space="0" w:color="000000"/>
            </w:tcBorders>
            <w:vAlign w:val="center"/>
          </w:tcPr>
          <w:p>
            <w:pPr>
              <w:pStyle w:val="normal1"/>
              <w:widowControl w:val="false"/>
              <w:jc w:val="center"/>
              <w:rPr>
                <w:sz w:val="24"/>
                <w:szCs w:val="24"/>
              </w:rPr>
            </w:pPr>
            <w:r>
              <w:rPr>
                <w:sz w:val="24"/>
                <w:szCs w:val="24"/>
              </w:rPr>
              <w:t>0.58</w:t>
            </w:r>
          </w:p>
        </w:tc>
        <w:tc>
          <w:tcPr>
            <w:tcW w:w="1035"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2.04</w:t>
            </w:r>
          </w:p>
        </w:tc>
        <w:tc>
          <w:tcPr>
            <w:tcW w:w="1020" w:type="dxa"/>
            <w:tcBorders>
              <w:left w:val="single" w:sz="4" w:space="0" w:color="000000"/>
            </w:tcBorders>
            <w:vAlign w:val="center"/>
          </w:tcPr>
          <w:p>
            <w:pPr>
              <w:pStyle w:val="normal1"/>
              <w:widowControl w:val="false"/>
              <w:jc w:val="center"/>
              <w:rPr>
                <w:sz w:val="24"/>
                <w:szCs w:val="24"/>
              </w:rPr>
            </w:pPr>
            <w:r>
              <w:rPr>
                <w:sz w:val="24"/>
                <w:szCs w:val="24"/>
              </w:rPr>
            </w:r>
          </w:p>
        </w:tc>
        <w:tc>
          <w:tcPr>
            <w:tcW w:w="1050" w:type="dxa"/>
            <w:tcBorders/>
            <w:vAlign w:val="center"/>
          </w:tcPr>
          <w:p>
            <w:pPr>
              <w:pStyle w:val="normal1"/>
              <w:widowControl w:val="false"/>
              <w:jc w:val="center"/>
              <w:rPr>
                <w:sz w:val="24"/>
                <w:szCs w:val="24"/>
              </w:rPr>
            </w:pPr>
            <w:r>
              <w:rPr>
                <w:sz w:val="24"/>
                <w:szCs w:val="24"/>
              </w:rPr>
            </w:r>
          </w:p>
        </w:tc>
        <w:tc>
          <w:tcPr>
            <w:tcW w:w="1033" w:type="dxa"/>
            <w:tcBorders/>
            <w:vAlign w:val="center"/>
          </w:tcPr>
          <w:p>
            <w:pPr>
              <w:pStyle w:val="normal1"/>
              <w:widowControl w:val="false"/>
              <w:jc w:val="center"/>
              <w:rPr>
                <w:sz w:val="24"/>
                <w:szCs w:val="24"/>
              </w:rPr>
            </w:pPr>
            <w:r>
              <w:rPr>
                <w:sz w:val="24"/>
                <w:szCs w:val="24"/>
              </w:rPr>
            </w:r>
          </w:p>
        </w:tc>
      </w:tr>
      <w:tr>
        <w:trPr>
          <w:trHeight w:val="1147" w:hRule="atLeast"/>
        </w:trPr>
        <w:tc>
          <w:tcPr>
            <w:tcW w:w="217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sz w:val="24"/>
                <w:szCs w:val="24"/>
              </w:rPr>
            </w:pPr>
            <w:r>
              <w:rPr>
                <w:b/>
                <w:bCs/>
                <w:sz w:val="24"/>
                <w:szCs w:val="24"/>
              </w:rPr>
              <w:t>Correlation between colonizer-specific intercepts and slopes</w:t>
            </w:r>
          </w:p>
        </w:tc>
        <w:tc>
          <w:tcPr>
            <w:tcW w:w="2174"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Random</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-0.91</w:t>
            </w:r>
          </w:p>
        </w:tc>
        <w:tc>
          <w:tcPr>
            <w:tcW w:w="1036" w:type="dxa"/>
            <w:tcBorders>
              <w:top w:val="single" w:sz="8" w:space="0" w:color="000000"/>
              <w:left w:val="single" w:sz="8" w:space="0" w:color="000000"/>
              <w:bottom w:val="single" w:sz="8" w:space="0" w:color="000000"/>
              <w:right w:val="single" w:sz="4" w:space="0" w:color="000000"/>
            </w:tcBorders>
            <w:vAlign w:val="center"/>
          </w:tcPr>
          <w:p>
            <w:pPr>
              <w:pStyle w:val="normal1"/>
              <w:widowControl w:val="false"/>
              <w:jc w:val="center"/>
              <w:rPr>
                <w:sz w:val="24"/>
                <w:szCs w:val="24"/>
              </w:rPr>
            </w:pPr>
            <w:r>
              <w:rPr>
                <w:sz w:val="24"/>
                <w:szCs w:val="24"/>
              </w:rPr>
              <w:t>-1</w:t>
            </w:r>
          </w:p>
        </w:tc>
        <w:tc>
          <w:tcPr>
            <w:tcW w:w="1035"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-0.57</w:t>
            </w:r>
          </w:p>
        </w:tc>
        <w:tc>
          <w:tcPr>
            <w:tcW w:w="1020" w:type="dxa"/>
            <w:tcBorders>
              <w:left w:val="single" w:sz="4" w:space="0" w:color="000000"/>
            </w:tcBorders>
            <w:vAlign w:val="center"/>
          </w:tcPr>
          <w:p>
            <w:pPr>
              <w:pStyle w:val="normal1"/>
              <w:widowControl w:val="false"/>
              <w:jc w:val="center"/>
              <w:rPr>
                <w:sz w:val="24"/>
                <w:szCs w:val="24"/>
              </w:rPr>
            </w:pPr>
            <w:r>
              <w:rPr>
                <w:sz w:val="24"/>
                <w:szCs w:val="24"/>
              </w:rPr>
            </w:r>
          </w:p>
        </w:tc>
        <w:tc>
          <w:tcPr>
            <w:tcW w:w="1050" w:type="dxa"/>
            <w:tcBorders/>
            <w:vAlign w:val="center"/>
          </w:tcPr>
          <w:p>
            <w:pPr>
              <w:pStyle w:val="normal1"/>
              <w:widowControl w:val="false"/>
              <w:jc w:val="center"/>
              <w:rPr>
                <w:sz w:val="24"/>
                <w:szCs w:val="24"/>
              </w:rPr>
            </w:pPr>
            <w:r>
              <w:rPr>
                <w:sz w:val="24"/>
                <w:szCs w:val="24"/>
              </w:rPr>
            </w:r>
          </w:p>
        </w:tc>
        <w:tc>
          <w:tcPr>
            <w:tcW w:w="1033" w:type="dxa"/>
            <w:tcBorders/>
            <w:vAlign w:val="center"/>
          </w:tcPr>
          <w:p>
            <w:pPr>
              <w:pStyle w:val="normal1"/>
              <w:widowControl w:val="false"/>
              <w:jc w:val="center"/>
              <w:rPr>
                <w:sz w:val="24"/>
                <w:szCs w:val="24"/>
              </w:rPr>
            </w:pPr>
            <w:r>
              <w:rPr>
                <w:sz w:val="24"/>
                <w:szCs w:val="24"/>
              </w:rPr>
            </w:r>
          </w:p>
        </w:tc>
      </w:tr>
    </w:tbl>
    <w:p>
      <w:pPr>
        <w:pStyle w:val="normal1"/>
        <w:rPr/>
      </w:pPr>
      <w:r>
        <w:rPr/>
      </w:r>
      <w:r>
        <w:br w:type="page"/>
      </w:r>
    </w:p>
    <w:p>
      <w:pPr>
        <w:pStyle w:val="normal1"/>
        <w:spacing w:before="0" w:after="0"/>
        <w:rPr>
          <w:color w:val="85200C"/>
        </w:rPr>
      </w:pPr>
      <w:r>
        <w:rPr>
          <w:b/>
          <w:bCs/>
          <w:color w:val="85200C"/>
          <w:sz w:val="30"/>
          <w:szCs w:val="30"/>
        </w:rPr>
        <w:t>Supplementary Analysis 2: Excluding migratory species for analyses</w:t>
      </w:r>
    </w:p>
    <w:p>
      <w:pPr>
        <w:pStyle w:val="normal1"/>
        <w:rPr/>
      </w:pPr>
      <w:r>
        <w:rPr/>
        <w:drawing>
          <wp:inline distT="0" distB="0" distL="0" distR="0">
            <wp:extent cx="7917815" cy="5067935"/>
            <wp:effectExtent l="0" t="0" r="0" b="0"/>
            <wp:docPr id="7" name="image5.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descr=""/>
                    <pic:cNvPicPr>
                      <a:picLocks noChangeAspect="1" noChangeArrowheads="1"/>
                    </pic:cNvPicPr>
                  </pic:nvPicPr>
                  <pic:blipFill>
                    <a:blip r:embed="rId12"/>
                    <a:srcRect l="0" t="4020" r="0" b="0"/>
                    <a:stretch>
                      <a:fillRect/>
                    </a:stretch>
                  </pic:blipFill>
                  <pic:spPr bwMode="auto">
                    <a:xfrm>
                      <a:off x="0" y="0"/>
                      <a:ext cx="7917815" cy="5067935"/>
                    </a:xfrm>
                    <a:prstGeom prst="rect">
                      <a:avLst/>
                    </a:prstGeom>
                  </pic:spPr>
                </pic:pic>
              </a:graphicData>
            </a:graphic>
          </wp:inline>
        </w:drawing>
      </w:r>
    </w:p>
    <w:p>
      <w:pPr>
        <w:pStyle w:val="normal1"/>
        <w:spacing w:lineRule="auto" w:line="276"/>
        <w:rPr/>
      </w:pPr>
      <w:r>
        <w:rPr>
          <w:b/>
          <w:bCs/>
        </w:rPr>
        <w:t xml:space="preserve">Figure S7: (A) </w:t>
      </w:r>
      <w:r>
        <w:rPr/>
        <w:t>Model-predicted relationship between CEI and number of eponyms. Black points represent raw data points, while the red line represents the central tendency of the relationship (posterior median, marginalized over colonizers), when excluding all migratory species;</w:t>
      </w:r>
      <w:r>
        <w:rPr>
          <w:b/>
          <w:bCs/>
        </w:rPr>
        <w:t xml:space="preserve"> (B)</w:t>
      </w:r>
      <w:r>
        <w:rPr/>
        <w:t xml:space="preserve"> Actual effects of CEI on the number of eponyms (scientific names) for each European colonizer. In the top row, the scale is absolute and represents the actual number of predicted eponyms on the vertical axis. </w:t>
      </w:r>
      <w:r>
        <w:rPr>
          <w:b/>
          <w:bCs/>
        </w:rPr>
        <w:t xml:space="preserve">(C) </w:t>
      </w:r>
      <w:r>
        <w:rPr/>
        <w:t xml:space="preserve">Latent scale parameter estimates with the 95% confidence intervals of the Poisson-component intercepts, effect size of Colonial Exposure Index (CEI) and the Zero-inflated-component intercept on the number of eponyms for each colonizer (in scientific names). </w:t>
      </w:r>
      <w:r>
        <w:br w:type="page"/>
      </w:r>
    </w:p>
    <w:p>
      <w:pPr>
        <w:pStyle w:val="normal1"/>
        <w:spacing w:lineRule="auto" w:line="276" w:before="0" w:after="0"/>
        <w:rPr/>
      </w:pPr>
      <w:r>
        <w:rPr>
          <w:b/>
          <w:bCs/>
        </w:rPr>
        <w:t>Table S8: Model estimates of the relationship between national counts of scientific name eponyms and colonizers CEI scores for the country – when excluding all migratory species from analyses.</w:t>
      </w:r>
      <w:r>
        <w:rPr/>
        <w:t xml:space="preserve"> The model includes observation-level random effects and random intercepts for modern-day countries and colonial empires. R-hat was 1 with effective sample sizes (ESS) over 5000 for all parameters, indicating good convergence and reliable posterior estimation in the model.</w:t>
      </w:r>
    </w:p>
    <w:p>
      <w:pPr>
        <w:pStyle w:val="normal1"/>
        <w:spacing w:lineRule="auto" w:line="276"/>
        <w:rPr/>
      </w:pPr>
      <w:r>
        <w:rPr/>
      </w:r>
    </w:p>
    <w:tbl>
      <w:tblPr>
        <w:tblStyle w:val="Table8"/>
        <w:tblpPr w:vertAnchor="text" w:horzAnchor="text" w:bottomFromText="180" w:leftFromText="180" w:rightFromText="180" w:topFromText="180" w:tblpX="0" w:tblpY="0"/>
        <w:tblW w:w="10560" w:type="dxa"/>
        <w:jc w:val="left"/>
        <w:tblInd w:w="-10" w:type="dxa"/>
        <w:tblLayout w:type="fixed"/>
        <w:tblCellMar>
          <w:top w:w="40" w:type="dxa"/>
          <w:left w:w="40" w:type="dxa"/>
          <w:bottom w:w="40" w:type="dxa"/>
          <w:right w:w="40" w:type="dxa"/>
        </w:tblCellMar>
        <w:tblLook w:val="0600"/>
      </w:tblPr>
      <w:tblGrid>
        <w:gridCol w:w="2175"/>
        <w:gridCol w:w="2174"/>
        <w:gridCol w:w="1035"/>
        <w:gridCol w:w="1036"/>
        <w:gridCol w:w="1035"/>
        <w:gridCol w:w="1020"/>
        <w:gridCol w:w="1050"/>
        <w:gridCol w:w="1033"/>
      </w:tblGrid>
      <w:tr>
        <w:trPr>
          <w:tblHeader w:val="true"/>
          <w:trHeight w:val="320" w:hRule="atLeast"/>
        </w:trPr>
        <w:tc>
          <w:tcPr>
            <w:tcW w:w="2175" w:type="dxa"/>
            <w:vMerge w:val="restart"/>
            <w:tcBorders>
              <w:top w:val="single" w:sz="8" w:space="0" w:color="000000"/>
              <w:left w:val="single" w:sz="8" w:space="0" w:color="000000"/>
              <w:bottom w:val="single" w:sz="8" w:space="0" w:color="000000"/>
              <w:right w:val="single" w:sz="8" w:space="0" w:color="000000"/>
            </w:tcBorders>
            <w:shd w:fill="B7B7B7" w:val="clear"/>
            <w:vAlign w:val="bottom"/>
          </w:tcPr>
          <w:p>
            <w:pPr>
              <w:pStyle w:val="normal1"/>
              <w:widowControl w:val="false"/>
              <w:jc w:val="center"/>
              <w:rPr>
                <w:sz w:val="24"/>
                <w:szCs w:val="24"/>
              </w:rPr>
            </w:pPr>
            <w:r>
              <w:rPr>
                <w:b/>
                <w:bCs/>
                <w:sz w:val="24"/>
                <w:szCs w:val="24"/>
              </w:rPr>
              <w:t>Term</w:t>
            </w:r>
          </w:p>
        </w:tc>
        <w:tc>
          <w:tcPr>
            <w:tcW w:w="2174" w:type="dxa"/>
            <w:vMerge w:val="restart"/>
            <w:tcBorders>
              <w:top w:val="single" w:sz="8" w:space="0" w:color="000000"/>
              <w:left w:val="single" w:sz="8" w:space="0" w:color="000000"/>
              <w:bottom w:val="single" w:sz="8" w:space="0" w:color="000000"/>
              <w:right w:val="single" w:sz="8" w:space="0" w:color="000000"/>
            </w:tcBorders>
            <w:shd w:fill="B7B7B7" w:val="clear"/>
            <w:vAlign w:val="bottom"/>
          </w:tcPr>
          <w:p>
            <w:pPr>
              <w:pStyle w:val="normal1"/>
              <w:widowControl w:val="false"/>
              <w:jc w:val="center"/>
              <w:rPr>
                <w:b/>
                <w:bCs/>
                <w:sz w:val="24"/>
                <w:szCs w:val="24"/>
              </w:rPr>
            </w:pPr>
            <w:r>
              <w:rPr>
                <w:b/>
                <w:bCs/>
                <w:sz w:val="24"/>
                <w:szCs w:val="24"/>
              </w:rPr>
              <w:t>Effect type</w:t>
            </w:r>
          </w:p>
        </w:tc>
        <w:tc>
          <w:tcPr>
            <w:tcW w:w="3106" w:type="dxa"/>
            <w:gridSpan w:val="3"/>
            <w:tcBorders>
              <w:top w:val="single" w:sz="8" w:space="0" w:color="000000"/>
              <w:left w:val="single" w:sz="8" w:space="0" w:color="000000"/>
              <w:bottom w:val="single" w:sz="8" w:space="0" w:color="000000"/>
              <w:right w:val="single" w:sz="8" w:space="0" w:color="000000"/>
            </w:tcBorders>
            <w:shd w:fill="B7B7B7" w:val="clear"/>
            <w:vAlign w:val="center"/>
          </w:tcPr>
          <w:p>
            <w:pPr>
              <w:pStyle w:val="normal1"/>
              <w:widowControl w:val="false"/>
              <w:jc w:val="center"/>
              <w:rPr>
                <w:b/>
                <w:bCs/>
                <w:sz w:val="24"/>
                <w:szCs w:val="24"/>
              </w:rPr>
            </w:pPr>
            <w:r>
              <w:rPr>
                <w:b/>
                <w:bCs/>
                <w:sz w:val="24"/>
                <w:szCs w:val="24"/>
              </w:rPr>
              <w:t>Poisson component</w:t>
            </w:r>
          </w:p>
        </w:tc>
        <w:tc>
          <w:tcPr>
            <w:tcW w:w="3103" w:type="dxa"/>
            <w:gridSpan w:val="3"/>
            <w:tcBorders>
              <w:top w:val="single" w:sz="8" w:space="0" w:color="000000"/>
              <w:left w:val="single" w:sz="8" w:space="0" w:color="000000"/>
              <w:bottom w:val="single" w:sz="8" w:space="0" w:color="000000"/>
              <w:right w:val="single" w:sz="8" w:space="0" w:color="000000"/>
            </w:tcBorders>
            <w:shd w:fill="B7B7B7" w:val="clear"/>
            <w:vAlign w:val="center"/>
          </w:tcPr>
          <w:p>
            <w:pPr>
              <w:pStyle w:val="normal1"/>
              <w:widowControl w:val="false"/>
              <w:jc w:val="center"/>
              <w:rPr>
                <w:b/>
                <w:bCs/>
                <w:sz w:val="24"/>
                <w:szCs w:val="24"/>
              </w:rPr>
            </w:pPr>
            <w:r>
              <w:rPr>
                <w:b/>
                <w:bCs/>
                <w:sz w:val="24"/>
                <w:szCs w:val="24"/>
              </w:rPr>
              <w:t>Zero-inflated Component</w:t>
            </w:r>
          </w:p>
        </w:tc>
      </w:tr>
      <w:tr>
        <w:trPr>
          <w:tblHeader w:val="true"/>
          <w:trHeight w:val="320" w:hRule="atLeast"/>
        </w:trPr>
        <w:tc>
          <w:tcPr>
            <w:tcW w:w="2175" w:type="dxa"/>
            <w:vMerge w:val="continue"/>
            <w:tcBorders>
              <w:top w:val="single" w:sz="8" w:space="0" w:color="000000"/>
              <w:left w:val="single" w:sz="8" w:space="0" w:color="000000"/>
              <w:bottom w:val="single" w:sz="8" w:space="0" w:color="000000"/>
              <w:right w:val="single" w:sz="8" w:space="0" w:color="000000"/>
            </w:tcBorders>
            <w:shd w:fill="B7B7B7" w:val="clear"/>
            <w:vAlign w:val="bottom"/>
          </w:tcPr>
          <w:p>
            <w:pPr>
              <w:pStyle w:val="normal1"/>
              <w:widowControl w:val="false"/>
              <w:spacing w:lineRule="auto" w:line="240"/>
              <w:jc w:val="center"/>
              <w:rPr>
                <w:sz w:val="24"/>
                <w:szCs w:val="24"/>
              </w:rPr>
            </w:pPr>
            <w:r>
              <w:rPr>
                <w:sz w:val="24"/>
                <w:szCs w:val="24"/>
              </w:rPr>
            </w:r>
          </w:p>
        </w:tc>
        <w:tc>
          <w:tcPr>
            <w:tcW w:w="2174" w:type="dxa"/>
            <w:vMerge w:val="continue"/>
            <w:tcBorders>
              <w:top w:val="single" w:sz="8" w:space="0" w:color="000000"/>
              <w:left w:val="single" w:sz="8" w:space="0" w:color="000000"/>
              <w:bottom w:val="single" w:sz="8" w:space="0" w:color="000000"/>
              <w:right w:val="single" w:sz="8" w:space="0" w:color="000000"/>
            </w:tcBorders>
            <w:shd w:fill="B7B7B7" w:val="clear"/>
            <w:vAlign w:val="bottom"/>
          </w:tcPr>
          <w:p>
            <w:pPr>
              <w:pStyle w:val="normal1"/>
              <w:widowControl w:val="false"/>
              <w:spacing w:lineRule="auto" w:line="240"/>
              <w:jc w:val="center"/>
              <w:rPr>
                <w:sz w:val="24"/>
                <w:szCs w:val="24"/>
              </w:rPr>
            </w:pPr>
            <w:r>
              <w:rPr>
                <w:sz w:val="24"/>
                <w:szCs w:val="24"/>
              </w:rPr>
            </w:r>
          </w:p>
        </w:tc>
        <w:tc>
          <w:tcPr>
            <w:tcW w:w="1035"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pPr>
            <w:r>
              <w:rPr>
                <w:b/>
                <w:bCs/>
              </w:rPr>
              <w:t>Estimate</w:t>
            </w:r>
          </w:p>
        </w:tc>
        <w:tc>
          <w:tcPr>
            <w:tcW w:w="1036"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pPr>
            <w:r>
              <w:rPr>
                <w:b/>
                <w:bCs/>
              </w:rPr>
              <w:t>Q2.5</w:t>
            </w:r>
          </w:p>
        </w:tc>
        <w:tc>
          <w:tcPr>
            <w:tcW w:w="1035"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pPr>
            <w:r>
              <w:rPr>
                <w:b/>
                <w:bCs/>
              </w:rPr>
              <w:t>Q97.5</w:t>
            </w:r>
          </w:p>
        </w:tc>
        <w:tc>
          <w:tcPr>
            <w:tcW w:w="1020"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pPr>
            <w:r>
              <w:rPr>
                <w:b/>
                <w:bCs/>
              </w:rPr>
              <w:t>Estimate</w:t>
            </w:r>
          </w:p>
        </w:tc>
        <w:tc>
          <w:tcPr>
            <w:tcW w:w="1050"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pPr>
            <w:r>
              <w:rPr>
                <w:b/>
                <w:bCs/>
              </w:rPr>
              <w:t>Q2.5</w:t>
            </w:r>
          </w:p>
        </w:tc>
        <w:tc>
          <w:tcPr>
            <w:tcW w:w="1033" w:type="dxa"/>
            <w:tcBorders>
              <w:top w:val="single" w:sz="8" w:space="0" w:color="000000"/>
              <w:left w:val="single" w:sz="8" w:space="0" w:color="000000"/>
              <w:bottom w:val="single" w:sz="8" w:space="0" w:color="000000"/>
              <w:right w:val="single" w:sz="8" w:space="0" w:color="000000"/>
            </w:tcBorders>
            <w:shd w:fill="D9D9D9" w:val="clear"/>
            <w:vAlign w:val="bottom"/>
          </w:tcPr>
          <w:p>
            <w:pPr>
              <w:pStyle w:val="normal1"/>
              <w:widowControl w:val="false"/>
              <w:jc w:val="center"/>
              <w:rPr/>
            </w:pPr>
            <w:r>
              <w:rPr>
                <w:b/>
                <w:bCs/>
              </w:rPr>
              <w:t>Q97.5</w:t>
            </w:r>
          </w:p>
        </w:tc>
      </w:tr>
      <w:tr>
        <w:trPr>
          <w:tblHeader w:val="true"/>
        </w:trPr>
        <w:tc>
          <w:tcPr>
            <w:tcW w:w="217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sz w:val="24"/>
                <w:szCs w:val="24"/>
              </w:rPr>
            </w:pPr>
            <w:r>
              <w:rPr>
                <w:b/>
                <w:bCs/>
                <w:sz w:val="24"/>
                <w:szCs w:val="24"/>
              </w:rPr>
              <w:t xml:space="preserve">Intercept </w:t>
            </w:r>
          </w:p>
        </w:tc>
        <w:tc>
          <w:tcPr>
            <w:tcW w:w="2174"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Fixed</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-6.48</w:t>
            </w:r>
          </w:p>
        </w:tc>
        <w:tc>
          <w:tcPr>
            <w:tcW w:w="1036"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-8.16</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-4.94</w:t>
            </w:r>
          </w:p>
        </w:tc>
        <w:tc>
          <w:tcPr>
            <w:tcW w:w="1020"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-3.33</w:t>
            </w:r>
          </w:p>
        </w:tc>
        <w:tc>
          <w:tcPr>
            <w:tcW w:w="1050"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-7.26</w:t>
            </w:r>
          </w:p>
        </w:tc>
        <w:tc>
          <w:tcPr>
            <w:tcW w:w="1033"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0.48</w:t>
            </w:r>
          </w:p>
        </w:tc>
      </w:tr>
      <w:tr>
        <w:trPr/>
        <w:tc>
          <w:tcPr>
            <w:tcW w:w="217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sz w:val="24"/>
                <w:szCs w:val="24"/>
              </w:rPr>
            </w:pPr>
            <w:r>
              <w:rPr>
                <w:b/>
                <w:bCs/>
                <w:sz w:val="24"/>
                <w:szCs w:val="24"/>
              </w:rPr>
              <w:t xml:space="preserve">CEI </w:t>
            </w:r>
          </w:p>
        </w:tc>
        <w:tc>
          <w:tcPr>
            <w:tcW w:w="2174"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Fixed</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1.46</w:t>
            </w:r>
          </w:p>
        </w:tc>
        <w:tc>
          <w:tcPr>
            <w:tcW w:w="1036"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0.63</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2.42</w:t>
            </w:r>
          </w:p>
        </w:tc>
        <w:tc>
          <w:tcPr>
            <w:tcW w:w="1020"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-0.41</w:t>
            </w:r>
          </w:p>
        </w:tc>
        <w:tc>
          <w:tcPr>
            <w:tcW w:w="1050"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-2.60</w:t>
            </w:r>
          </w:p>
        </w:tc>
        <w:tc>
          <w:tcPr>
            <w:tcW w:w="1033"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1.68</w:t>
            </w:r>
          </w:p>
        </w:tc>
      </w:tr>
      <w:tr>
        <w:trPr/>
        <w:tc>
          <w:tcPr>
            <w:tcW w:w="217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Colonizer-level intercepts</w:t>
            </w:r>
          </w:p>
        </w:tc>
        <w:tc>
          <w:tcPr>
            <w:tcW w:w="2174"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Random</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2.30</w:t>
            </w:r>
          </w:p>
        </w:tc>
        <w:tc>
          <w:tcPr>
            <w:tcW w:w="1036"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1.41</w:t>
            </w:r>
          </w:p>
        </w:tc>
        <w:tc>
          <w:tcPr>
            <w:tcW w:w="1035" w:type="dxa"/>
            <w:tcBorders>
              <w:top w:val="single" w:sz="8" w:space="0" w:color="000000"/>
              <w:left w:val="single" w:sz="8" w:space="0" w:color="000000"/>
              <w:bottom w:val="single" w:sz="4" w:space="0" w:color="000000"/>
              <w:right w:val="single" w:sz="8" w:space="0" w:color="000000"/>
            </w:tcBorders>
            <w:vAlign w:val="center"/>
          </w:tcPr>
          <w:p>
            <w:pPr>
              <w:pStyle w:val="normal1"/>
              <w:widowControl w:val="false"/>
              <w:jc w:val="center"/>
              <w:rPr>
                <w:sz w:val="24"/>
                <w:szCs w:val="24"/>
              </w:rPr>
            </w:pPr>
            <w:r>
              <w:rPr>
                <w:sz w:val="24"/>
                <w:szCs w:val="24"/>
              </w:rPr>
              <w:t>3.82</w:t>
            </w:r>
          </w:p>
        </w:tc>
        <w:tc>
          <w:tcPr>
            <w:tcW w:w="1020" w:type="dxa"/>
            <w:tcBorders>
              <w:top w:val="single" w:sz="8" w:space="0" w:color="000000"/>
              <w:left w:val="single" w:sz="8" w:space="0" w:color="000000"/>
              <w:bottom w:val="single" w:sz="4" w:space="0" w:color="000000"/>
              <w:right w:val="single" w:sz="8" w:space="0" w:color="000000"/>
            </w:tcBorders>
            <w:vAlign w:val="center"/>
          </w:tcPr>
          <w:p>
            <w:pPr>
              <w:pStyle w:val="normal1"/>
              <w:widowControl w:val="false"/>
              <w:jc w:val="center"/>
              <w:rPr>
                <w:sz w:val="24"/>
                <w:szCs w:val="24"/>
              </w:rPr>
            </w:pPr>
            <w:r>
              <w:rPr>
                <w:sz w:val="24"/>
                <w:szCs w:val="24"/>
              </w:rPr>
              <w:t>6.06</w:t>
            </w:r>
          </w:p>
        </w:tc>
        <w:tc>
          <w:tcPr>
            <w:tcW w:w="1050" w:type="dxa"/>
            <w:tcBorders>
              <w:top w:val="single" w:sz="8" w:space="0" w:color="000000"/>
              <w:left w:val="single" w:sz="8" w:space="0" w:color="000000"/>
              <w:bottom w:val="single" w:sz="4" w:space="0" w:color="000000"/>
              <w:right w:val="single" w:sz="8" w:space="0" w:color="000000"/>
            </w:tcBorders>
            <w:vAlign w:val="center"/>
          </w:tcPr>
          <w:p>
            <w:pPr>
              <w:pStyle w:val="normal1"/>
              <w:widowControl w:val="false"/>
              <w:jc w:val="center"/>
              <w:rPr>
                <w:sz w:val="24"/>
                <w:szCs w:val="24"/>
              </w:rPr>
            </w:pPr>
            <w:r>
              <w:rPr>
                <w:sz w:val="24"/>
                <w:szCs w:val="24"/>
              </w:rPr>
              <w:t>2.07</w:t>
            </w:r>
          </w:p>
        </w:tc>
        <w:tc>
          <w:tcPr>
            <w:tcW w:w="1033" w:type="dxa"/>
            <w:tcBorders>
              <w:top w:val="single" w:sz="8" w:space="0" w:color="000000"/>
              <w:left w:val="single" w:sz="8" w:space="0" w:color="000000"/>
              <w:bottom w:val="single" w:sz="4" w:space="0" w:color="000000"/>
              <w:right w:val="single" w:sz="8" w:space="0" w:color="000000"/>
            </w:tcBorders>
            <w:vAlign w:val="center"/>
          </w:tcPr>
          <w:p>
            <w:pPr>
              <w:pStyle w:val="normal1"/>
              <w:widowControl w:val="false"/>
              <w:jc w:val="center"/>
              <w:rPr>
                <w:sz w:val="24"/>
                <w:szCs w:val="24"/>
              </w:rPr>
            </w:pPr>
            <w:r>
              <w:rPr>
                <w:sz w:val="24"/>
                <w:szCs w:val="24"/>
              </w:rPr>
              <w:t>18.19</w:t>
            </w:r>
          </w:p>
        </w:tc>
      </w:tr>
      <w:tr>
        <w:trPr/>
        <w:tc>
          <w:tcPr>
            <w:tcW w:w="217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Country-level intercepts</w:t>
            </w:r>
          </w:p>
        </w:tc>
        <w:tc>
          <w:tcPr>
            <w:tcW w:w="2174"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Random</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0.53</w:t>
            </w:r>
          </w:p>
        </w:tc>
        <w:tc>
          <w:tcPr>
            <w:tcW w:w="1036" w:type="dxa"/>
            <w:tcBorders>
              <w:top w:val="single" w:sz="8" w:space="0" w:color="000000"/>
              <w:left w:val="single" w:sz="8" w:space="0" w:color="000000"/>
              <w:bottom w:val="single" w:sz="8" w:space="0" w:color="000000"/>
              <w:right w:val="single" w:sz="4" w:space="0" w:color="000000"/>
            </w:tcBorders>
            <w:vAlign w:val="center"/>
          </w:tcPr>
          <w:p>
            <w:pPr>
              <w:pStyle w:val="normal1"/>
              <w:widowControl w:val="false"/>
              <w:jc w:val="center"/>
              <w:rPr>
                <w:sz w:val="24"/>
                <w:szCs w:val="24"/>
              </w:rPr>
            </w:pPr>
            <w:r>
              <w:rPr>
                <w:sz w:val="24"/>
                <w:szCs w:val="24"/>
              </w:rPr>
              <w:t>0.44</w:t>
            </w:r>
          </w:p>
        </w:tc>
        <w:tc>
          <w:tcPr>
            <w:tcW w:w="1035"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0.64</w:t>
            </w:r>
          </w:p>
        </w:tc>
        <w:tc>
          <w:tcPr>
            <w:tcW w:w="1020"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1.20</w:t>
            </w:r>
          </w:p>
        </w:tc>
        <w:tc>
          <w:tcPr>
            <w:tcW w:w="1050"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0.05</w:t>
            </w:r>
          </w:p>
        </w:tc>
        <w:tc>
          <w:tcPr>
            <w:tcW w:w="1033"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4.00</w:t>
            </w:r>
          </w:p>
        </w:tc>
      </w:tr>
      <w:tr>
        <w:trPr/>
        <w:tc>
          <w:tcPr>
            <w:tcW w:w="217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Observation-level effect</w:t>
            </w:r>
          </w:p>
        </w:tc>
        <w:tc>
          <w:tcPr>
            <w:tcW w:w="2174"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Random</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0.43</w:t>
            </w:r>
          </w:p>
        </w:tc>
        <w:tc>
          <w:tcPr>
            <w:tcW w:w="1036" w:type="dxa"/>
            <w:tcBorders>
              <w:top w:val="single" w:sz="8" w:space="0" w:color="000000"/>
              <w:left w:val="single" w:sz="8" w:space="0" w:color="000000"/>
              <w:bottom w:val="single" w:sz="8" w:space="0" w:color="000000"/>
              <w:right w:val="single" w:sz="4" w:space="0" w:color="000000"/>
            </w:tcBorders>
            <w:vAlign w:val="center"/>
          </w:tcPr>
          <w:p>
            <w:pPr>
              <w:pStyle w:val="normal1"/>
              <w:widowControl w:val="false"/>
              <w:jc w:val="center"/>
              <w:rPr>
                <w:sz w:val="24"/>
                <w:szCs w:val="24"/>
              </w:rPr>
            </w:pPr>
            <w:r>
              <w:rPr>
                <w:sz w:val="24"/>
                <w:szCs w:val="24"/>
              </w:rPr>
              <w:t>0.38</w:t>
            </w:r>
          </w:p>
        </w:tc>
        <w:tc>
          <w:tcPr>
            <w:tcW w:w="1035"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0.49</w:t>
            </w:r>
          </w:p>
        </w:tc>
        <w:tc>
          <w:tcPr>
            <w:tcW w:w="1020" w:type="dxa"/>
            <w:tcBorders>
              <w:top w:val="single" w:sz="4" w:space="0" w:color="000000"/>
              <w:left w:val="single" w:sz="4" w:space="0" w:color="000000"/>
            </w:tcBorders>
            <w:vAlign w:val="center"/>
          </w:tcPr>
          <w:p>
            <w:pPr>
              <w:pStyle w:val="normal1"/>
              <w:widowControl w:val="false"/>
              <w:jc w:val="center"/>
              <w:rPr>
                <w:sz w:val="24"/>
                <w:szCs w:val="24"/>
              </w:rPr>
            </w:pPr>
            <w:r>
              <w:rPr>
                <w:sz w:val="24"/>
                <w:szCs w:val="24"/>
              </w:rPr>
            </w:r>
          </w:p>
        </w:tc>
        <w:tc>
          <w:tcPr>
            <w:tcW w:w="1050" w:type="dxa"/>
            <w:tcBorders>
              <w:top w:val="single" w:sz="4" w:space="0" w:color="000000"/>
            </w:tcBorders>
            <w:vAlign w:val="center"/>
          </w:tcPr>
          <w:p>
            <w:pPr>
              <w:pStyle w:val="normal1"/>
              <w:widowControl w:val="false"/>
              <w:jc w:val="center"/>
              <w:rPr>
                <w:sz w:val="24"/>
                <w:szCs w:val="24"/>
              </w:rPr>
            </w:pPr>
            <w:r>
              <w:rPr>
                <w:sz w:val="24"/>
                <w:szCs w:val="24"/>
              </w:rPr>
            </w:r>
          </w:p>
        </w:tc>
        <w:tc>
          <w:tcPr>
            <w:tcW w:w="1033" w:type="dxa"/>
            <w:tcBorders>
              <w:top w:val="single" w:sz="4" w:space="0" w:color="000000"/>
            </w:tcBorders>
            <w:vAlign w:val="center"/>
          </w:tcPr>
          <w:p>
            <w:pPr>
              <w:pStyle w:val="normal1"/>
              <w:widowControl w:val="false"/>
              <w:jc w:val="center"/>
              <w:rPr>
                <w:sz w:val="24"/>
                <w:szCs w:val="24"/>
              </w:rPr>
            </w:pPr>
            <w:r>
              <w:rPr>
                <w:sz w:val="24"/>
                <w:szCs w:val="24"/>
              </w:rPr>
            </w:r>
          </w:p>
        </w:tc>
      </w:tr>
      <w:tr>
        <w:trPr/>
        <w:tc>
          <w:tcPr>
            <w:tcW w:w="217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Colonizer-level slopes</w:t>
            </w:r>
          </w:p>
        </w:tc>
        <w:tc>
          <w:tcPr>
            <w:tcW w:w="2174"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Random</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1.17</w:t>
            </w:r>
          </w:p>
        </w:tc>
        <w:tc>
          <w:tcPr>
            <w:tcW w:w="1036" w:type="dxa"/>
            <w:tcBorders>
              <w:top w:val="single" w:sz="8" w:space="0" w:color="000000"/>
              <w:left w:val="single" w:sz="8" w:space="0" w:color="000000"/>
              <w:bottom w:val="single" w:sz="8" w:space="0" w:color="000000"/>
              <w:right w:val="single" w:sz="4" w:space="0" w:color="000000"/>
            </w:tcBorders>
            <w:vAlign w:val="center"/>
          </w:tcPr>
          <w:p>
            <w:pPr>
              <w:pStyle w:val="normal1"/>
              <w:widowControl w:val="false"/>
              <w:jc w:val="center"/>
              <w:rPr>
                <w:sz w:val="24"/>
                <w:szCs w:val="24"/>
              </w:rPr>
            </w:pPr>
            <w:r>
              <w:rPr>
                <w:sz w:val="24"/>
                <w:szCs w:val="24"/>
              </w:rPr>
              <w:t>0.63</w:t>
            </w:r>
          </w:p>
        </w:tc>
        <w:tc>
          <w:tcPr>
            <w:tcW w:w="1035"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2.07</w:t>
            </w:r>
          </w:p>
        </w:tc>
        <w:tc>
          <w:tcPr>
            <w:tcW w:w="1020" w:type="dxa"/>
            <w:tcBorders>
              <w:left w:val="single" w:sz="4" w:space="0" w:color="000000"/>
            </w:tcBorders>
            <w:vAlign w:val="center"/>
          </w:tcPr>
          <w:p>
            <w:pPr>
              <w:pStyle w:val="normal1"/>
              <w:widowControl w:val="false"/>
              <w:jc w:val="center"/>
              <w:rPr>
                <w:sz w:val="24"/>
                <w:szCs w:val="24"/>
              </w:rPr>
            </w:pPr>
            <w:r>
              <w:rPr>
                <w:sz w:val="24"/>
                <w:szCs w:val="24"/>
              </w:rPr>
            </w:r>
          </w:p>
        </w:tc>
        <w:tc>
          <w:tcPr>
            <w:tcW w:w="1050" w:type="dxa"/>
            <w:tcBorders/>
            <w:vAlign w:val="center"/>
          </w:tcPr>
          <w:p>
            <w:pPr>
              <w:pStyle w:val="normal1"/>
              <w:widowControl w:val="false"/>
              <w:jc w:val="center"/>
              <w:rPr>
                <w:sz w:val="24"/>
                <w:szCs w:val="24"/>
              </w:rPr>
            </w:pPr>
            <w:r>
              <w:rPr>
                <w:sz w:val="24"/>
                <w:szCs w:val="24"/>
              </w:rPr>
            </w:r>
          </w:p>
        </w:tc>
        <w:tc>
          <w:tcPr>
            <w:tcW w:w="1033" w:type="dxa"/>
            <w:tcBorders/>
            <w:vAlign w:val="center"/>
          </w:tcPr>
          <w:p>
            <w:pPr>
              <w:pStyle w:val="normal1"/>
              <w:widowControl w:val="false"/>
              <w:jc w:val="center"/>
              <w:rPr>
                <w:sz w:val="24"/>
                <w:szCs w:val="24"/>
              </w:rPr>
            </w:pPr>
            <w:r>
              <w:rPr>
                <w:sz w:val="24"/>
                <w:szCs w:val="24"/>
              </w:rPr>
            </w:r>
          </w:p>
        </w:tc>
      </w:tr>
      <w:tr>
        <w:trPr>
          <w:trHeight w:val="1147" w:hRule="atLeast"/>
        </w:trPr>
        <w:tc>
          <w:tcPr>
            <w:tcW w:w="2175"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sz w:val="24"/>
                <w:szCs w:val="24"/>
              </w:rPr>
            </w:pPr>
            <w:r>
              <w:rPr>
                <w:b/>
                <w:bCs/>
                <w:sz w:val="24"/>
                <w:szCs w:val="24"/>
              </w:rPr>
              <w:t>Correlation between colonizer-specific intercepts and slopes</w:t>
            </w:r>
          </w:p>
        </w:tc>
        <w:tc>
          <w:tcPr>
            <w:tcW w:w="2174" w:type="dxa"/>
            <w:tcBorders>
              <w:top w:val="single" w:sz="8" w:space="0" w:color="000000"/>
              <w:left w:val="single" w:sz="8" w:space="0" w:color="000000"/>
              <w:bottom w:val="single" w:sz="8" w:space="0" w:color="000000"/>
              <w:right w:val="single" w:sz="8" w:space="0" w:color="000000"/>
            </w:tcBorders>
            <w:vAlign w:val="bottom"/>
          </w:tcPr>
          <w:p>
            <w:pPr>
              <w:pStyle w:val="normal1"/>
              <w:widowControl w:val="false"/>
              <w:rPr>
                <w:b/>
                <w:bCs/>
                <w:sz w:val="24"/>
                <w:szCs w:val="24"/>
              </w:rPr>
            </w:pPr>
            <w:r>
              <w:rPr>
                <w:b/>
                <w:bCs/>
                <w:sz w:val="24"/>
                <w:szCs w:val="24"/>
              </w:rPr>
              <w:t>Random</w:t>
            </w:r>
          </w:p>
        </w:tc>
        <w:tc>
          <w:tcPr>
            <w:tcW w:w="1035" w:type="dxa"/>
            <w:tcBorders>
              <w:top w:val="single" w:sz="8" w:space="0" w:color="000000"/>
              <w:left w:val="single" w:sz="8" w:space="0" w:color="000000"/>
              <w:bottom w:val="single" w:sz="8" w:space="0" w:color="000000"/>
              <w:right w:val="single" w:sz="8" w:space="0" w:color="000000"/>
            </w:tcBorders>
            <w:vAlign w:val="center"/>
          </w:tcPr>
          <w:p>
            <w:pPr>
              <w:pStyle w:val="normal1"/>
              <w:widowControl w:val="false"/>
              <w:jc w:val="center"/>
              <w:rPr>
                <w:sz w:val="24"/>
                <w:szCs w:val="24"/>
              </w:rPr>
            </w:pPr>
            <w:r>
              <w:rPr>
                <w:sz w:val="24"/>
                <w:szCs w:val="24"/>
              </w:rPr>
              <w:t>-0.90</w:t>
            </w:r>
          </w:p>
        </w:tc>
        <w:tc>
          <w:tcPr>
            <w:tcW w:w="1036" w:type="dxa"/>
            <w:tcBorders>
              <w:top w:val="single" w:sz="8" w:space="0" w:color="000000"/>
              <w:left w:val="single" w:sz="8" w:space="0" w:color="000000"/>
              <w:bottom w:val="single" w:sz="8" w:space="0" w:color="000000"/>
              <w:right w:val="single" w:sz="4" w:space="0" w:color="000000"/>
            </w:tcBorders>
            <w:vAlign w:val="center"/>
          </w:tcPr>
          <w:p>
            <w:pPr>
              <w:pStyle w:val="normal1"/>
              <w:widowControl w:val="false"/>
              <w:jc w:val="center"/>
              <w:rPr>
                <w:sz w:val="24"/>
                <w:szCs w:val="24"/>
              </w:rPr>
            </w:pPr>
            <w:r>
              <w:rPr>
                <w:sz w:val="24"/>
                <w:szCs w:val="24"/>
              </w:rPr>
              <w:t>-1</w:t>
            </w:r>
          </w:p>
        </w:tc>
        <w:tc>
          <w:tcPr>
            <w:tcW w:w="1035"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jc w:val="center"/>
              <w:rPr>
                <w:sz w:val="24"/>
                <w:szCs w:val="24"/>
              </w:rPr>
            </w:pPr>
            <w:r>
              <w:rPr>
                <w:sz w:val="24"/>
                <w:szCs w:val="24"/>
              </w:rPr>
              <w:t>-0.54</w:t>
            </w:r>
          </w:p>
        </w:tc>
        <w:tc>
          <w:tcPr>
            <w:tcW w:w="1020" w:type="dxa"/>
            <w:tcBorders>
              <w:left w:val="single" w:sz="4" w:space="0" w:color="000000"/>
            </w:tcBorders>
            <w:vAlign w:val="center"/>
          </w:tcPr>
          <w:p>
            <w:pPr>
              <w:pStyle w:val="normal1"/>
              <w:widowControl w:val="false"/>
              <w:jc w:val="center"/>
              <w:rPr>
                <w:sz w:val="24"/>
                <w:szCs w:val="24"/>
              </w:rPr>
            </w:pPr>
            <w:r>
              <w:rPr>
                <w:sz w:val="24"/>
                <w:szCs w:val="24"/>
              </w:rPr>
            </w:r>
          </w:p>
        </w:tc>
        <w:tc>
          <w:tcPr>
            <w:tcW w:w="1050" w:type="dxa"/>
            <w:tcBorders/>
            <w:vAlign w:val="center"/>
          </w:tcPr>
          <w:p>
            <w:pPr>
              <w:pStyle w:val="normal1"/>
              <w:widowControl w:val="false"/>
              <w:jc w:val="center"/>
              <w:rPr>
                <w:sz w:val="24"/>
                <w:szCs w:val="24"/>
              </w:rPr>
            </w:pPr>
            <w:r>
              <w:rPr>
                <w:sz w:val="24"/>
                <w:szCs w:val="24"/>
              </w:rPr>
            </w:r>
          </w:p>
        </w:tc>
        <w:tc>
          <w:tcPr>
            <w:tcW w:w="1033" w:type="dxa"/>
            <w:tcBorders/>
            <w:vAlign w:val="center"/>
          </w:tcPr>
          <w:p>
            <w:pPr>
              <w:pStyle w:val="normal1"/>
              <w:widowControl w:val="false"/>
              <w:jc w:val="center"/>
              <w:rPr>
                <w:sz w:val="24"/>
                <w:szCs w:val="24"/>
              </w:rPr>
            </w:pPr>
            <w:r>
              <w:rPr>
                <w:sz w:val="24"/>
                <w:szCs w:val="24"/>
              </w:rPr>
            </w:r>
          </w:p>
        </w:tc>
      </w:tr>
    </w:tbl>
    <w:p>
      <w:pPr>
        <w:pStyle w:val="normal1"/>
        <w:rPr/>
      </w:pPr>
      <w:r>
        <w:rPr/>
      </w:r>
    </w:p>
    <w:p>
      <w:pPr>
        <w:pStyle w:val="normal1"/>
        <w:rPr/>
      </w:pPr>
      <w:r>
        <w:rPr/>
      </w:r>
    </w:p>
    <w:p>
      <w:pPr>
        <w:pStyle w:val="normal1"/>
        <w:rPr/>
      </w:pPr>
      <w:r>
        <w:rPr/>
      </w:r>
    </w:p>
    <w:p>
      <w:pPr>
        <w:pStyle w:val="normal1"/>
        <w:rPr/>
      </w:pPr>
      <w:r>
        <w:rPr/>
      </w:r>
    </w:p>
    <w:p>
      <w:pPr>
        <w:pStyle w:val="normal1"/>
        <w:rPr/>
      </w:pPr>
      <w:r>
        <w:rPr/>
      </w:r>
      <w:r>
        <w:br w:type="page"/>
      </w:r>
    </w:p>
    <w:p>
      <w:pPr>
        <w:pStyle w:val="normal1"/>
        <w:spacing w:lineRule="auto" w:line="276" w:before="0" w:after="0"/>
        <w:rPr>
          <w:b/>
          <w:bCs/>
        </w:rPr>
      </w:pPr>
      <w:r>
        <w:rPr>
          <w:b/>
          <w:bCs/>
        </w:rPr>
        <w:t xml:space="preserve">Diagnostic plots for the </w:t>
      </w:r>
      <w:r>
        <w:rPr>
          <w:b/>
          <w:bCs/>
          <w:color w:val="A61C00"/>
        </w:rPr>
        <w:t>scientific name model</w:t>
      </w:r>
      <w:r>
        <w:rPr>
          <w:b/>
          <w:bCs/>
        </w:rPr>
        <w:drawing>
          <wp:anchor behindDoc="1" distT="0" distB="0" distL="0" distR="0" simplePos="0" locked="0" layoutInCell="1" allowOverlap="1" relativeHeight="11">
            <wp:simplePos x="0" y="0"/>
            <wp:positionH relativeFrom="column">
              <wp:posOffset>-57150</wp:posOffset>
            </wp:positionH>
            <wp:positionV relativeFrom="paragraph">
              <wp:posOffset>228600</wp:posOffset>
            </wp:positionV>
            <wp:extent cx="5347970" cy="5552440"/>
            <wp:effectExtent l="0" t="0" r="0" b="0"/>
            <wp:wrapNone/>
            <wp:docPr id="8"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descr=""/>
                    <pic:cNvPicPr>
                      <a:picLocks noChangeAspect="1" noChangeArrowheads="1"/>
                    </pic:cNvPicPr>
                  </pic:nvPicPr>
                  <pic:blipFill>
                    <a:blip r:embed="rId13"/>
                    <a:stretch>
                      <a:fillRect/>
                    </a:stretch>
                  </pic:blipFill>
                  <pic:spPr bwMode="auto">
                    <a:xfrm>
                      <a:off x="0" y="0"/>
                      <a:ext cx="5347970" cy="5552440"/>
                    </a:xfrm>
                    <a:prstGeom prst="rect">
                      <a:avLst/>
                    </a:prstGeom>
                  </pic:spPr>
                </pic:pic>
              </a:graphicData>
            </a:graphic>
          </wp:anchor>
        </w:drawing>
      </w:r>
      <w:r>
        <w:rPr>
          <w:b/>
          <w:bCs/>
        </w:rPr>
        <w:t xml:space="preserve"> (Figure 4):</w:t>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t>Diagnostic plot #1: Posterior predictive check for the scientific name model. Simulated data (blue) closely match the observed distribution (black), indicating good model fit.</w:t>
      </w:r>
      <w:r>
        <w:br w:type="page"/>
      </w:r>
    </w:p>
    <w:p>
      <w:pPr>
        <w:pStyle w:val="normal1"/>
        <w:spacing w:lineRule="auto" w:line="276" w:before="0" w:after="0"/>
        <w:rPr>
          <w:b/>
          <w:bCs/>
        </w:rPr>
      </w:pPr>
      <w:r>
        <w:rPr>
          <w:b/>
          <w:bCs/>
        </w:rPr>
        <w:t>Diagnostic plot #2: Trace and density plots for key parameters of the model reported in Figure 6. The plots indicate good mixing and convergence across chains.</w:t>
      </w:r>
    </w:p>
    <w:p>
      <w:pPr>
        <w:pStyle w:val="normal1"/>
        <w:spacing w:lineRule="auto" w:line="276"/>
        <w:rPr>
          <w:b/>
          <w:bCs/>
        </w:rPr>
      </w:pPr>
      <w:r>
        <w:rPr>
          <w:b/>
          <w:bCs/>
        </w:rPr>
        <w:drawing>
          <wp:anchor behindDoc="0" distT="0" distB="0" distL="0" distR="0" simplePos="0" locked="0" layoutInCell="0" allowOverlap="1" relativeHeight="8">
            <wp:simplePos x="0" y="0"/>
            <wp:positionH relativeFrom="column">
              <wp:posOffset>5501005</wp:posOffset>
            </wp:positionH>
            <wp:positionV relativeFrom="paragraph">
              <wp:posOffset>104775</wp:posOffset>
            </wp:positionV>
            <wp:extent cx="3147695" cy="3356610"/>
            <wp:effectExtent l="0" t="0" r="0" b="0"/>
            <wp:wrapSquare wrapText="bothSides"/>
            <wp:docPr id="9" name="image8.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png" descr=""/>
                    <pic:cNvPicPr>
                      <a:picLocks noChangeAspect="1" noChangeArrowheads="1"/>
                    </pic:cNvPicPr>
                  </pic:nvPicPr>
                  <pic:blipFill>
                    <a:blip r:embed="rId14"/>
                    <a:stretch>
                      <a:fillRect/>
                    </a:stretch>
                  </pic:blipFill>
                  <pic:spPr bwMode="auto">
                    <a:xfrm>
                      <a:off x="0" y="0"/>
                      <a:ext cx="3147695" cy="3356610"/>
                    </a:xfrm>
                    <a:prstGeom prst="rect">
                      <a:avLst/>
                    </a:prstGeom>
                  </pic:spPr>
                </pic:pic>
              </a:graphicData>
            </a:graphic>
          </wp:anchor>
        </w:drawing>
        <w:drawing>
          <wp:anchor behindDoc="0" distT="0" distB="0" distL="0" distR="0" simplePos="0" locked="0" layoutInCell="0" allowOverlap="1" relativeHeight="9">
            <wp:simplePos x="0" y="0"/>
            <wp:positionH relativeFrom="column">
              <wp:posOffset>-304800</wp:posOffset>
            </wp:positionH>
            <wp:positionV relativeFrom="paragraph">
              <wp:posOffset>257175</wp:posOffset>
            </wp:positionV>
            <wp:extent cx="5289550" cy="5636260"/>
            <wp:effectExtent l="0" t="0" r="0" b="0"/>
            <wp:wrapSquare wrapText="bothSides"/>
            <wp:docPr id="10" name="image10.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png" descr=""/>
                    <pic:cNvPicPr>
                      <a:picLocks noChangeAspect="1" noChangeArrowheads="1"/>
                    </pic:cNvPicPr>
                  </pic:nvPicPr>
                  <pic:blipFill>
                    <a:blip r:embed="rId15"/>
                    <a:stretch>
                      <a:fillRect/>
                    </a:stretch>
                  </pic:blipFill>
                  <pic:spPr bwMode="auto">
                    <a:xfrm>
                      <a:off x="0" y="0"/>
                      <a:ext cx="5289550" cy="5636260"/>
                    </a:xfrm>
                    <a:prstGeom prst="rect">
                      <a:avLst/>
                    </a:prstGeom>
                  </pic:spPr>
                </pic:pic>
              </a:graphicData>
            </a:graphic>
          </wp:anchor>
        </w:drawing>
        <w:drawing>
          <wp:anchor behindDoc="0" distT="114300" distB="114300" distL="114300" distR="114300" simplePos="0" locked="0" layoutInCell="0" allowOverlap="1" relativeHeight="10">
            <wp:simplePos x="0" y="0"/>
            <wp:positionH relativeFrom="column">
              <wp:posOffset>5629275</wp:posOffset>
            </wp:positionH>
            <wp:positionV relativeFrom="paragraph">
              <wp:posOffset>3629025</wp:posOffset>
            </wp:positionV>
            <wp:extent cx="2724150" cy="2574290"/>
            <wp:effectExtent l="0" t="0" r="0" b="0"/>
            <wp:wrapSquare wrapText="bothSides"/>
            <wp:docPr id="1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descr=""/>
                    <pic:cNvPicPr>
                      <a:picLocks noChangeAspect="1" noChangeArrowheads="1"/>
                    </pic:cNvPicPr>
                  </pic:nvPicPr>
                  <pic:blipFill>
                    <a:blip r:embed="rId16"/>
                    <a:stretch>
                      <a:fillRect/>
                    </a:stretch>
                  </pic:blipFill>
                  <pic:spPr bwMode="auto">
                    <a:xfrm>
                      <a:off x="0" y="0"/>
                      <a:ext cx="2724150" cy="2574290"/>
                    </a:xfrm>
                    <a:prstGeom prst="rect">
                      <a:avLst/>
                    </a:prstGeom>
                  </pic:spPr>
                </pic:pic>
              </a:graphicData>
            </a:graphic>
          </wp:anchor>
        </w:drawing>
      </w:r>
      <w:r>
        <w:br w:type="page"/>
      </w:r>
    </w:p>
    <w:p>
      <w:pPr>
        <w:pStyle w:val="normal1"/>
        <w:spacing w:lineRule="auto" w:line="276" w:before="0" w:after="0"/>
        <w:rPr>
          <w:b/>
          <w:bCs/>
        </w:rPr>
      </w:pPr>
      <w:r>
        <w:rPr>
          <w:b/>
          <w:bCs/>
        </w:rPr>
        <w:t xml:space="preserve">Diagnostic plots for the </w:t>
      </w:r>
      <w:r>
        <w:rPr>
          <w:b/>
          <w:bCs/>
          <w:color w:val="A61C00"/>
        </w:rPr>
        <w:t>common name model</w:t>
      </w:r>
      <w:r>
        <w:rPr>
          <w:b/>
          <w:bCs/>
        </w:rPr>
        <w:drawing>
          <wp:anchor behindDoc="1" distT="0" distB="0" distL="0" distR="0" simplePos="0" locked="0" layoutInCell="1" allowOverlap="1" relativeHeight="7">
            <wp:simplePos x="0" y="0"/>
            <wp:positionH relativeFrom="column">
              <wp:posOffset>0</wp:posOffset>
            </wp:positionH>
            <wp:positionV relativeFrom="paragraph">
              <wp:posOffset>257175</wp:posOffset>
            </wp:positionV>
            <wp:extent cx="5262245" cy="5457825"/>
            <wp:effectExtent l="0" t="0" r="0" b="0"/>
            <wp:wrapNone/>
            <wp:docPr id="12" name="image15.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5.png" descr=""/>
                    <pic:cNvPicPr>
                      <a:picLocks noChangeAspect="1" noChangeArrowheads="1"/>
                    </pic:cNvPicPr>
                  </pic:nvPicPr>
                  <pic:blipFill>
                    <a:blip r:embed="rId17"/>
                    <a:stretch>
                      <a:fillRect/>
                    </a:stretch>
                  </pic:blipFill>
                  <pic:spPr bwMode="auto">
                    <a:xfrm>
                      <a:off x="0" y="0"/>
                      <a:ext cx="5262245" cy="5457825"/>
                    </a:xfrm>
                    <a:prstGeom prst="rect">
                      <a:avLst/>
                    </a:prstGeom>
                  </pic:spPr>
                </pic:pic>
              </a:graphicData>
            </a:graphic>
          </wp:anchor>
        </w:drawing>
      </w:r>
      <w:r>
        <w:rPr>
          <w:b/>
          <w:bCs/>
        </w:rPr>
        <w:t xml:space="preserve"> (Fig S4):</w:t>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r>
    </w:p>
    <w:p>
      <w:pPr>
        <w:pStyle w:val="normal1"/>
        <w:spacing w:lineRule="auto" w:line="276"/>
        <w:rPr>
          <w:b/>
          <w:bCs/>
        </w:rPr>
      </w:pPr>
      <w:r>
        <w:rPr>
          <w:b/>
          <w:bCs/>
        </w:rPr>
        <w:t>Diagnostic plot #1: Posterior predictive check for the common name model reported in Figure S4. Simulated data (blue) closely match the observed distribution (black), indicating good model fit.</w:t>
      </w:r>
      <w:r>
        <w:br w:type="page"/>
      </w:r>
    </w:p>
    <w:p>
      <w:pPr>
        <w:pStyle w:val="normal1"/>
        <w:spacing w:lineRule="auto" w:line="276" w:before="0" w:after="0"/>
        <w:rPr>
          <w:b/>
          <w:bCs/>
        </w:rPr>
      </w:pPr>
      <w:r>
        <w:rPr>
          <w:b/>
          <w:bCs/>
        </w:rPr>
      </w:r>
    </w:p>
    <w:p>
      <w:pPr>
        <w:pStyle w:val="normal1"/>
        <w:spacing w:lineRule="auto" w:line="276"/>
        <w:rPr>
          <w:b/>
          <w:bCs/>
        </w:rPr>
      </w:pPr>
      <w:r>
        <w:rPr>
          <w:b/>
          <w:bCs/>
        </w:rPr>
        <w:drawing>
          <wp:anchor behindDoc="0" distT="0" distB="0" distL="0" distR="0" simplePos="0" locked="0" layoutInCell="0" allowOverlap="1" relativeHeight="4">
            <wp:simplePos x="0" y="0"/>
            <wp:positionH relativeFrom="column">
              <wp:posOffset>0</wp:posOffset>
            </wp:positionH>
            <wp:positionV relativeFrom="paragraph">
              <wp:posOffset>514350</wp:posOffset>
            </wp:positionV>
            <wp:extent cx="4869815" cy="5198110"/>
            <wp:effectExtent l="0" t="0" r="0" b="0"/>
            <wp:wrapSquare wrapText="bothSides"/>
            <wp:docPr id="13" name="image7.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descr=""/>
                    <pic:cNvPicPr>
                      <a:picLocks noChangeAspect="1" noChangeArrowheads="1"/>
                    </pic:cNvPicPr>
                  </pic:nvPicPr>
                  <pic:blipFill>
                    <a:blip r:embed="rId18"/>
                    <a:stretch>
                      <a:fillRect/>
                    </a:stretch>
                  </pic:blipFill>
                  <pic:spPr bwMode="auto">
                    <a:xfrm>
                      <a:off x="0" y="0"/>
                      <a:ext cx="4869815" cy="5198110"/>
                    </a:xfrm>
                    <a:prstGeom prst="rect">
                      <a:avLst/>
                    </a:prstGeom>
                  </pic:spPr>
                </pic:pic>
              </a:graphicData>
            </a:graphic>
          </wp:anchor>
        </w:drawing>
        <w:drawing>
          <wp:anchor behindDoc="0" distT="0" distB="0" distL="0" distR="0" simplePos="0" locked="0" layoutInCell="0" allowOverlap="1" relativeHeight="5">
            <wp:simplePos x="0" y="0"/>
            <wp:positionH relativeFrom="column">
              <wp:posOffset>5362575</wp:posOffset>
            </wp:positionH>
            <wp:positionV relativeFrom="paragraph">
              <wp:posOffset>342900</wp:posOffset>
            </wp:positionV>
            <wp:extent cx="3019425" cy="3217545"/>
            <wp:effectExtent l="0" t="0" r="0" b="0"/>
            <wp:wrapSquare wrapText="bothSides"/>
            <wp:docPr id="14" name="image6.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descr=""/>
                    <pic:cNvPicPr>
                      <a:picLocks noChangeAspect="1" noChangeArrowheads="1"/>
                    </pic:cNvPicPr>
                  </pic:nvPicPr>
                  <pic:blipFill>
                    <a:blip r:embed="rId19"/>
                    <a:stretch>
                      <a:fillRect/>
                    </a:stretch>
                  </pic:blipFill>
                  <pic:spPr bwMode="auto">
                    <a:xfrm>
                      <a:off x="0" y="0"/>
                      <a:ext cx="3019425" cy="3217545"/>
                    </a:xfrm>
                    <a:prstGeom prst="rect">
                      <a:avLst/>
                    </a:prstGeom>
                  </pic:spPr>
                </pic:pic>
              </a:graphicData>
            </a:graphic>
          </wp:anchor>
        </w:drawing>
        <w:drawing>
          <wp:anchor behindDoc="0" distT="114300" distB="114300" distL="114300" distR="114300" simplePos="0" locked="0" layoutInCell="0" allowOverlap="1" relativeHeight="6">
            <wp:simplePos x="0" y="0"/>
            <wp:positionH relativeFrom="column">
              <wp:posOffset>5314950</wp:posOffset>
            </wp:positionH>
            <wp:positionV relativeFrom="paragraph">
              <wp:posOffset>3676650</wp:posOffset>
            </wp:positionV>
            <wp:extent cx="3237230" cy="1978660"/>
            <wp:effectExtent l="0" t="0" r="0" b="0"/>
            <wp:wrapSquare wrapText="bothSides"/>
            <wp:docPr id="15" name="image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4.png" descr=""/>
                    <pic:cNvPicPr>
                      <a:picLocks noChangeAspect="1" noChangeArrowheads="1"/>
                    </pic:cNvPicPr>
                  </pic:nvPicPr>
                  <pic:blipFill>
                    <a:blip r:embed="rId20"/>
                    <a:stretch>
                      <a:fillRect/>
                    </a:stretch>
                  </pic:blipFill>
                  <pic:spPr bwMode="auto">
                    <a:xfrm>
                      <a:off x="0" y="0"/>
                      <a:ext cx="3237230" cy="1978660"/>
                    </a:xfrm>
                    <a:prstGeom prst="rect">
                      <a:avLst/>
                    </a:prstGeom>
                  </pic:spPr>
                </pic:pic>
              </a:graphicData>
            </a:graphic>
          </wp:anchor>
        </w:drawing>
      </w:r>
      <w:r>
        <w:rPr>
          <w:b/>
          <w:bCs/>
        </w:rPr>
        <w:t>Diagnostic plot #2: Trace and density plots for key parameters of the model reported in Figure S4. The plots indicate good mixing and convergence across chains.</w:t>
      </w:r>
    </w:p>
    <w:p>
      <w:pPr>
        <w:pStyle w:val="normal1"/>
        <w:rPr/>
      </w:pPr>
      <w:r>
        <w:rPr/>
      </w:r>
    </w:p>
    <w:sectPr>
      <w:headerReference w:type="default" r:id="rId21"/>
      <w:headerReference w:type="first" r:id="rId22"/>
      <w:type w:val="nextPage"/>
      <w:pgSz w:orient="landscape" w:w="15840" w:h="12240"/>
      <w:pgMar w:left="1440" w:right="1440" w:gutter="0" w:header="720" w:top="1440" w:footer="0" w:bottom="540"/>
      <w:lnNumType w:countBy="1" w:restart="continuous" w:distance="346"/>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Arial">
    <w:charset w:val="01"/>
    <w:family w:val="roman"/>
    <w:pitch w:val="variable"/>
  </w:font>
  <w:font w:name="Liberation Sans">
    <w:altName w:val="Arial"/>
    <w:charset w:val="01"/>
    <w:family w:val="swiss"/>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settings.xml><?xml version="1.0" encoding="utf-8"?>
<w:settings xmlns:w="http://schemas.openxmlformats.org/wordprocessingml/2006/main">
  <w:zoom w:percent="78"/>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character" w:styleId="Hyperlink">
    <w:name w:val="Hyperlink"/>
    <w:rPr>
      <w:color w:val="000080"/>
      <w:u w:val="single"/>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normal1" w:default="1">
    <w:name w:val="normal1"/>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paragraph" w:styleId="HeaderandFooter">
    <w:name w:val="Header and Footer"/>
    <w:basedOn w:val="Normal"/>
    <w:qFormat/>
    <w:pPr/>
    <w:rPr/>
  </w:style>
  <w:style w:type="paragraph" w:styleId="Header">
    <w:name w:val="Header"/>
    <w:basedOn w:val="HeaderandFooter"/>
    <w:pPr>
      <w:suppressLineNumbers/>
    </w:pPr>
    <w:rPr/>
  </w:style>
  <w:style w:type="paragraph" w:styleId="FrameContents">
    <w:name w:val="Frame Contents"/>
    <w:basedOn w:val="Normal"/>
    <w:qFormat/>
    <w:pPr/>
    <w:rPr/>
  </w:style>
  <w:style w:type="paragraph" w:styleId="Footer">
    <w:name w:val="Footer"/>
    <w:basedOn w:val="HeaderandFooter"/>
    <w:pPr>
      <w:suppressLineNumbers/>
      <w:tabs>
        <w:tab w:val="clear" w:pos="720"/>
        <w:tab w:val="center" w:pos="4680" w:leader="none"/>
        <w:tab w:val="right" w:pos="9360" w:leader="none"/>
      </w:tabs>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image" Target="media/image4.jpeg"/><Relationship Id="rId6" Type="http://schemas.openxmlformats.org/officeDocument/2006/relationships/image" Target="media/image5.png"/><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yperlink" Target="https://www.zotero.org/google-docs/?bvEQAG" TargetMode="External"/><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header" Target="header4.xml"/><Relationship Id="rId22" Type="http://schemas.openxmlformats.org/officeDocument/2006/relationships/header" Target="header5.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46</Pages>
  <Words>3947</Words>
  <Characters>17208</Characters>
  <CharactersWithSpaces>18945</CharactersWithSpaces>
  <Paragraphs>2228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2026-08-18T18:20:29Z</dcterms:modified>
  <cp:revision>1</cp:revision>
  <dc:subject/>
  <dc:title/>
</cp:coreProperties>
</file>