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EDD00" w14:textId="77777777" w:rsidR="00F916B9" w:rsidRDefault="00F916B9" w:rsidP="00F916B9">
      <w:pPr>
        <w:shd w:val="clear" w:color="auto" w:fill="FFFFFF"/>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Chess in the Preschool Classroom: Associations with Children’s Mathematics Ability, Self-Regulated Learning, and Executive Functions</w:t>
      </w:r>
    </w:p>
    <w:p w14:paraId="3BF10C23" w14:textId="77777777" w:rsidR="00F916B9" w:rsidRDefault="00F916B9" w:rsidP="00F916B9">
      <w:pPr>
        <w:shd w:val="clear" w:color="auto" w:fill="FFFFFF"/>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Abstract </w:t>
      </w:r>
    </w:p>
    <w:p w14:paraId="296B6AF7" w14:textId="77777777" w:rsidR="00F916B9" w:rsidRDefault="00F916B9" w:rsidP="00F916B9">
      <w:pPr>
        <w:shd w:val="clear" w:color="auto" w:fill="FFFFFF"/>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purpose of this study was to examine the relationships among preschool children’s chess proficiency, early mathematics ability, executive functions, and self-regulated learning behaviors. Participants were 52 children aged 48–74 months, whose chess proficiency levels were classified as beginner, intermediate, or advanced based on classroom observations. Mathematics ability was assessed using the Test of Early Mathematics Ability (TEMA-3), while executive functions and independent learning behaviors were measured through teacher-rated scales. Results indicated that significant differences were found across chess proficiency levels in mathematics ability, working memory, overall executive function scores, and independent learning. Higher levels of chess proficiency were associated with higher mathematics ability, as well as more advanced scores in independent learning and executive function. </w:t>
      </w:r>
      <w:r>
        <w:rPr>
          <w:rFonts w:ascii="Times New Roman" w:eastAsia="Times New Roman" w:hAnsi="Times New Roman" w:cs="Times New Roman"/>
          <w:sz w:val="24"/>
          <w:szCs w:val="24"/>
          <w:lang w:val="en-US"/>
        </w:rPr>
        <w:t xml:space="preserve">Regression analyses further showed that chess proficiency and independent learning behaviors jointly accounted for a substantial proportion of the variance in mathematics </w:t>
      </w:r>
      <w:r>
        <w:rPr>
          <w:rFonts w:ascii="Times New Roman" w:hAnsi="Times New Roman" w:cs="Times New Roman"/>
          <w:sz w:val="24"/>
          <w:szCs w:val="24"/>
        </w:rPr>
        <w:t>ability</w:t>
      </w:r>
      <w:r>
        <w:rPr>
          <w:rFonts w:ascii="Times New Roman" w:eastAsia="Times New Roman" w:hAnsi="Times New Roman" w:cs="Times New Roman"/>
          <w:sz w:val="24"/>
          <w:szCs w:val="24"/>
          <w:lang w:val="en-US"/>
        </w:rPr>
        <w:t xml:space="preserve">, while working memory emerged as a significant predictor. Importantly, chess proficiency remained a significant positive predictor of mathematics </w:t>
      </w:r>
      <w:r>
        <w:rPr>
          <w:rFonts w:ascii="Times New Roman" w:hAnsi="Times New Roman" w:cs="Times New Roman"/>
          <w:sz w:val="24"/>
          <w:szCs w:val="24"/>
        </w:rPr>
        <w:t xml:space="preserve">ability </w:t>
      </w:r>
      <w:r>
        <w:rPr>
          <w:rFonts w:ascii="Times New Roman" w:eastAsia="Times New Roman" w:hAnsi="Times New Roman" w:cs="Times New Roman"/>
          <w:sz w:val="24"/>
          <w:szCs w:val="24"/>
          <w:lang w:val="en-US"/>
        </w:rPr>
        <w:t>across models.</w:t>
      </w:r>
    </w:p>
    <w:p w14:paraId="18F34DD0" w14:textId="77777777" w:rsidR="00F916B9" w:rsidRDefault="00F916B9" w:rsidP="00F916B9">
      <w:pPr>
        <w:shd w:val="clear" w:color="auto" w:fill="FFFFFF"/>
        <w:spacing w:before="120" w:after="0" w:line="360" w:lineRule="auto"/>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Chess, executive functions, chess-related proficiency, mathematics ability, self-regulated learning, preschool children.</w:t>
      </w:r>
    </w:p>
    <w:p w14:paraId="33E11A7D" w14:textId="77777777" w:rsidR="00C177EC" w:rsidRDefault="00C177EC"/>
    <w:sectPr w:rsidR="00C177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7EC"/>
    <w:rsid w:val="00C177EC"/>
    <w:rsid w:val="00F916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DECC56-3C66-46B5-888F-D996ADE2E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6B9"/>
    <w:pPr>
      <w:spacing w:line="256" w:lineRule="auto"/>
    </w:pPr>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669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EROL</dc:creator>
  <cp:keywords/>
  <dc:description/>
  <cp:lastModifiedBy>AHMET EROL</cp:lastModifiedBy>
  <cp:revision>2</cp:revision>
  <dcterms:created xsi:type="dcterms:W3CDTF">2026-08-08T07:58:00Z</dcterms:created>
  <dcterms:modified xsi:type="dcterms:W3CDTF">2026-08-08T07:58:00Z</dcterms:modified>
</cp:coreProperties>
</file>