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DB2F0D">
      <w:pPr>
        <w:pStyle w:val="3"/>
      </w:pPr>
      <w:bookmarkStart w:id="0" w:name="_GoBack"/>
      <w:bookmarkEnd w:id="0"/>
      <w:r>
        <w:t>CHERRIES Checklist — Checklist for Reporting Results of Internet E-Surveys</w:t>
      </w:r>
    </w:p>
    <w:p w14:paraId="4547978A">
      <w:r>
        <w:t>Manuscript title: A Single-Center Survey on the Training Outcomes of Cardiovascular Anesthesiologists</w:t>
      </w:r>
    </w:p>
    <w:p w14:paraId="34C1A0E3">
      <w:r>
        <w:t>Corresponding author: Guangyu Liu, MD (Fuwai Hospital, Beijing, China)</w:t>
      </w:r>
    </w:p>
    <w:p w14:paraId="4BE6290B">
      <w:r>
        <w:t>Items marked [To be confirmed by authors] refer to Wenjuanxing platform settings that only the survey administrator can verify.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6"/>
        <w:gridCol w:w="3288"/>
        <w:gridCol w:w="3652"/>
      </w:tblGrid>
      <w:tr w14:paraId="682AF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11B7BAD2">
            <w:pPr>
              <w:spacing w:after="0" w:line="240" w:lineRule="auto"/>
            </w:pPr>
            <w:r>
              <w:rPr>
                <w:b/>
              </w:rPr>
              <w:t>Item No</w:t>
            </w:r>
          </w:p>
        </w:tc>
        <w:tc>
          <w:tcPr>
            <w:tcW w:w="3515" w:type="dxa"/>
          </w:tcPr>
          <w:p w14:paraId="3FF2B262">
            <w:pPr>
              <w:spacing w:after="0" w:line="240" w:lineRule="auto"/>
            </w:pPr>
            <w:r>
              <w:rPr>
                <w:b/>
              </w:rPr>
              <w:t>Recommendation</w:t>
            </w:r>
          </w:p>
        </w:tc>
        <w:tc>
          <w:tcPr>
            <w:tcW w:w="4082" w:type="dxa"/>
          </w:tcPr>
          <w:p w14:paraId="7B5FA06F">
            <w:pPr>
              <w:spacing w:after="0" w:line="240" w:lineRule="auto"/>
            </w:pPr>
            <w:r>
              <w:rPr>
                <w:b/>
              </w:rPr>
              <w:t>Location in manuscript / Response</w:t>
            </w:r>
          </w:p>
        </w:tc>
      </w:tr>
      <w:tr w14:paraId="595C4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08EA6045">
            <w:pPr>
              <w:spacing w:after="0" w:line="240" w:lineRule="auto"/>
            </w:pPr>
            <w:r>
              <w:t>1.1 Design</w:t>
            </w:r>
          </w:p>
        </w:tc>
        <w:tc>
          <w:tcPr>
            <w:tcW w:w="3515" w:type="dxa"/>
          </w:tcPr>
          <w:p w14:paraId="57731FF1">
            <w:pPr>
              <w:spacing w:after="0" w:line="240" w:lineRule="auto"/>
            </w:pPr>
            <w:r>
              <w:t>Describe target population, sample frame</w:t>
            </w:r>
          </w:p>
        </w:tc>
        <w:tc>
          <w:tcPr>
            <w:tcW w:w="4082" w:type="dxa"/>
          </w:tcPr>
          <w:p w14:paraId="2B410873">
            <w:pPr>
              <w:spacing w:after="0" w:line="240" w:lineRule="auto"/>
            </w:pPr>
            <w:r>
              <w:t>Methods–Study design: physicians who underwent cardiovascular anesthesia training at Fuwai Hospital, 2020–2023</w:t>
            </w:r>
          </w:p>
        </w:tc>
      </w:tr>
      <w:tr w14:paraId="62DA6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6C0B3144">
            <w:pPr>
              <w:spacing w:after="0" w:line="240" w:lineRule="auto"/>
            </w:pPr>
            <w:r>
              <w:t>1.2 IRB approval</w:t>
            </w:r>
          </w:p>
        </w:tc>
        <w:tc>
          <w:tcPr>
            <w:tcW w:w="3515" w:type="dxa"/>
          </w:tcPr>
          <w:p w14:paraId="3FF36D34">
            <w:pPr>
              <w:spacing w:after="0" w:line="240" w:lineRule="auto"/>
            </w:pPr>
            <w:r>
              <w:t>IRB approval / exemption statement</w:t>
            </w:r>
          </w:p>
        </w:tc>
        <w:tc>
          <w:tcPr>
            <w:tcW w:w="4082" w:type="dxa"/>
          </w:tcPr>
          <w:p w14:paraId="0DD29871">
            <w:pPr>
              <w:spacing w:after="0" w:line="240" w:lineRule="auto"/>
            </w:pPr>
            <w:r>
              <w:t>Methods–Study design (exemption under Article 32 of the Measures for the Ethical Review of Life Science and Medical Research Involving Human Subjects, NHC China 2023); Declarations–Ethics approval and consent to participate</w:t>
            </w:r>
          </w:p>
        </w:tc>
      </w:tr>
      <w:tr w14:paraId="1F4AB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0CA469D3">
            <w:pPr>
              <w:spacing w:after="0" w:line="240" w:lineRule="auto"/>
            </w:pPr>
            <w:r>
              <w:t>1.3 Informed consent</w:t>
            </w:r>
          </w:p>
        </w:tc>
        <w:tc>
          <w:tcPr>
            <w:tcW w:w="3515" w:type="dxa"/>
          </w:tcPr>
          <w:p w14:paraId="075EBC28">
            <w:pPr>
              <w:spacing w:after="0" w:line="240" w:lineRule="auto"/>
            </w:pPr>
            <w:r>
              <w:t>Describe informed consent process</w:t>
            </w:r>
          </w:p>
        </w:tc>
        <w:tc>
          <w:tcPr>
            <w:tcW w:w="4082" w:type="dxa"/>
          </w:tcPr>
          <w:p w14:paraId="21F9E943">
            <w:pPr>
              <w:spacing w:after="0" w:line="240" w:lineRule="auto"/>
            </w:pPr>
            <w:r>
              <w:t>Methods–Study design: study purpose stated on the first page of the questionnaire; electronic informed consent obtained before proceeding</w:t>
            </w:r>
          </w:p>
        </w:tc>
      </w:tr>
      <w:tr w14:paraId="31ADD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38887DCF">
            <w:pPr>
              <w:spacing w:after="0" w:line="240" w:lineRule="auto"/>
            </w:pPr>
            <w:r>
              <w:t>1.4 Data protection</w:t>
            </w:r>
          </w:p>
        </w:tc>
        <w:tc>
          <w:tcPr>
            <w:tcW w:w="3515" w:type="dxa"/>
          </w:tcPr>
          <w:p w14:paraId="08D1590E">
            <w:pPr>
              <w:spacing w:after="0" w:line="240" w:lineRule="auto"/>
            </w:pPr>
            <w:r>
              <w:t>How personal data were protected</w:t>
            </w:r>
          </w:p>
        </w:tc>
        <w:tc>
          <w:tcPr>
            <w:tcW w:w="4082" w:type="dxa"/>
          </w:tcPr>
          <w:p w14:paraId="1C5D19E3">
            <w:pPr>
              <w:spacing w:after="0" w:line="240" w:lineRule="auto"/>
            </w:pPr>
            <w:r>
              <w:t>Anonymous survey; no identifying information collected</w:t>
            </w:r>
          </w:p>
        </w:tc>
      </w:tr>
      <w:tr w14:paraId="5C153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7A0D7007">
            <w:pPr>
              <w:spacing w:after="0" w:line="240" w:lineRule="auto"/>
            </w:pPr>
            <w:r>
              <w:t>2.1 Development/testing</w:t>
            </w:r>
          </w:p>
        </w:tc>
        <w:tc>
          <w:tcPr>
            <w:tcW w:w="3515" w:type="dxa"/>
          </w:tcPr>
          <w:p w14:paraId="408FD736">
            <w:pPr>
              <w:spacing w:after="0" w:line="240" w:lineRule="auto"/>
            </w:pPr>
            <w:r>
              <w:t>Development and pre-testing of the questionnaire</w:t>
            </w:r>
          </w:p>
        </w:tc>
        <w:tc>
          <w:tcPr>
            <w:tcW w:w="4082" w:type="dxa"/>
          </w:tcPr>
          <w:p w14:paraId="27C9A7CF">
            <w:pPr>
              <w:spacing w:after="0" w:line="240" w:lineRule="auto"/>
            </w:pPr>
            <w:r>
              <w:t>Methods–Data collection: self-designed 44-item questionnaire based on literature research and interviews with physicians</w:t>
            </w:r>
          </w:p>
        </w:tc>
      </w:tr>
      <w:tr w14:paraId="59B24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066A9670">
            <w:pPr>
              <w:spacing w:after="0" w:line="240" w:lineRule="auto"/>
            </w:pPr>
            <w:r>
              <w:t>2.2 Pre-testing</w:t>
            </w:r>
          </w:p>
        </w:tc>
        <w:tc>
          <w:tcPr>
            <w:tcW w:w="3515" w:type="dxa"/>
          </w:tcPr>
          <w:p w14:paraId="2CCA23B5">
            <w:pPr>
              <w:spacing w:after="0" w:line="240" w:lineRule="auto"/>
            </w:pPr>
            <w:r>
              <w:t>Pilot testing report</w:t>
            </w:r>
          </w:p>
        </w:tc>
        <w:tc>
          <w:tcPr>
            <w:tcW w:w="4082" w:type="dxa"/>
          </w:tcPr>
          <w:p w14:paraId="5CF8B891">
            <w:pPr>
              <w:spacing w:after="0" w:line="240" w:lineRule="auto"/>
            </w:pPr>
            <w:r>
              <w:t>Not reported</w:t>
            </w:r>
          </w:p>
        </w:tc>
      </w:tr>
      <w:tr w14:paraId="2E422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353D1E04">
            <w:pPr>
              <w:spacing w:after="0" w:line="240" w:lineRule="auto"/>
            </w:pPr>
            <w:r>
              <w:t>3.1 Open vs closed survey</w:t>
            </w:r>
          </w:p>
        </w:tc>
        <w:tc>
          <w:tcPr>
            <w:tcW w:w="3515" w:type="dxa"/>
          </w:tcPr>
          <w:p w14:paraId="4D4D576A">
            <w:pPr>
              <w:spacing w:after="0" w:line="240" w:lineRule="auto"/>
            </w:pPr>
            <w:r>
              <w:t>Open survey or closed survey</w:t>
            </w:r>
          </w:p>
        </w:tc>
        <w:tc>
          <w:tcPr>
            <w:tcW w:w="4082" w:type="dxa"/>
          </w:tcPr>
          <w:p w14:paraId="5F303307">
            <w:pPr>
              <w:spacing w:after="0" w:line="240" w:lineRule="auto"/>
            </w:pPr>
            <w:r>
              <w:t>Open, anonymous web survey; the survey link was distributed online to trainee networks (Methods–Data collection)</w:t>
            </w:r>
          </w:p>
        </w:tc>
      </w:tr>
      <w:tr w14:paraId="2B501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76042A65">
            <w:pPr>
              <w:spacing w:after="0" w:line="240" w:lineRule="auto"/>
            </w:pPr>
            <w:r>
              <w:t>3.2 Contact mode</w:t>
            </w:r>
          </w:p>
        </w:tc>
        <w:tc>
          <w:tcPr>
            <w:tcW w:w="3515" w:type="dxa"/>
          </w:tcPr>
          <w:p w14:paraId="72823F6F">
            <w:pPr>
              <w:spacing w:after="0" w:line="240" w:lineRule="auto"/>
            </w:pPr>
            <w:r>
              <w:t>How participants were contacted</w:t>
            </w:r>
          </w:p>
        </w:tc>
        <w:tc>
          <w:tcPr>
            <w:tcW w:w="4082" w:type="dxa"/>
          </w:tcPr>
          <w:p w14:paraId="00F45AAB">
            <w:pPr>
              <w:spacing w:after="0" w:line="240" w:lineRule="auto"/>
            </w:pPr>
            <w:r>
              <w:t>Online distribution via Wenjuanxing; data collected in November 2023; a deadline was set (Methods–Data collection)</w:t>
            </w:r>
          </w:p>
        </w:tc>
      </w:tr>
      <w:tr w14:paraId="52B8F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3D17282C">
            <w:pPr>
              <w:spacing w:after="0" w:line="240" w:lineRule="auto"/>
            </w:pPr>
            <w:r>
              <w:t>3.3 Advertising</w:t>
            </w:r>
          </w:p>
        </w:tc>
        <w:tc>
          <w:tcPr>
            <w:tcW w:w="3515" w:type="dxa"/>
          </w:tcPr>
          <w:p w14:paraId="2BFC323C">
            <w:pPr>
              <w:spacing w:after="0" w:line="240" w:lineRule="auto"/>
            </w:pPr>
            <w:r>
              <w:t>How the survey was advertised</w:t>
            </w:r>
          </w:p>
        </w:tc>
        <w:tc>
          <w:tcPr>
            <w:tcW w:w="4082" w:type="dxa"/>
          </w:tcPr>
          <w:p w14:paraId="240E4ABE">
            <w:pPr>
              <w:spacing w:after="0" w:line="240" w:lineRule="auto"/>
            </w:pPr>
            <w:r>
              <w:t>The survey link was shared online among eligible trainee networks; no public advertising</w:t>
            </w:r>
          </w:p>
        </w:tc>
      </w:tr>
      <w:tr w14:paraId="6D8E1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6BEC28DC">
            <w:pPr>
              <w:spacing w:after="0" w:line="240" w:lineRule="auto"/>
            </w:pPr>
            <w:r>
              <w:t>4.1 Web/E-mail</w:t>
            </w:r>
          </w:p>
        </w:tc>
        <w:tc>
          <w:tcPr>
            <w:tcW w:w="3515" w:type="dxa"/>
          </w:tcPr>
          <w:p w14:paraId="6BFFB990">
            <w:pPr>
              <w:spacing w:after="0" w:line="240" w:lineRule="auto"/>
            </w:pPr>
            <w:r>
              <w:t>Survey administration mode</w:t>
            </w:r>
          </w:p>
        </w:tc>
        <w:tc>
          <w:tcPr>
            <w:tcW w:w="4082" w:type="dxa"/>
          </w:tcPr>
          <w:p w14:paraId="32E7B965">
            <w:pPr>
              <w:spacing w:after="0" w:line="240" w:lineRule="auto"/>
            </w:pPr>
            <w:r>
              <w:t>Web-based survey via Wenjuanxing (www.wjx.cn), accessible on smartphones and computers</w:t>
            </w:r>
          </w:p>
        </w:tc>
      </w:tr>
      <w:tr w14:paraId="4C4BF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12C03C85">
            <w:pPr>
              <w:spacing w:after="0" w:line="240" w:lineRule="auto"/>
            </w:pPr>
            <w:r>
              <w:t>4.2 Context</w:t>
            </w:r>
          </w:p>
        </w:tc>
        <w:tc>
          <w:tcPr>
            <w:tcW w:w="3515" w:type="dxa"/>
          </w:tcPr>
          <w:p w14:paraId="054B52AF">
            <w:pPr>
              <w:spacing w:after="0" w:line="240" w:lineRule="auto"/>
            </w:pPr>
            <w:r>
              <w:t>Context of administration</w:t>
            </w:r>
          </w:p>
        </w:tc>
        <w:tc>
          <w:tcPr>
            <w:tcW w:w="4082" w:type="dxa"/>
          </w:tcPr>
          <w:p w14:paraId="28EF2DE4">
            <w:pPr>
              <w:spacing w:after="0" w:line="240" w:lineRule="auto"/>
            </w:pPr>
            <w:r>
              <w:t>Methods–Study design</w:t>
            </w:r>
          </w:p>
        </w:tc>
      </w:tr>
      <w:tr w14:paraId="2AD54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068F5F0D">
            <w:pPr>
              <w:spacing w:after="0" w:line="240" w:lineRule="auto"/>
            </w:pPr>
            <w:r>
              <w:t>5.1 Mandatory/voluntary</w:t>
            </w:r>
          </w:p>
        </w:tc>
        <w:tc>
          <w:tcPr>
            <w:tcW w:w="3515" w:type="dxa"/>
          </w:tcPr>
          <w:p w14:paraId="1CD9CA83">
            <w:pPr>
              <w:spacing w:after="0" w:line="240" w:lineRule="auto"/>
            </w:pPr>
            <w:r>
              <w:t>Voluntary or mandatory participation</w:t>
            </w:r>
          </w:p>
        </w:tc>
        <w:tc>
          <w:tcPr>
            <w:tcW w:w="4082" w:type="dxa"/>
          </w:tcPr>
          <w:p w14:paraId="134AF0A2">
            <w:pPr>
              <w:spacing w:after="0" w:line="240" w:lineRule="auto"/>
            </w:pPr>
            <w:r>
              <w:t>Voluntary and anonymous (Methods–Study design)</w:t>
            </w:r>
          </w:p>
        </w:tc>
      </w:tr>
      <w:tr w14:paraId="1CB13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6F67552C">
            <w:pPr>
              <w:spacing w:after="0" w:line="240" w:lineRule="auto"/>
            </w:pPr>
            <w:r>
              <w:t>5.2 Incentives</w:t>
            </w:r>
          </w:p>
        </w:tc>
        <w:tc>
          <w:tcPr>
            <w:tcW w:w="3515" w:type="dxa"/>
          </w:tcPr>
          <w:p w14:paraId="72355215">
            <w:pPr>
              <w:spacing w:after="0" w:line="240" w:lineRule="auto"/>
            </w:pPr>
            <w:r>
              <w:t>Were incentives offered</w:t>
            </w:r>
          </w:p>
        </w:tc>
        <w:tc>
          <w:tcPr>
            <w:tcW w:w="4082" w:type="dxa"/>
          </w:tcPr>
          <w:p w14:paraId="7A459229">
            <w:pPr>
              <w:spacing w:after="0" w:line="240" w:lineRule="auto"/>
            </w:pPr>
            <w:r>
              <w:t>[To be confirmed by authors: state whether any incentive was offered]</w:t>
            </w:r>
          </w:p>
        </w:tc>
      </w:tr>
      <w:tr w14:paraId="30EBE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4B97266C">
            <w:pPr>
              <w:spacing w:after="0" w:line="240" w:lineRule="auto"/>
            </w:pPr>
            <w:r>
              <w:t>5.3 Time/Date</w:t>
            </w:r>
          </w:p>
        </w:tc>
        <w:tc>
          <w:tcPr>
            <w:tcW w:w="3515" w:type="dxa"/>
          </w:tcPr>
          <w:p w14:paraId="3B80C22A">
            <w:pPr>
              <w:spacing w:after="0" w:line="240" w:lineRule="auto"/>
            </w:pPr>
            <w:r>
              <w:t>Period of data collection</w:t>
            </w:r>
          </w:p>
        </w:tc>
        <w:tc>
          <w:tcPr>
            <w:tcW w:w="4082" w:type="dxa"/>
          </w:tcPr>
          <w:p w14:paraId="050F8B96">
            <w:pPr>
              <w:spacing w:after="0" w:line="240" w:lineRule="auto"/>
            </w:pPr>
            <w:r>
              <w:t>November 2023 (Methods–Data collection)</w:t>
            </w:r>
          </w:p>
        </w:tc>
      </w:tr>
      <w:tr w14:paraId="78B71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67B436E2">
            <w:pPr>
              <w:spacing w:after="0" w:line="240" w:lineRule="auto"/>
            </w:pPr>
            <w:r>
              <w:t>6.1 Randomization</w:t>
            </w:r>
          </w:p>
        </w:tc>
        <w:tc>
          <w:tcPr>
            <w:tcW w:w="3515" w:type="dxa"/>
          </w:tcPr>
          <w:p w14:paraId="4C02D591">
            <w:pPr>
              <w:spacing w:after="0" w:line="240" w:lineRule="auto"/>
            </w:pPr>
            <w:r>
              <w:t>Randomization of items/questionnaires</w:t>
            </w:r>
          </w:p>
        </w:tc>
        <w:tc>
          <w:tcPr>
            <w:tcW w:w="4082" w:type="dxa"/>
          </w:tcPr>
          <w:p w14:paraId="049C066E">
            <w:pPr>
              <w:spacing w:after="0" w:line="240" w:lineRule="auto"/>
            </w:pPr>
            <w:r>
              <w:t>Fixed 44-item questionnaire; no item randomization</w:t>
            </w:r>
          </w:p>
        </w:tc>
      </w:tr>
      <w:tr w14:paraId="20FAB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41A17698">
            <w:pPr>
              <w:spacing w:after="0" w:line="240" w:lineRule="auto"/>
            </w:pPr>
            <w:r>
              <w:t>6.2 Adaptive questioning</w:t>
            </w:r>
          </w:p>
        </w:tc>
        <w:tc>
          <w:tcPr>
            <w:tcW w:w="3515" w:type="dxa"/>
          </w:tcPr>
          <w:p w14:paraId="68D0651D">
            <w:pPr>
              <w:spacing w:after="0" w:line="240" w:lineRule="auto"/>
            </w:pPr>
            <w:r>
              <w:t>Adaptive questioning</w:t>
            </w:r>
          </w:p>
        </w:tc>
        <w:tc>
          <w:tcPr>
            <w:tcW w:w="4082" w:type="dxa"/>
          </w:tcPr>
          <w:p w14:paraId="694156E0">
            <w:pPr>
              <w:spacing w:after="0" w:line="240" w:lineRule="auto"/>
            </w:pPr>
            <w:r>
              <w:t>Not used; fixed-item questionnaire (29 single-choice, 6 multiple-choice, 6 open-ended, 3 matrix single-choice)</w:t>
            </w:r>
          </w:p>
        </w:tc>
      </w:tr>
      <w:tr w14:paraId="6FE27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4B5A27BA">
            <w:pPr>
              <w:spacing w:after="0" w:line="240" w:lineRule="auto"/>
            </w:pPr>
            <w:r>
              <w:t>7.1 Number of items</w:t>
            </w:r>
          </w:p>
        </w:tc>
        <w:tc>
          <w:tcPr>
            <w:tcW w:w="3515" w:type="dxa"/>
          </w:tcPr>
          <w:p w14:paraId="3DD910B7">
            <w:pPr>
              <w:spacing w:after="0" w:line="240" w:lineRule="auto"/>
            </w:pPr>
            <w:r>
              <w:t>Number of items per screen / total</w:t>
            </w:r>
          </w:p>
        </w:tc>
        <w:tc>
          <w:tcPr>
            <w:tcW w:w="4082" w:type="dxa"/>
          </w:tcPr>
          <w:p w14:paraId="130710FA">
            <w:pPr>
              <w:spacing w:after="0" w:line="240" w:lineRule="auto"/>
            </w:pPr>
            <w:r>
              <w:t>44 items in total; [To be confirmed by authors: number of screens/pages]</w:t>
            </w:r>
          </w:p>
        </w:tc>
      </w:tr>
      <w:tr w14:paraId="0A44F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41E3ECB5">
            <w:pPr>
              <w:spacing w:after="0" w:line="240" w:lineRule="auto"/>
            </w:pPr>
            <w:r>
              <w:t>7.2 Number of screens</w:t>
            </w:r>
          </w:p>
        </w:tc>
        <w:tc>
          <w:tcPr>
            <w:tcW w:w="3515" w:type="dxa"/>
          </w:tcPr>
          <w:p w14:paraId="277ED635">
            <w:pPr>
              <w:spacing w:after="0" w:line="240" w:lineRule="auto"/>
            </w:pPr>
            <w:r>
              <w:t>Number of screens</w:t>
            </w:r>
          </w:p>
        </w:tc>
        <w:tc>
          <w:tcPr>
            <w:tcW w:w="4082" w:type="dxa"/>
          </w:tcPr>
          <w:p w14:paraId="53BCA162">
            <w:pPr>
              <w:spacing w:after="0" w:line="240" w:lineRule="auto"/>
            </w:pPr>
            <w:r>
              <w:t>[To be confirmed by authors]</w:t>
            </w:r>
          </w:p>
        </w:tc>
      </w:tr>
      <w:tr w14:paraId="7497C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6B6DCF4B">
            <w:pPr>
              <w:spacing w:after="0" w:line="240" w:lineRule="auto"/>
            </w:pPr>
            <w:r>
              <w:t>8. Completeness check</w:t>
            </w:r>
          </w:p>
        </w:tc>
        <w:tc>
          <w:tcPr>
            <w:tcW w:w="3515" w:type="dxa"/>
          </w:tcPr>
          <w:p w14:paraId="17E6E632">
            <w:pPr>
              <w:spacing w:after="0" w:line="240" w:lineRule="auto"/>
            </w:pPr>
            <w:r>
              <w:t>Completeness/consistency checks before submission</w:t>
            </w:r>
          </w:p>
        </w:tc>
        <w:tc>
          <w:tcPr>
            <w:tcW w:w="4082" w:type="dxa"/>
          </w:tcPr>
          <w:p w14:paraId="16B85693">
            <w:pPr>
              <w:spacing w:after="0" w:line="240" w:lineRule="auto"/>
            </w:pPr>
            <w:r>
              <w:t>[To be confirmed by authors: whether Wenjuanxing required completion of all items before submission]</w:t>
            </w:r>
          </w:p>
        </w:tc>
      </w:tr>
      <w:tr w14:paraId="5FDD8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24E1CE47">
            <w:pPr>
              <w:spacing w:after="0" w:line="240" w:lineRule="auto"/>
            </w:pPr>
            <w:r>
              <w:t>9. Review step</w:t>
            </w:r>
          </w:p>
        </w:tc>
        <w:tc>
          <w:tcPr>
            <w:tcW w:w="3515" w:type="dxa"/>
          </w:tcPr>
          <w:p w14:paraId="2C12BE49">
            <w:pPr>
              <w:spacing w:after="0" w:line="240" w:lineRule="auto"/>
            </w:pPr>
            <w:r>
              <w:t>Review/change step before submission</w:t>
            </w:r>
          </w:p>
        </w:tc>
        <w:tc>
          <w:tcPr>
            <w:tcW w:w="4082" w:type="dxa"/>
          </w:tcPr>
          <w:p w14:paraId="1E9B9626">
            <w:pPr>
              <w:spacing w:after="0" w:line="240" w:lineRule="auto"/>
            </w:pPr>
            <w:r>
              <w:t>Wenjuanxing default allows respondents to review answers before final submission; [To be confirmed by authors]</w:t>
            </w:r>
          </w:p>
        </w:tc>
      </w:tr>
      <w:tr w14:paraId="6DA00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2658EEC4">
            <w:pPr>
              <w:spacing w:after="0" w:line="240" w:lineRule="auto"/>
            </w:pPr>
            <w:r>
              <w:t>10.1 Unique site visitor</w:t>
            </w:r>
          </w:p>
        </w:tc>
        <w:tc>
          <w:tcPr>
            <w:tcW w:w="3515" w:type="dxa"/>
          </w:tcPr>
          <w:p w14:paraId="549AB558">
            <w:pPr>
              <w:spacing w:after="0" w:line="240" w:lineRule="auto"/>
            </w:pPr>
            <w:r>
              <w:t>Cookies / IP check / log-file analysis to prevent duplicate entries</w:t>
            </w:r>
          </w:p>
        </w:tc>
        <w:tc>
          <w:tcPr>
            <w:tcW w:w="4082" w:type="dxa"/>
          </w:tcPr>
          <w:p w14:paraId="63D6EC69">
            <w:pPr>
              <w:spacing w:after="0" w:line="240" w:lineRule="auto"/>
            </w:pPr>
            <w:r>
              <w:t>[To be confirmed by authors: Wenjuanxing duplicate-response setting, e.g., one response per device/WeChat account]</w:t>
            </w:r>
          </w:p>
        </w:tc>
      </w:tr>
      <w:tr w14:paraId="19342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5F5565FD">
            <w:pPr>
              <w:spacing w:after="0" w:line="240" w:lineRule="auto"/>
            </w:pPr>
            <w:r>
              <w:t>10.2 View rate</w:t>
            </w:r>
          </w:p>
        </w:tc>
        <w:tc>
          <w:tcPr>
            <w:tcW w:w="3515" w:type="dxa"/>
          </w:tcPr>
          <w:p w14:paraId="19658139">
            <w:pPr>
              <w:spacing w:after="0" w:line="240" w:lineRule="auto"/>
            </w:pPr>
            <w:r>
              <w:t>View rate (visitors/page views)</w:t>
            </w:r>
          </w:p>
        </w:tc>
        <w:tc>
          <w:tcPr>
            <w:tcW w:w="4082" w:type="dxa"/>
          </w:tcPr>
          <w:p w14:paraId="32ECE8A6">
            <w:pPr>
              <w:spacing w:after="0" w:line="240" w:lineRule="auto"/>
            </w:pPr>
            <w:r>
              <w:t>Not available</w:t>
            </w:r>
          </w:p>
        </w:tc>
      </w:tr>
      <w:tr w14:paraId="31D7E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6729C727">
            <w:pPr>
              <w:spacing w:after="0" w:line="240" w:lineRule="auto"/>
            </w:pPr>
            <w:r>
              <w:t>10.3 Participation rate</w:t>
            </w:r>
          </w:p>
        </w:tc>
        <w:tc>
          <w:tcPr>
            <w:tcW w:w="3515" w:type="dxa"/>
          </w:tcPr>
          <w:p w14:paraId="01D0A789">
            <w:pPr>
              <w:spacing w:after="0" w:line="240" w:lineRule="auto"/>
            </w:pPr>
            <w:r>
              <w:t>Participation rate</w:t>
            </w:r>
          </w:p>
        </w:tc>
        <w:tc>
          <w:tcPr>
            <w:tcW w:w="4082" w:type="dxa"/>
          </w:tcPr>
          <w:p w14:paraId="394C9E57">
            <w:pPr>
              <w:spacing w:after="0" w:line="240" w:lineRule="auto"/>
            </w:pPr>
            <w:r>
              <w:t>Not applicable—open anonymous online survey; the exact number of physicians who received the link could not be determined (stated in Methods)</w:t>
            </w:r>
          </w:p>
        </w:tc>
      </w:tr>
      <w:tr w14:paraId="32FFD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54A8B9E4">
            <w:pPr>
              <w:spacing w:after="0" w:line="240" w:lineRule="auto"/>
            </w:pPr>
            <w:r>
              <w:t>10.4 Completion rate</w:t>
            </w:r>
          </w:p>
        </w:tc>
        <w:tc>
          <w:tcPr>
            <w:tcW w:w="3515" w:type="dxa"/>
          </w:tcPr>
          <w:p w14:paraId="0154DBF3">
            <w:pPr>
              <w:spacing w:after="0" w:line="240" w:lineRule="auto"/>
            </w:pPr>
            <w:r>
              <w:t>Completion rate (finished/started)</w:t>
            </w:r>
          </w:p>
        </w:tc>
        <w:tc>
          <w:tcPr>
            <w:tcW w:w="4082" w:type="dxa"/>
          </w:tcPr>
          <w:p w14:paraId="3C3C7683">
            <w:pPr>
              <w:spacing w:after="0" w:line="240" w:lineRule="auto"/>
            </w:pPr>
            <w:r>
              <w:t>Not applicable—open survey; the number of unique visitors who started the questionnaire was not captured</w:t>
            </w:r>
          </w:p>
        </w:tc>
      </w:tr>
      <w:tr w14:paraId="4B397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4BF0DFE0">
            <w:pPr>
              <w:spacing w:after="0" w:line="240" w:lineRule="auto"/>
            </w:pPr>
            <w:r>
              <w:t>11.1 Duplicate prevention analysis</w:t>
            </w:r>
          </w:p>
        </w:tc>
        <w:tc>
          <w:tcPr>
            <w:tcW w:w="3515" w:type="dxa"/>
          </w:tcPr>
          <w:p w14:paraId="0C66BCCD">
            <w:pPr>
              <w:spacing w:after="0" w:line="240" w:lineRule="auto"/>
            </w:pPr>
            <w:r>
              <w:t>How duplicate entries were handled in analysis</w:t>
            </w:r>
          </w:p>
        </w:tc>
        <w:tc>
          <w:tcPr>
            <w:tcW w:w="4082" w:type="dxa"/>
          </w:tcPr>
          <w:p w14:paraId="661A5D64">
            <w:pPr>
              <w:spacing w:after="0" w:line="240" w:lineRule="auto"/>
            </w:pPr>
            <w:r>
              <w:t>[To be confirmed by authors]</w:t>
            </w:r>
          </w:p>
        </w:tc>
      </w:tr>
      <w:tr w14:paraId="1BB31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 w14:paraId="07ABDEC7">
            <w:pPr>
              <w:spacing w:after="0" w:line="240" w:lineRule="auto"/>
            </w:pPr>
            <w:r>
              <w:t>12. Analysis</w:t>
            </w:r>
          </w:p>
        </w:tc>
        <w:tc>
          <w:tcPr>
            <w:tcW w:w="3515" w:type="dxa"/>
          </w:tcPr>
          <w:p w14:paraId="1E1FC06F">
            <w:pPr>
              <w:spacing w:after="0" w:line="240" w:lineRule="auto"/>
            </w:pPr>
            <w:r>
              <w:t>Analysis of complete vs partial questionnaires</w:t>
            </w:r>
          </w:p>
        </w:tc>
        <w:tc>
          <w:tcPr>
            <w:tcW w:w="4082" w:type="dxa"/>
          </w:tcPr>
          <w:p w14:paraId="75D2BB5C">
            <w:pPr>
              <w:spacing w:after="0" w:line="240" w:lineRule="auto"/>
            </w:pPr>
            <w:r>
              <w:t>Analyses were based on the 192 submitted questionnaires (Results–Baseline characteristics)</w:t>
            </w:r>
          </w:p>
        </w:tc>
      </w:tr>
    </w:tbl>
    <w:p w14:paraId="17ED8BE0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431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535</Words>
  <Characters>3508</Characters>
  <Lines>0</Lines>
  <Paragraphs>0</Paragraphs>
  <TotalTime>0</TotalTime>
  <ScaleCrop>false</ScaleCrop>
  <LinksUpToDate>false</LinksUpToDate>
  <CharactersWithSpaces>3958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李瑞丰</cp:lastModifiedBy>
  <dcterms:modified xsi:type="dcterms:W3CDTF">2026-08-18T09:45:00Z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B469E7C917B54919B1BD1DDC8EA595CF_13</vt:lpwstr>
  </property>
</Properties>
</file>