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210D" w14:textId="77777777" w:rsidR="00D353F5" w:rsidRPr="00211B8F" w:rsidRDefault="00D353F5" w:rsidP="00D353F5">
      <w:pPr>
        <w:spacing w:after="120" w:line="360" w:lineRule="auto"/>
        <w:contextualSpacing/>
        <w:rPr>
          <w:rFonts w:asciiTheme="majorBidi" w:hAnsiTheme="majorBidi" w:cstheme="majorBidi"/>
          <w:b/>
          <w:bCs/>
          <w:color w:val="000000" w:themeColor="text1"/>
        </w:rPr>
      </w:pPr>
      <w:r w:rsidRPr="00211B8F">
        <w:rPr>
          <w:rFonts w:asciiTheme="majorBidi" w:hAnsiTheme="majorBidi" w:cstheme="majorBidi"/>
          <w:b/>
          <w:bCs/>
          <w:color w:val="000000" w:themeColor="text1"/>
        </w:rPr>
        <w:t>APPENDICSES</w:t>
      </w:r>
    </w:p>
    <w:p w14:paraId="082EDE05" w14:textId="77777777" w:rsidR="00D353F5" w:rsidRPr="00B30376" w:rsidRDefault="00D353F5" w:rsidP="00D353F5">
      <w:pPr>
        <w:spacing w:after="120" w:line="360" w:lineRule="auto"/>
        <w:contextualSpacing/>
        <w:jc w:val="center"/>
        <w:rPr>
          <w:rFonts w:asciiTheme="majorBidi" w:hAnsiTheme="majorBidi" w:cstheme="majorBidi"/>
          <w:color w:val="000000" w:themeColor="text1"/>
        </w:rPr>
      </w:pPr>
      <w:r w:rsidRPr="00B30376">
        <w:rPr>
          <w:rFonts w:asciiTheme="majorBidi" w:hAnsiTheme="majorBidi" w:cstheme="majorBidi"/>
          <w:color w:val="000000" w:themeColor="text1"/>
        </w:rPr>
        <w:t xml:space="preserve">Appendix </w:t>
      </w:r>
      <w:r w:rsidRPr="00B30376">
        <w:rPr>
          <w:rFonts w:asciiTheme="majorBidi" w:hAnsiTheme="majorBidi" w:cstheme="majorBidi"/>
          <w:color w:val="000000" w:themeColor="text1"/>
          <w:rtl/>
        </w:rPr>
        <w:t>1</w:t>
      </w:r>
      <w:r w:rsidRPr="00B30376">
        <w:rPr>
          <w:rFonts w:asciiTheme="majorBidi" w:hAnsiTheme="majorBidi" w:cstheme="majorBidi"/>
          <w:color w:val="000000" w:themeColor="text1"/>
        </w:rPr>
        <w:t xml:space="preserve"> – </w:t>
      </w:r>
      <w:r w:rsidRPr="00B30376">
        <w:rPr>
          <w:rFonts w:asciiTheme="majorBidi" w:hAnsiTheme="majorBidi" w:cstheme="majorBidi"/>
          <w:i/>
          <w:iCs/>
          <w:color w:val="000000"/>
        </w:rPr>
        <w:t xml:space="preserve">The Hadassah-Meuhedet </w:t>
      </w:r>
      <w:r>
        <w:rPr>
          <w:rFonts w:asciiTheme="majorBidi" w:hAnsiTheme="majorBidi" w:cstheme="majorBidi"/>
          <w:i/>
          <w:iCs/>
          <w:color w:val="000000"/>
        </w:rPr>
        <w:t>Hospital-at-Home</w:t>
      </w:r>
      <w:r w:rsidRPr="00B30376">
        <w:rPr>
          <w:rFonts w:asciiTheme="majorBidi" w:hAnsiTheme="majorBidi" w:cstheme="majorBidi"/>
          <w:i/>
          <w:iCs/>
          <w:color w:val="000000"/>
        </w:rPr>
        <w:t xml:space="preserve"> program (HMHH)</w:t>
      </w:r>
    </w:p>
    <w:p w14:paraId="090827AF" w14:textId="77777777" w:rsidR="00D353F5" w:rsidRPr="00B30376" w:rsidRDefault="00D353F5" w:rsidP="00D353F5">
      <w:pPr>
        <w:pStyle w:val="NormalWeb"/>
        <w:spacing w:before="0" w:beforeAutospacing="0" w:after="0" w:afterAutospacing="0" w:line="480" w:lineRule="auto"/>
        <w:jc w:val="both"/>
        <w:rPr>
          <w:rFonts w:asciiTheme="majorBidi" w:hAnsiTheme="majorBidi" w:cstheme="majorBidi"/>
          <w:color w:val="000000"/>
        </w:rPr>
      </w:pPr>
      <w:r w:rsidRPr="00B30376">
        <w:rPr>
          <w:rFonts w:asciiTheme="majorBidi" w:hAnsiTheme="majorBidi" w:cstheme="majorBidi"/>
          <w:color w:val="000000"/>
        </w:rPr>
        <w:t xml:space="preserve">Between September and November 2022, the Israeli Hadassah Hospital and the Jerusalem district of the Meuhedet health plan launched a pilot hybrid model of an acute </w:t>
      </w:r>
      <w:r>
        <w:rPr>
          <w:rFonts w:asciiTheme="majorBidi" w:hAnsiTheme="majorBidi" w:cstheme="majorBidi"/>
          <w:color w:val="000000"/>
        </w:rPr>
        <w:t xml:space="preserve">Hospital-at-Home </w:t>
      </w:r>
      <w:r w:rsidRPr="00B30376">
        <w:rPr>
          <w:rFonts w:asciiTheme="majorBidi" w:hAnsiTheme="majorBidi" w:cstheme="majorBidi"/>
          <w:color w:val="000000"/>
        </w:rPr>
        <w:t xml:space="preserve">department for 30 complex medical patients, who agreed to receive treatment at home instead of in an internal medicine unit. The HMHH hybrid model is unique in its focus on </w:t>
      </w:r>
      <w:r w:rsidRPr="00B30376">
        <w:rPr>
          <w:rFonts w:asciiTheme="majorBidi" w:hAnsiTheme="majorBidi" w:cstheme="majorBidi"/>
          <w:i/>
          <w:iCs/>
          <w:color w:val="000000"/>
        </w:rPr>
        <w:t>complex patients</w:t>
      </w:r>
      <w:r w:rsidRPr="00B30376">
        <w:rPr>
          <w:rFonts w:asciiTheme="majorBidi" w:hAnsiTheme="majorBidi" w:cstheme="majorBidi"/>
          <w:color w:val="000000"/>
        </w:rPr>
        <w:t xml:space="preserve"> and in that it involved cooperation between hospital and health plan medical staff to provide treatment, with the health plan responsible for oxygen supply, BiPAP, patient transfers for dialysis, and allied health care treatment. Although there is no current agreement among professionals on the definition of “complexity” in medical settings, comorbidities, behavior, and demographic information are influential factors commonly considered when defining this term </w:t>
      </w:r>
      <w:sdt>
        <w:sdtPr>
          <w:rPr>
            <w:color w:val="000000"/>
          </w:rPr>
          <w:tag w:val="MENDELEY_CITATION_v3_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"/>
          <w:id w:val="1027912323"/>
          <w:placeholder>
            <w:docPart w:val="A86B9ECCAF7C40AF8E602411D13C1070"/>
          </w:placeholder>
        </w:sdtPr>
        <w:sdtContent>
          <w:r w:rsidRPr="00211B8F">
            <w:rPr>
              <w:color w:val="000000"/>
            </w:rPr>
            <w:t>[30]</w:t>
          </w:r>
        </w:sdtContent>
      </w:sdt>
      <w:r w:rsidRPr="00B30376">
        <w:rPr>
          <w:rFonts w:asciiTheme="majorBidi" w:hAnsiTheme="majorBidi" w:cstheme="majorBidi"/>
          <w:color w:val="000000"/>
        </w:rPr>
        <w:t xml:space="preserve"> .</w:t>
      </w:r>
    </w:p>
    <w:p w14:paraId="18E70B17" w14:textId="77777777" w:rsidR="00D353F5" w:rsidRPr="00B30376" w:rsidRDefault="00D353F5" w:rsidP="00D353F5">
      <w:pPr>
        <w:pStyle w:val="NormalWeb"/>
        <w:spacing w:before="0" w:beforeAutospacing="0" w:after="0" w:afterAutospacing="0" w:line="480" w:lineRule="auto"/>
        <w:jc w:val="both"/>
        <w:rPr>
          <w:rFonts w:asciiTheme="majorBidi" w:hAnsiTheme="majorBidi" w:cstheme="majorBidi"/>
          <w:i/>
          <w:iCs/>
        </w:rPr>
      </w:pPr>
      <w:r w:rsidRPr="00B30376">
        <w:rPr>
          <w:rFonts w:asciiTheme="majorBidi" w:hAnsiTheme="majorBidi" w:cstheme="majorBidi"/>
          <w:i/>
          <w:iCs/>
        </w:rPr>
        <w:t>The HMHH resources and capacity</w:t>
      </w:r>
    </w:p>
    <w:p w14:paraId="72A132C4" w14:textId="77777777" w:rsidR="00D353F5" w:rsidRPr="00B30376" w:rsidRDefault="00D353F5" w:rsidP="00D353F5">
      <w:pPr>
        <w:pStyle w:val="NormalWeb"/>
        <w:spacing w:before="0" w:beforeAutospacing="0" w:after="0" w:afterAutospacing="0" w:line="480" w:lineRule="auto"/>
        <w:jc w:val="both"/>
        <w:rPr>
          <w:rFonts w:asciiTheme="majorBidi" w:hAnsiTheme="majorBidi" w:cstheme="majorBidi"/>
          <w:i/>
          <w:iCs/>
        </w:rPr>
      </w:pPr>
      <w:r w:rsidRPr="00B30376">
        <w:rPr>
          <w:rFonts w:asciiTheme="majorBidi" w:hAnsiTheme="majorBidi" w:cstheme="majorBidi"/>
          <w:i/>
          <w:iCs/>
        </w:rPr>
        <w:t>Program staff</w:t>
      </w:r>
    </w:p>
    <w:p w14:paraId="2D2578FF" w14:textId="77777777" w:rsidR="00D353F5" w:rsidRPr="00B30376" w:rsidRDefault="00D353F5" w:rsidP="00D353F5">
      <w:pPr>
        <w:pStyle w:val="NormalWeb"/>
        <w:spacing w:before="0" w:beforeAutospacing="0" w:after="0" w:afterAutospacing="0" w:line="480" w:lineRule="auto"/>
        <w:jc w:val="both"/>
        <w:rPr>
          <w:rFonts w:asciiTheme="majorBidi" w:hAnsiTheme="majorBidi" w:cstheme="majorBidi"/>
          <w:color w:val="000000" w:themeColor="text1"/>
        </w:rPr>
      </w:pPr>
      <w:r w:rsidRPr="00B30376">
        <w:rPr>
          <w:rFonts w:asciiTheme="majorBidi" w:hAnsiTheme="majorBidi" w:cstheme="majorBidi"/>
        </w:rPr>
        <w:t xml:space="preserve">The program capacity was six patients at a given time. This limit was a result of the constraint set by the program initiators of one physician per two patients. This compares to a regular hospital internal ward, where the standard in Israel is set to 12 physicians per 36 patients (1 per 3 patients). All </w:t>
      </w:r>
      <w:r w:rsidRPr="00B30376">
        <w:rPr>
          <w:rFonts w:asciiTheme="majorBidi" w:hAnsiTheme="majorBidi" w:cstheme="majorBidi"/>
          <w:i/>
          <w:iCs/>
        </w:rPr>
        <w:t>physicians</w:t>
      </w:r>
      <w:r w:rsidRPr="00B30376">
        <w:rPr>
          <w:rFonts w:asciiTheme="majorBidi" w:hAnsiTheme="majorBidi" w:cstheme="majorBidi"/>
        </w:rPr>
        <w:t xml:space="preserve"> who participated in the program were internal medicine physicians and had experience with ICU training. </w:t>
      </w:r>
    </w:p>
    <w:p w14:paraId="119FA8C7"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Two physicians who staffed the program each week, in rotation, were responsible for recruiting patients to the program and for making the visits to each of the program’s patients once or twice a day as needed. This physician was also on call 24 hours a day for urgent questions or visits. The calls were from patients and their families outside of visiting hours. Each call was answered first by phone while looking at the indicators on the monitor sticker. After that, the team made a joint decision on whether to visit the patient again at home. Scheduled patient visits took between 30 and 60 minutes, with an additional 60 minutes of travel time. </w:t>
      </w:r>
    </w:p>
    <w:p w14:paraId="351AA17A" w14:textId="77777777" w:rsidR="00D353F5" w:rsidRPr="00B30376" w:rsidRDefault="00D353F5" w:rsidP="00D353F5">
      <w:pPr>
        <w:spacing w:after="0" w:line="480" w:lineRule="auto"/>
        <w:contextualSpacing/>
        <w:jc w:val="both"/>
        <w:rPr>
          <w:rFonts w:asciiTheme="majorBidi" w:hAnsiTheme="majorBidi" w:cstheme="majorBidi"/>
          <w:color w:val="000000" w:themeColor="text1"/>
          <w:rtl/>
        </w:rPr>
      </w:pPr>
      <w:r w:rsidRPr="00B30376">
        <w:rPr>
          <w:rFonts w:asciiTheme="majorBidi" w:hAnsiTheme="majorBidi" w:cstheme="majorBidi"/>
          <w:color w:val="000000" w:themeColor="text1"/>
        </w:rPr>
        <w:lastRenderedPageBreak/>
        <w:t xml:space="preserve">In addition to the program’s physicians, other specialist physicians were designated for consultations for the project. The program’s physicians would contact the specialists for consultations as necessary. Out of the 30 patients, 12 had one specialist consultation, 11 patients had no consultation, and 7 had two consultations with different specialists. The most common consultation was with an Infectious disease specialist. </w:t>
      </w:r>
    </w:p>
    <w:p w14:paraId="59B18E39" w14:textId="77777777" w:rsidR="00D353F5" w:rsidRPr="00B30376" w:rsidRDefault="00D353F5" w:rsidP="00D353F5">
      <w:pPr>
        <w:spacing w:after="0" w:line="480" w:lineRule="auto"/>
        <w:contextualSpacing/>
        <w:rPr>
          <w:rFonts w:asciiTheme="majorBidi" w:hAnsiTheme="majorBidi" w:cstheme="majorBidi"/>
          <w:color w:val="000000" w:themeColor="text1"/>
        </w:rPr>
      </w:pPr>
      <w:r w:rsidRPr="00B30376">
        <w:rPr>
          <w:rFonts w:asciiTheme="majorBidi" w:hAnsiTheme="majorBidi" w:cstheme="majorBidi"/>
          <w:color w:val="000000" w:themeColor="text1"/>
        </w:rPr>
        <w:t>Table of consultations:</w:t>
      </w:r>
    </w:p>
    <w:tbl>
      <w:tblPr>
        <w:tblW w:w="4780" w:type="dxa"/>
        <w:tblLook w:val="04A0" w:firstRow="1" w:lastRow="0" w:firstColumn="1" w:lastColumn="0" w:noHBand="0" w:noVBand="1"/>
      </w:tblPr>
      <w:tblGrid>
        <w:gridCol w:w="2660"/>
        <w:gridCol w:w="2120"/>
      </w:tblGrid>
      <w:tr w:rsidR="00D353F5" w:rsidRPr="00B30376" w14:paraId="0C699194" w14:textId="77777777" w:rsidTr="004C4FE0">
        <w:trPr>
          <w:trHeight w:val="645"/>
        </w:trPr>
        <w:tc>
          <w:tcPr>
            <w:tcW w:w="2660" w:type="dxa"/>
            <w:tcBorders>
              <w:top w:val="single" w:sz="4" w:space="0" w:color="auto"/>
              <w:left w:val="nil"/>
              <w:bottom w:val="double" w:sz="6" w:space="0" w:color="auto"/>
              <w:right w:val="nil"/>
            </w:tcBorders>
            <w:shd w:val="clear" w:color="000000" w:fill="FFFFFF"/>
            <w:hideMark/>
          </w:tcPr>
          <w:p w14:paraId="0BAA16CC"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Consultation Specialist</w:t>
            </w:r>
          </w:p>
        </w:tc>
        <w:tc>
          <w:tcPr>
            <w:tcW w:w="2120" w:type="dxa"/>
            <w:tcBorders>
              <w:top w:val="single" w:sz="4" w:space="0" w:color="auto"/>
              <w:left w:val="nil"/>
              <w:bottom w:val="double" w:sz="6" w:space="0" w:color="auto"/>
              <w:right w:val="nil"/>
            </w:tcBorders>
            <w:shd w:val="clear" w:color="000000" w:fill="FFFFFF"/>
            <w:hideMark/>
          </w:tcPr>
          <w:p w14:paraId="17394DC7"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Total number of consultations</w:t>
            </w:r>
          </w:p>
        </w:tc>
      </w:tr>
      <w:tr w:rsidR="00D353F5" w:rsidRPr="00B30376" w14:paraId="73784057" w14:textId="77777777" w:rsidTr="004C4FE0">
        <w:trPr>
          <w:trHeight w:val="330"/>
        </w:trPr>
        <w:tc>
          <w:tcPr>
            <w:tcW w:w="2660" w:type="dxa"/>
            <w:tcBorders>
              <w:top w:val="nil"/>
              <w:left w:val="nil"/>
              <w:bottom w:val="nil"/>
              <w:right w:val="nil"/>
            </w:tcBorders>
            <w:noWrap/>
            <w:vAlign w:val="bottom"/>
            <w:hideMark/>
          </w:tcPr>
          <w:p w14:paraId="49029CC7"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Infectious diseases</w:t>
            </w:r>
          </w:p>
        </w:tc>
        <w:tc>
          <w:tcPr>
            <w:tcW w:w="2120" w:type="dxa"/>
            <w:tcBorders>
              <w:top w:val="nil"/>
              <w:left w:val="nil"/>
              <w:bottom w:val="nil"/>
              <w:right w:val="nil"/>
            </w:tcBorders>
            <w:noWrap/>
            <w:vAlign w:val="bottom"/>
            <w:hideMark/>
          </w:tcPr>
          <w:p w14:paraId="0445591C"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8</w:t>
            </w:r>
          </w:p>
        </w:tc>
      </w:tr>
      <w:tr w:rsidR="00D353F5" w:rsidRPr="00B30376" w14:paraId="1ED79FFF" w14:textId="77777777" w:rsidTr="004C4FE0">
        <w:trPr>
          <w:trHeight w:val="315"/>
        </w:trPr>
        <w:tc>
          <w:tcPr>
            <w:tcW w:w="2660" w:type="dxa"/>
            <w:tcBorders>
              <w:top w:val="nil"/>
              <w:left w:val="nil"/>
              <w:bottom w:val="nil"/>
              <w:right w:val="nil"/>
            </w:tcBorders>
            <w:noWrap/>
            <w:vAlign w:val="bottom"/>
            <w:hideMark/>
          </w:tcPr>
          <w:p w14:paraId="67493A25"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Hematology</w:t>
            </w:r>
          </w:p>
        </w:tc>
        <w:tc>
          <w:tcPr>
            <w:tcW w:w="2120" w:type="dxa"/>
            <w:tcBorders>
              <w:top w:val="nil"/>
              <w:left w:val="nil"/>
              <w:bottom w:val="nil"/>
              <w:right w:val="nil"/>
            </w:tcBorders>
            <w:noWrap/>
            <w:vAlign w:val="bottom"/>
            <w:hideMark/>
          </w:tcPr>
          <w:p w14:paraId="7F48970C"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3</w:t>
            </w:r>
          </w:p>
        </w:tc>
      </w:tr>
      <w:tr w:rsidR="00D353F5" w:rsidRPr="00B30376" w14:paraId="566D30B7" w14:textId="77777777" w:rsidTr="004C4FE0">
        <w:trPr>
          <w:trHeight w:val="315"/>
        </w:trPr>
        <w:tc>
          <w:tcPr>
            <w:tcW w:w="2660" w:type="dxa"/>
            <w:tcBorders>
              <w:top w:val="nil"/>
              <w:left w:val="nil"/>
              <w:bottom w:val="nil"/>
              <w:right w:val="nil"/>
            </w:tcBorders>
            <w:noWrap/>
            <w:vAlign w:val="bottom"/>
            <w:hideMark/>
          </w:tcPr>
          <w:p w14:paraId="5121BE32"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Cardiology</w:t>
            </w:r>
          </w:p>
        </w:tc>
        <w:tc>
          <w:tcPr>
            <w:tcW w:w="2120" w:type="dxa"/>
            <w:tcBorders>
              <w:top w:val="nil"/>
              <w:left w:val="nil"/>
              <w:bottom w:val="nil"/>
              <w:right w:val="nil"/>
            </w:tcBorders>
            <w:noWrap/>
            <w:vAlign w:val="bottom"/>
            <w:hideMark/>
          </w:tcPr>
          <w:p w14:paraId="168A65B9"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3</w:t>
            </w:r>
          </w:p>
        </w:tc>
      </w:tr>
      <w:tr w:rsidR="00D353F5" w:rsidRPr="00B30376" w14:paraId="36741B86" w14:textId="77777777" w:rsidTr="004C4FE0">
        <w:trPr>
          <w:trHeight w:val="315"/>
        </w:trPr>
        <w:tc>
          <w:tcPr>
            <w:tcW w:w="2660" w:type="dxa"/>
            <w:tcBorders>
              <w:top w:val="nil"/>
              <w:left w:val="nil"/>
              <w:bottom w:val="nil"/>
              <w:right w:val="nil"/>
            </w:tcBorders>
            <w:noWrap/>
            <w:vAlign w:val="bottom"/>
            <w:hideMark/>
          </w:tcPr>
          <w:p w14:paraId="35F2B366"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Nephrology</w:t>
            </w:r>
          </w:p>
        </w:tc>
        <w:tc>
          <w:tcPr>
            <w:tcW w:w="2120" w:type="dxa"/>
            <w:tcBorders>
              <w:top w:val="nil"/>
              <w:left w:val="nil"/>
              <w:bottom w:val="nil"/>
              <w:right w:val="nil"/>
            </w:tcBorders>
            <w:noWrap/>
            <w:vAlign w:val="bottom"/>
            <w:hideMark/>
          </w:tcPr>
          <w:p w14:paraId="3AD91E81"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3</w:t>
            </w:r>
          </w:p>
        </w:tc>
      </w:tr>
      <w:tr w:rsidR="00D353F5" w:rsidRPr="00B30376" w14:paraId="431AC591" w14:textId="77777777" w:rsidTr="004C4FE0">
        <w:trPr>
          <w:trHeight w:val="315"/>
        </w:trPr>
        <w:tc>
          <w:tcPr>
            <w:tcW w:w="2660" w:type="dxa"/>
            <w:tcBorders>
              <w:top w:val="nil"/>
              <w:left w:val="nil"/>
              <w:bottom w:val="nil"/>
              <w:right w:val="nil"/>
            </w:tcBorders>
            <w:noWrap/>
            <w:vAlign w:val="bottom"/>
            <w:hideMark/>
          </w:tcPr>
          <w:p w14:paraId="1F50A34C"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Urology</w:t>
            </w:r>
          </w:p>
        </w:tc>
        <w:tc>
          <w:tcPr>
            <w:tcW w:w="2120" w:type="dxa"/>
            <w:tcBorders>
              <w:top w:val="nil"/>
              <w:left w:val="nil"/>
              <w:bottom w:val="nil"/>
              <w:right w:val="nil"/>
            </w:tcBorders>
            <w:noWrap/>
            <w:vAlign w:val="bottom"/>
            <w:hideMark/>
          </w:tcPr>
          <w:p w14:paraId="73955640"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2</w:t>
            </w:r>
          </w:p>
        </w:tc>
      </w:tr>
      <w:tr w:rsidR="00D353F5" w:rsidRPr="00B30376" w14:paraId="2E2605EC" w14:textId="77777777" w:rsidTr="004C4FE0">
        <w:trPr>
          <w:trHeight w:val="315"/>
        </w:trPr>
        <w:tc>
          <w:tcPr>
            <w:tcW w:w="2660" w:type="dxa"/>
            <w:tcBorders>
              <w:top w:val="nil"/>
              <w:left w:val="nil"/>
              <w:bottom w:val="nil"/>
              <w:right w:val="nil"/>
            </w:tcBorders>
            <w:noWrap/>
            <w:vAlign w:val="bottom"/>
            <w:hideMark/>
          </w:tcPr>
          <w:p w14:paraId="751A304D"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Pulmonary</w:t>
            </w:r>
          </w:p>
        </w:tc>
        <w:tc>
          <w:tcPr>
            <w:tcW w:w="2120" w:type="dxa"/>
            <w:tcBorders>
              <w:top w:val="nil"/>
              <w:left w:val="nil"/>
              <w:bottom w:val="nil"/>
              <w:right w:val="nil"/>
            </w:tcBorders>
            <w:noWrap/>
            <w:vAlign w:val="bottom"/>
            <w:hideMark/>
          </w:tcPr>
          <w:p w14:paraId="08BBF801"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2</w:t>
            </w:r>
          </w:p>
        </w:tc>
      </w:tr>
      <w:tr w:rsidR="00D353F5" w:rsidRPr="00B30376" w14:paraId="3DF3E324" w14:textId="77777777" w:rsidTr="004C4FE0">
        <w:trPr>
          <w:trHeight w:val="315"/>
        </w:trPr>
        <w:tc>
          <w:tcPr>
            <w:tcW w:w="2660" w:type="dxa"/>
            <w:tcBorders>
              <w:top w:val="nil"/>
              <w:left w:val="nil"/>
              <w:bottom w:val="nil"/>
              <w:right w:val="nil"/>
            </w:tcBorders>
            <w:noWrap/>
            <w:vAlign w:val="bottom"/>
            <w:hideMark/>
          </w:tcPr>
          <w:p w14:paraId="03BDF41F"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Geriatrics</w:t>
            </w:r>
          </w:p>
        </w:tc>
        <w:tc>
          <w:tcPr>
            <w:tcW w:w="2120" w:type="dxa"/>
            <w:tcBorders>
              <w:top w:val="nil"/>
              <w:left w:val="nil"/>
              <w:bottom w:val="nil"/>
              <w:right w:val="nil"/>
            </w:tcBorders>
            <w:noWrap/>
            <w:vAlign w:val="bottom"/>
            <w:hideMark/>
          </w:tcPr>
          <w:p w14:paraId="294B0462"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2</w:t>
            </w:r>
          </w:p>
        </w:tc>
      </w:tr>
      <w:tr w:rsidR="00D353F5" w:rsidRPr="00B30376" w14:paraId="54727FA3" w14:textId="77777777" w:rsidTr="004C4FE0">
        <w:trPr>
          <w:trHeight w:val="315"/>
        </w:trPr>
        <w:tc>
          <w:tcPr>
            <w:tcW w:w="2660" w:type="dxa"/>
            <w:tcBorders>
              <w:top w:val="nil"/>
              <w:left w:val="nil"/>
              <w:bottom w:val="nil"/>
              <w:right w:val="nil"/>
            </w:tcBorders>
            <w:noWrap/>
            <w:vAlign w:val="bottom"/>
            <w:hideMark/>
          </w:tcPr>
          <w:p w14:paraId="505DB71E"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Dermatology</w:t>
            </w:r>
          </w:p>
        </w:tc>
        <w:tc>
          <w:tcPr>
            <w:tcW w:w="2120" w:type="dxa"/>
            <w:tcBorders>
              <w:top w:val="nil"/>
              <w:left w:val="nil"/>
              <w:bottom w:val="nil"/>
              <w:right w:val="nil"/>
            </w:tcBorders>
            <w:noWrap/>
            <w:vAlign w:val="bottom"/>
            <w:hideMark/>
          </w:tcPr>
          <w:p w14:paraId="3646C7FA"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1</w:t>
            </w:r>
          </w:p>
        </w:tc>
      </w:tr>
      <w:tr w:rsidR="00D353F5" w:rsidRPr="00B30376" w14:paraId="6CD42210" w14:textId="77777777" w:rsidTr="004C4FE0">
        <w:trPr>
          <w:trHeight w:val="315"/>
        </w:trPr>
        <w:tc>
          <w:tcPr>
            <w:tcW w:w="2660" w:type="dxa"/>
            <w:tcBorders>
              <w:top w:val="nil"/>
              <w:left w:val="nil"/>
              <w:bottom w:val="nil"/>
              <w:right w:val="nil"/>
            </w:tcBorders>
            <w:noWrap/>
            <w:vAlign w:val="bottom"/>
            <w:hideMark/>
          </w:tcPr>
          <w:p w14:paraId="4797646F"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Vascular</w:t>
            </w:r>
          </w:p>
        </w:tc>
        <w:tc>
          <w:tcPr>
            <w:tcW w:w="2120" w:type="dxa"/>
            <w:tcBorders>
              <w:top w:val="nil"/>
              <w:left w:val="nil"/>
              <w:bottom w:val="nil"/>
              <w:right w:val="nil"/>
            </w:tcBorders>
            <w:noWrap/>
            <w:vAlign w:val="bottom"/>
            <w:hideMark/>
          </w:tcPr>
          <w:p w14:paraId="15F4D676"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1</w:t>
            </w:r>
          </w:p>
        </w:tc>
      </w:tr>
      <w:tr w:rsidR="00D353F5" w:rsidRPr="00B30376" w14:paraId="43FCB1DA" w14:textId="77777777" w:rsidTr="004C4FE0">
        <w:trPr>
          <w:trHeight w:val="330"/>
        </w:trPr>
        <w:tc>
          <w:tcPr>
            <w:tcW w:w="2660" w:type="dxa"/>
            <w:tcBorders>
              <w:top w:val="nil"/>
              <w:left w:val="nil"/>
              <w:bottom w:val="single" w:sz="8" w:space="0" w:color="auto"/>
              <w:right w:val="nil"/>
            </w:tcBorders>
            <w:noWrap/>
            <w:vAlign w:val="bottom"/>
            <w:hideMark/>
          </w:tcPr>
          <w:p w14:paraId="212BBEAB" w14:textId="77777777" w:rsidR="00D353F5" w:rsidRPr="00B30376" w:rsidRDefault="00D353F5" w:rsidP="004C4FE0">
            <w:pPr>
              <w:spacing w:after="0"/>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Total</w:t>
            </w:r>
          </w:p>
        </w:tc>
        <w:tc>
          <w:tcPr>
            <w:tcW w:w="2120" w:type="dxa"/>
            <w:tcBorders>
              <w:top w:val="nil"/>
              <w:left w:val="nil"/>
              <w:bottom w:val="single" w:sz="8" w:space="0" w:color="auto"/>
              <w:right w:val="nil"/>
            </w:tcBorders>
            <w:noWrap/>
            <w:vAlign w:val="bottom"/>
            <w:hideMark/>
          </w:tcPr>
          <w:p w14:paraId="263E6D88" w14:textId="77777777" w:rsidR="00D353F5" w:rsidRPr="00B30376" w:rsidRDefault="00D353F5" w:rsidP="004C4FE0">
            <w:pPr>
              <w:spacing w:after="0"/>
              <w:jc w:val="center"/>
              <w:rPr>
                <w:rFonts w:asciiTheme="majorBidi" w:eastAsia="Times New Roman" w:hAnsiTheme="majorBidi" w:cstheme="majorBidi"/>
                <w:color w:val="000000"/>
                <w:lang/>
              </w:rPr>
            </w:pPr>
            <w:r w:rsidRPr="00B30376">
              <w:rPr>
                <w:rFonts w:asciiTheme="majorBidi" w:eastAsia="Times New Roman" w:hAnsiTheme="majorBidi" w:cstheme="majorBidi"/>
                <w:color w:val="000000"/>
                <w:lang/>
              </w:rPr>
              <w:t>25</w:t>
            </w:r>
          </w:p>
        </w:tc>
      </w:tr>
    </w:tbl>
    <w:p w14:paraId="503FE1EB" w14:textId="77777777" w:rsidR="00D353F5" w:rsidRPr="00B30376" w:rsidRDefault="00D353F5" w:rsidP="00D353F5">
      <w:pPr>
        <w:spacing w:after="0" w:line="480" w:lineRule="auto"/>
        <w:contextualSpacing/>
        <w:rPr>
          <w:rFonts w:asciiTheme="majorBidi" w:hAnsiTheme="majorBidi" w:cstheme="majorBidi"/>
          <w:color w:val="000000" w:themeColor="text1"/>
        </w:rPr>
      </w:pPr>
    </w:p>
    <w:p w14:paraId="3DCAD986" w14:textId="77777777" w:rsidR="00D353F5" w:rsidRPr="00B30376" w:rsidRDefault="00D353F5" w:rsidP="00D353F5">
      <w:pPr>
        <w:spacing w:after="0" w:line="480" w:lineRule="auto"/>
        <w:contextualSpacing/>
        <w:rPr>
          <w:rFonts w:asciiTheme="majorBidi" w:hAnsiTheme="majorBidi" w:cstheme="majorBidi"/>
          <w:color w:val="000000" w:themeColor="text1"/>
        </w:rPr>
      </w:pPr>
      <w:r w:rsidRPr="00B30376">
        <w:rPr>
          <w:rFonts w:asciiTheme="majorBidi" w:hAnsiTheme="majorBidi" w:cstheme="majorBidi"/>
          <w:color w:val="000000" w:themeColor="text1"/>
        </w:rPr>
        <w:t xml:space="preserve">The </w:t>
      </w:r>
      <w:r w:rsidRPr="00B30376">
        <w:rPr>
          <w:rFonts w:asciiTheme="majorBidi" w:hAnsiTheme="majorBidi" w:cstheme="majorBidi"/>
          <w:i/>
          <w:iCs/>
          <w:color w:val="000000" w:themeColor="text1"/>
        </w:rPr>
        <w:t>nursing</w:t>
      </w:r>
      <w:r w:rsidRPr="00B30376">
        <w:rPr>
          <w:rFonts w:asciiTheme="majorBidi" w:hAnsiTheme="majorBidi" w:cstheme="majorBidi"/>
          <w:color w:val="000000" w:themeColor="text1"/>
        </w:rPr>
        <w:t xml:space="preserve"> staff included four internal medicine nurses who staffed the program each week.  </w:t>
      </w:r>
    </w:p>
    <w:p w14:paraId="2A07CBC3" w14:textId="77777777" w:rsidR="00D353F5" w:rsidRPr="00B30376" w:rsidRDefault="00D353F5" w:rsidP="00D353F5">
      <w:pPr>
        <w:spacing w:after="0" w:line="480" w:lineRule="auto"/>
        <w:contextualSpacing/>
        <w:rPr>
          <w:rFonts w:asciiTheme="majorBidi" w:hAnsiTheme="majorBidi" w:cstheme="majorBidi"/>
          <w:color w:val="000000" w:themeColor="text1"/>
          <w:rtl/>
        </w:rPr>
      </w:pPr>
      <w:r w:rsidRPr="00B30376">
        <w:rPr>
          <w:rFonts w:asciiTheme="majorBidi" w:hAnsiTheme="majorBidi" w:cstheme="majorBidi"/>
          <w:color w:val="000000" w:themeColor="text1"/>
        </w:rPr>
        <w:t>Each program’s patient had 1 to 2 nurse visits a day. Nurses were also on call for urgent events or alerts from the patients’ monitors 24/7. The staff was available to patients via an emergency button on the tablet provided or via live chat. In addition, all participants received the mobile phones of the responsible nurse that week.</w:t>
      </w:r>
    </w:p>
    <w:p w14:paraId="0820C8C4" w14:textId="77777777" w:rsidR="00D353F5" w:rsidRPr="00B30376" w:rsidRDefault="00D353F5" w:rsidP="00D353F5">
      <w:pPr>
        <w:spacing w:after="0" w:line="480" w:lineRule="auto"/>
        <w:contextualSpacing/>
        <w:rPr>
          <w:rFonts w:asciiTheme="majorBidi" w:hAnsiTheme="majorBidi" w:cstheme="majorBidi"/>
          <w:color w:val="000000" w:themeColor="text1"/>
        </w:rPr>
      </w:pPr>
      <w:r w:rsidRPr="00B30376">
        <w:rPr>
          <w:rFonts w:asciiTheme="majorBidi" w:hAnsiTheme="majorBidi" w:cstheme="majorBidi"/>
          <w:color w:val="000000"/>
        </w:rPr>
        <w:t>Allied health care support</w:t>
      </w:r>
      <w:r w:rsidRPr="00B30376">
        <w:rPr>
          <w:rFonts w:asciiTheme="majorBidi" w:hAnsiTheme="majorBidi" w:cstheme="majorBidi"/>
          <w:color w:val="000000" w:themeColor="text1"/>
        </w:rPr>
        <w:t xml:space="preserve"> (Speech therapists and Physiotherapists) was provided by the Meuhedet health plan, as well as the support of </w:t>
      </w:r>
      <w:r w:rsidRPr="00B30376">
        <w:rPr>
          <w:rFonts w:asciiTheme="majorBidi" w:hAnsiTheme="majorBidi" w:cstheme="majorBidi"/>
          <w:i/>
          <w:iCs/>
          <w:color w:val="000000" w:themeColor="text1"/>
        </w:rPr>
        <w:t>social workers</w:t>
      </w:r>
      <w:r w:rsidRPr="00B30376">
        <w:rPr>
          <w:rFonts w:asciiTheme="majorBidi" w:hAnsiTheme="majorBidi" w:cstheme="majorBidi"/>
          <w:color w:val="000000" w:themeColor="text1"/>
        </w:rPr>
        <w:t>. The health plan staff followed up with the patients after their discharge from the program.</w:t>
      </w:r>
    </w:p>
    <w:p w14:paraId="6CC2C145"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The medical staff traveled to patients’ homes via a hospital car with a paid driver. This saved time that would have been spent finding parking. Also, having a dedicated car provided a place to store accessible medical equipment. Travel time took approximately 30 minutes each </w:t>
      </w:r>
      <w:r w:rsidRPr="00B30376">
        <w:rPr>
          <w:rFonts w:asciiTheme="majorBidi" w:hAnsiTheme="majorBidi" w:cstheme="majorBidi"/>
          <w:color w:val="000000" w:themeColor="text1"/>
        </w:rPr>
        <w:lastRenderedPageBreak/>
        <w:t xml:space="preserve">direction and between patients’ homes. First visits upon admission to </w:t>
      </w:r>
      <w:r>
        <w:rPr>
          <w:rFonts w:asciiTheme="majorBidi" w:hAnsiTheme="majorBidi" w:cstheme="majorBidi"/>
          <w:color w:val="000000" w:themeColor="text1"/>
        </w:rPr>
        <w:t xml:space="preserve">Hospital-at-Home </w:t>
      </w:r>
      <w:r w:rsidRPr="00B30376">
        <w:rPr>
          <w:rFonts w:asciiTheme="majorBidi" w:hAnsiTheme="majorBidi" w:cstheme="majorBidi"/>
          <w:color w:val="000000" w:themeColor="text1"/>
        </w:rPr>
        <w:t xml:space="preserve"> took approximately 60 minutes, while future visits took approximately 30 minutes. During the visits, time was spent listening to how the patient and his family were feeling and conducting more complete medical examinations. In comparison, doctors’ visits in Hadassah Hospital internal wards often last 30 minutes upon admission and between 3 and 15 minutes for subsequent examinations.</w:t>
      </w:r>
    </w:p>
    <w:p w14:paraId="067D6B82" w14:textId="77777777" w:rsidR="00D353F5" w:rsidRPr="00B30376" w:rsidRDefault="00D353F5" w:rsidP="00D353F5">
      <w:pPr>
        <w:spacing w:after="0" w:line="480" w:lineRule="auto"/>
        <w:contextualSpacing/>
        <w:rPr>
          <w:rFonts w:asciiTheme="majorBidi" w:hAnsiTheme="majorBidi" w:cstheme="majorBidi"/>
          <w:color w:val="000000" w:themeColor="text1"/>
        </w:rPr>
      </w:pPr>
      <w:r w:rsidRPr="00B30376">
        <w:rPr>
          <w:rFonts w:asciiTheme="majorBidi" w:hAnsiTheme="majorBidi" w:cstheme="majorBidi"/>
          <w:i/>
          <w:iCs/>
          <w:color w:val="000000" w:themeColor="text1"/>
        </w:rPr>
        <w:t>Equipment and medical services</w:t>
      </w:r>
      <w:r w:rsidRPr="00B30376">
        <w:rPr>
          <w:rFonts w:asciiTheme="majorBidi" w:hAnsiTheme="majorBidi" w:cstheme="majorBidi"/>
          <w:color w:val="000000" w:themeColor="text1"/>
        </w:rPr>
        <w:t xml:space="preserve">: </w:t>
      </w:r>
    </w:p>
    <w:p w14:paraId="1491FC06"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All patients were attached 24/7 to a monitoring patch on the patients’ chest (Biobeat patch). The device is FDA-approved and AMAR-approved in Israel. The device recorded the following data at 15-minute intervals: one-lead ECG, heart rate, O2 saturation, respiratory rate, blood pressure, cardiac output, cardiac index, and systemic vascular resistance. This information was available to the patient and staff via smartphone. The monitoring devices would automatically send alerts to the nursing staff and the on-call physician if vitals exceeded set limits. The monitors also provided the patient with the option to call the nurse and the on-call physician as needed.</w:t>
      </w:r>
    </w:p>
    <w:p w14:paraId="3F7E2295"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In addition, at admission, every patient received a box containing necessary disposable equipment, such as bandages, IV fluids, infusion sets, and basic medications (antipyretics, antiemetics, laxatives). Other medications, such as antibiotics, were prepared by the hospital pharmacy and administered by the nursing staff. Most patients were connected to a 24-hour drip via an infuser during the </w:t>
      </w:r>
      <w:r>
        <w:rPr>
          <w:rFonts w:asciiTheme="majorBidi" w:hAnsiTheme="majorBidi" w:cstheme="majorBidi"/>
          <w:color w:val="000000" w:themeColor="text1"/>
        </w:rPr>
        <w:t xml:space="preserve">Hospital-at-Home </w:t>
      </w:r>
      <w:r w:rsidRPr="00B30376">
        <w:rPr>
          <w:rFonts w:asciiTheme="majorBidi" w:hAnsiTheme="majorBidi" w:cstheme="majorBidi"/>
          <w:color w:val="000000" w:themeColor="text1"/>
        </w:rPr>
        <w:t>.</w:t>
      </w:r>
    </w:p>
    <w:p w14:paraId="65019501"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Oxygen and respiratory machines (BiPap) were provided by the health plan. Patients purchased chronic medications through the health plan. Each patient was provided with a machine for home laboratory tests, which included blood chemistry, blood gases, and hematocrit. The tests would provide results within 15 minutes. In addition, all blood tests were sent to the Hadassah Hospital laboratory for confirmation of the test results. Blood tests were performed every day </w:t>
      </w:r>
      <w:r w:rsidRPr="00B30376">
        <w:rPr>
          <w:rFonts w:asciiTheme="majorBidi" w:hAnsiTheme="majorBidi" w:cstheme="majorBidi"/>
          <w:color w:val="000000" w:themeColor="text1"/>
        </w:rPr>
        <w:lastRenderedPageBreak/>
        <w:t>or every other day, depending on clinical need. Point of Care Ultrasound was performed by a trained physician as needed. ECGs were performed on a case-by-case basis using a portable device and uploaded to the hospital C-PACS on the same day. The ECG machine was kept in the hospital car, so it was available for use at each patient visit.</w:t>
      </w:r>
    </w:p>
    <w:p w14:paraId="08BE3044"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Two patients required CT scans during their </w:t>
      </w:r>
      <w:r>
        <w:rPr>
          <w:rFonts w:asciiTheme="majorBidi" w:hAnsiTheme="majorBidi" w:cstheme="majorBidi"/>
          <w:color w:val="000000" w:themeColor="text1"/>
        </w:rPr>
        <w:t xml:space="preserve">Hospital-at-Home </w:t>
      </w:r>
      <w:r w:rsidRPr="00B30376">
        <w:rPr>
          <w:rFonts w:asciiTheme="majorBidi" w:hAnsiTheme="majorBidi" w:cstheme="majorBidi"/>
          <w:color w:val="000000" w:themeColor="text1"/>
        </w:rPr>
        <w:t xml:space="preserve"> and were therefore transferred to the hospital via ambulance and re-hospitalized.   Other patients required chest X-rays, Orthopedic consultation, Vascular surgeon consultation, and duplex ultrasound tests. These patients were transported to the hospital by hospital car, received the tests needed, and were returned home for hospitalization.</w:t>
      </w:r>
    </w:p>
    <w:p w14:paraId="034E5F92" w14:textId="77777777" w:rsidR="00D353F5" w:rsidRPr="00B30376" w:rsidRDefault="00D353F5" w:rsidP="00D353F5">
      <w:pPr>
        <w:spacing w:after="120" w:line="360" w:lineRule="auto"/>
        <w:contextualSpacing/>
        <w:rPr>
          <w:rFonts w:asciiTheme="majorBidi" w:hAnsiTheme="majorBidi" w:cstheme="majorBidi"/>
          <w:i/>
          <w:iCs/>
          <w:color w:val="000000" w:themeColor="text1"/>
        </w:rPr>
      </w:pPr>
      <w:r w:rsidRPr="00B30376">
        <w:rPr>
          <w:rFonts w:asciiTheme="majorBidi" w:hAnsiTheme="majorBidi" w:cstheme="majorBidi"/>
          <w:i/>
          <w:iCs/>
          <w:color w:val="000000" w:themeColor="text1"/>
        </w:rPr>
        <w:t>Caregiving and home conditions</w:t>
      </w:r>
    </w:p>
    <w:p w14:paraId="70B526B9" w14:textId="77777777" w:rsidR="00D353F5" w:rsidRPr="00B30376" w:rsidRDefault="00D353F5" w:rsidP="00D353F5">
      <w:pPr>
        <w:spacing w:after="0" w:line="480" w:lineRule="auto"/>
        <w:contextualSpacing/>
        <w:jc w:val="both"/>
        <w:rPr>
          <w:rFonts w:asciiTheme="majorBidi" w:hAnsiTheme="majorBidi" w:cstheme="majorBidi"/>
          <w:color w:val="000000" w:themeColor="text1"/>
          <w:rtl/>
        </w:rPr>
      </w:pPr>
      <w:r w:rsidRPr="00B30376">
        <w:rPr>
          <w:rFonts w:asciiTheme="majorBidi" w:hAnsiTheme="majorBidi" w:cstheme="majorBidi"/>
          <w:color w:val="000000" w:themeColor="text1"/>
        </w:rPr>
        <w:t xml:space="preserve">The patient and his family used their own food (including feeding-tube formulas) and hygiene products. Patients slept in their own beds and used whatever equipment for fall prevention and pressure ulcer prevention they already had. At recruitment, only patients who reported having appropriate and safe living conditions were included. </w:t>
      </w:r>
    </w:p>
    <w:p w14:paraId="709B7A5F"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 xml:space="preserve">One of the program's inclusion criteria was the constant presence of a </w:t>
      </w:r>
      <w:r w:rsidRPr="00B30376">
        <w:rPr>
          <w:rFonts w:asciiTheme="majorBidi" w:hAnsiTheme="majorBidi" w:cstheme="majorBidi"/>
          <w:i/>
          <w:iCs/>
          <w:color w:val="000000" w:themeColor="text1"/>
        </w:rPr>
        <w:t>caregiver</w:t>
      </w:r>
      <w:r w:rsidRPr="00B30376">
        <w:rPr>
          <w:rFonts w:asciiTheme="majorBidi" w:hAnsiTheme="majorBidi" w:cstheme="majorBidi"/>
          <w:color w:val="000000" w:themeColor="text1"/>
        </w:rPr>
        <w:t>. Some patients already had live-in nursing caregivers, and others had family caregivers. The caregiver provided nursing care, including bathing, position changes, hygiene, and feeding (via a feeding tube or only by providing food). Caregivers had experience caring for individual patients and were able to provide care in accordance with patients’ preferences. The caregiver and the patient were responsible for administering chronic medications, as well as antiemetics, antipyretics, and laxatives, as directed by medical staff. No compliance or abuse issues were reported.</w:t>
      </w:r>
    </w:p>
    <w:p w14:paraId="17B28653"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Reference</w:t>
      </w:r>
    </w:p>
    <w:p w14:paraId="36D7E2B6" w14:textId="77777777" w:rsidR="00D353F5" w:rsidRPr="00B30376" w:rsidRDefault="00D353F5" w:rsidP="00D353F5">
      <w:pPr>
        <w:autoSpaceDE w:val="0"/>
        <w:autoSpaceDN w:val="0"/>
        <w:rPr>
          <w:rFonts w:ascii="Times New Roman" w:eastAsia="Times New Roman" w:hAnsi="Times New Roman" w:cs="Times New Roman"/>
          <w:color w:val="000000"/>
        </w:rPr>
      </w:pPr>
      <w:r w:rsidRPr="00B30376">
        <w:rPr>
          <w:rFonts w:ascii="Times New Roman" w:eastAsia="Times New Roman" w:hAnsi="Times New Roman" w:cs="Times New Roman"/>
          <w:color w:val="000000"/>
        </w:rPr>
        <w:t xml:space="preserve">Nicolaus S, Crelier B, Donzé JD, Aubert CE (2022) Definition of patient complexity in adults: A narrative review. </w:t>
      </w:r>
      <w:r w:rsidRPr="00B30376">
        <w:rPr>
          <w:rFonts w:ascii="Times New Roman" w:eastAsia="Times New Roman" w:hAnsi="Times New Roman" w:cs="Times New Roman"/>
          <w:i/>
          <w:iCs/>
          <w:color w:val="000000"/>
        </w:rPr>
        <w:t>Journal of Multimorbidity and Comorbidity</w:t>
      </w:r>
      <w:r w:rsidRPr="00B30376">
        <w:rPr>
          <w:rFonts w:ascii="Times New Roman" w:eastAsia="Times New Roman" w:hAnsi="Times New Roman" w:cs="Times New Roman"/>
          <w:color w:val="000000"/>
        </w:rPr>
        <w:t xml:space="preserve"> 12:. https://doi.org/10.1177/26335565221081288</w:t>
      </w:r>
    </w:p>
    <w:p w14:paraId="132141AD"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p>
    <w:p w14:paraId="7DE1505A"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p>
    <w:p w14:paraId="47D489FA"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p>
    <w:p w14:paraId="3FBE0A45"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p>
    <w:p w14:paraId="789CD9B9" w14:textId="77777777" w:rsidR="00D353F5" w:rsidRPr="00B30376" w:rsidRDefault="00D353F5" w:rsidP="00D353F5">
      <w:pPr>
        <w:widowControl w:val="0"/>
        <w:autoSpaceDE w:val="0"/>
        <w:autoSpaceDN w:val="0"/>
        <w:adjustRightInd w:val="0"/>
        <w:spacing w:after="0" w:line="360" w:lineRule="auto"/>
        <w:ind w:left="641" w:hanging="641"/>
        <w:jc w:val="center"/>
        <w:rPr>
          <w:rFonts w:asciiTheme="majorBidi" w:hAnsiTheme="majorBidi" w:cstheme="majorBidi"/>
        </w:rPr>
      </w:pPr>
      <w:r w:rsidRPr="00B30376">
        <w:rPr>
          <w:rFonts w:asciiTheme="majorBidi" w:hAnsiTheme="majorBidi" w:cstheme="majorBidi"/>
          <w:color w:val="000000" w:themeColor="text1"/>
        </w:rPr>
        <w:t xml:space="preserve">Appendix 2- Assigning patients according to their </w:t>
      </w:r>
      <w:r w:rsidRPr="00B30376">
        <w:rPr>
          <w:rFonts w:asciiTheme="majorBidi" w:hAnsiTheme="majorBidi" w:cstheme="majorBidi"/>
        </w:rPr>
        <w:t>illness burden and adjusting for imbalances: Calculation of the Charlson score</w:t>
      </w:r>
    </w:p>
    <w:p w14:paraId="3459742F" w14:textId="77777777" w:rsidR="00D353F5" w:rsidRPr="00B30376" w:rsidRDefault="00D353F5" w:rsidP="00D353F5">
      <w:pPr>
        <w:widowControl w:val="0"/>
        <w:autoSpaceDE w:val="0"/>
        <w:autoSpaceDN w:val="0"/>
        <w:adjustRightInd w:val="0"/>
        <w:spacing w:after="0" w:line="360" w:lineRule="auto"/>
        <w:ind w:left="641" w:hanging="641"/>
        <w:jc w:val="center"/>
        <w:rPr>
          <w:rFonts w:asciiTheme="majorBidi" w:hAnsiTheme="majorBidi" w:cstheme="majorBidi"/>
        </w:rPr>
      </w:pPr>
    </w:p>
    <w:p w14:paraId="66CB1127" w14:textId="77777777" w:rsidR="00D353F5" w:rsidRPr="00B30376" w:rsidRDefault="00D353F5" w:rsidP="00D353F5">
      <w:pPr>
        <w:spacing w:after="120" w:line="360" w:lineRule="auto"/>
        <w:contextualSpacing/>
        <w:jc w:val="both"/>
        <w:rPr>
          <w:rFonts w:asciiTheme="majorBidi" w:hAnsiTheme="majorBidi" w:cstheme="majorBidi"/>
          <w:color w:val="000000"/>
        </w:rPr>
      </w:pPr>
      <w:r w:rsidRPr="00B30376">
        <w:rPr>
          <w:rFonts w:asciiTheme="majorBidi" w:hAnsiTheme="majorBidi" w:cstheme="majorBidi"/>
        </w:rPr>
        <w:t xml:space="preserve">We used the Charlson Comorbidity Index (CCI) to adjust for the burden of illness. The CCI has been extensively studied for its predictive value in various healthcare settings including in internal medicine wards. Research has shown that CCIs derived from patients' self-reports, physicians' assessments, and administrative data perform equally well in predicting postoperative in-hospital mortality </w:t>
      </w:r>
      <w:sdt>
        <w:sdtPr>
          <w:rPr>
            <w:rFonts w:ascii="Times New Roman" w:hAnsi="Times New Roman" w:cs="Times New Roman"/>
            <w:color w:val="000000"/>
          </w:rPr>
          <w:tag w:val="MENDELEY_CITATION_v3_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"/>
          <w:id w:val="1830170270"/>
          <w:placeholder>
            <w:docPart w:val="C69DBD486C9742338D9F938AECBEF539"/>
          </w:placeholder>
        </w:sdtPr>
        <w:sdtContent>
          <w:r w:rsidRPr="00211B8F">
            <w:rPr>
              <w:rFonts w:ascii="Times New Roman" w:hAnsi="Times New Roman" w:cs="Times New Roman"/>
              <w:color w:val="000000"/>
            </w:rPr>
            <w:t>[31]</w:t>
          </w:r>
        </w:sdtContent>
      </w:sdt>
      <w:r w:rsidRPr="00B30376">
        <w:rPr>
          <w:rFonts w:asciiTheme="majorBidi" w:hAnsiTheme="majorBidi" w:cstheme="majorBidi"/>
        </w:rPr>
        <w:t>.</w:t>
      </w:r>
    </w:p>
    <w:p w14:paraId="175DFC75" w14:textId="77777777" w:rsidR="00D353F5" w:rsidRPr="00B30376" w:rsidRDefault="00D353F5" w:rsidP="00D353F5">
      <w:pPr>
        <w:spacing w:after="120" w:line="360" w:lineRule="auto"/>
        <w:contextualSpacing/>
        <w:jc w:val="both"/>
        <w:rPr>
          <w:rFonts w:asciiTheme="majorBidi" w:hAnsiTheme="majorBidi" w:cstheme="majorBidi"/>
        </w:rPr>
      </w:pPr>
      <w:r w:rsidRPr="00B30376">
        <w:rPr>
          <w:rFonts w:asciiTheme="majorBidi" w:hAnsiTheme="majorBidi" w:cstheme="majorBidi"/>
        </w:rPr>
        <w:t xml:space="preserve">As in other studies, we utilized a point-based system to calculate the CCI score for each patient. To calculate the score, various diagnoses were assigned specific points based on their severity and impact on health outcomes. This scoring system considers various medical conditions and assigns points accordingly, with higher scores indicating more severe diagnoses and a higher risk of death.  </w:t>
      </w:r>
    </w:p>
    <w:p w14:paraId="0BAACE94" w14:textId="77777777" w:rsidR="00D353F5" w:rsidRPr="00B30376" w:rsidRDefault="00D353F5" w:rsidP="00D353F5">
      <w:pPr>
        <w:spacing w:after="120" w:line="360" w:lineRule="auto"/>
        <w:contextualSpacing/>
        <w:jc w:val="both"/>
        <w:rPr>
          <w:rFonts w:asciiTheme="majorBidi" w:hAnsiTheme="majorBidi" w:cstheme="majorBidi"/>
        </w:rPr>
      </w:pPr>
      <w:r w:rsidRPr="00B30376">
        <w:rPr>
          <w:rFonts w:asciiTheme="majorBidi" w:hAnsiTheme="majorBidi" w:cstheme="majorBidi"/>
        </w:rPr>
        <w:t xml:space="preserve">We used patient comorbidities in 17 categories, as well as age, which were recorded in the patient’s medical record at intake in the emergency room and based on diagnoses recorded during previous hospitalizations. A score of 0 means no comorbidities were found. </w:t>
      </w:r>
    </w:p>
    <w:p w14:paraId="32C3AE7A"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To calculate the CCI, certain assumptions were made:</w:t>
      </w:r>
    </w:p>
    <w:p w14:paraId="18094654" w14:textId="77777777" w:rsidR="00D353F5" w:rsidRPr="00B30376" w:rsidRDefault="00D353F5" w:rsidP="00D353F5">
      <w:pPr>
        <w:spacing w:after="120" w:line="360" w:lineRule="auto"/>
        <w:contextualSpacing/>
        <w:jc w:val="both"/>
        <w:rPr>
          <w:rFonts w:asciiTheme="majorBidi" w:hAnsiTheme="majorBidi" w:cstheme="majorBidi"/>
        </w:rPr>
      </w:pPr>
      <w:r w:rsidRPr="00B30376">
        <w:rPr>
          <w:rFonts w:asciiTheme="majorBidi" w:hAnsiTheme="majorBidi" w:cstheme="majorBidi"/>
        </w:rPr>
        <w:t xml:space="preserve">1. Diabetes was considered uncontrolled if there were other comorbidities that indicate complications such as Diabetic Foot, renal Disease, or heart disease. </w:t>
      </w:r>
    </w:p>
    <w:p w14:paraId="36DBCD59"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 xml:space="preserve">2. Cancer was considered non-metastatic unless specified otherwise </w:t>
      </w:r>
    </w:p>
    <w:p w14:paraId="29619817"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3. All neurocognitive diseases were classified as dementia.</w:t>
      </w:r>
    </w:p>
    <w:p w14:paraId="20146C25"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We calculated the score by assigning the following number of points (</w:t>
      </w:r>
      <w:r w:rsidRPr="00B30376">
        <w:rPr>
          <w:rFonts w:asciiTheme="majorBidi" w:eastAsia="Times New Roman" w:hAnsiTheme="majorBidi" w:cstheme="majorBidi"/>
        </w:rPr>
        <w:t>1, 2, 3, or 6</w:t>
      </w:r>
      <w:r w:rsidRPr="00B30376">
        <w:rPr>
          <w:rFonts w:asciiTheme="majorBidi" w:hAnsiTheme="majorBidi" w:cstheme="majorBidi"/>
        </w:rPr>
        <w:t xml:space="preserve">) for the following diagnoses: </w:t>
      </w:r>
    </w:p>
    <w:p w14:paraId="4A858D59" w14:textId="77777777" w:rsidR="00D353F5" w:rsidRPr="00B30376" w:rsidRDefault="00D353F5" w:rsidP="00D353F5">
      <w:pPr>
        <w:numPr>
          <w:ilvl w:val="0"/>
          <w:numId w:val="1"/>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 xml:space="preserve">1 point each if mild or three if moderate/severe: Myocardial infarction, congestive heart failure, peripheral vascular disease, cerebrovascular disease, dementia, chronic pulmonary disease, rheumatologic disease, peptic ulcer disease, liver disease </w:t>
      </w:r>
    </w:p>
    <w:p w14:paraId="008C7B3C" w14:textId="77777777" w:rsidR="00D353F5" w:rsidRPr="00B30376" w:rsidRDefault="00D353F5" w:rsidP="00D353F5">
      <w:pPr>
        <w:numPr>
          <w:ilvl w:val="0"/>
          <w:numId w:val="1"/>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1 point if controlled or two if uncontrolled: Diabetes</w:t>
      </w:r>
    </w:p>
    <w:p w14:paraId="28604F7E" w14:textId="77777777" w:rsidR="00D353F5" w:rsidRPr="00B30376" w:rsidRDefault="00D353F5" w:rsidP="00D353F5">
      <w:pPr>
        <w:numPr>
          <w:ilvl w:val="0"/>
          <w:numId w:val="1"/>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2 each if localized or six if metastatic tumor: Hemiplegia or paraplegia, renal disease, malignancy, leukemia, lymphoma</w:t>
      </w:r>
    </w:p>
    <w:p w14:paraId="11D64C13" w14:textId="77777777" w:rsidR="00D353F5" w:rsidRPr="00B30376" w:rsidRDefault="00D353F5" w:rsidP="00D353F5">
      <w:pPr>
        <w:numPr>
          <w:ilvl w:val="0"/>
          <w:numId w:val="1"/>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6 each: AIDS</w:t>
      </w:r>
    </w:p>
    <w:p w14:paraId="653135D3" w14:textId="77777777" w:rsidR="00D353F5" w:rsidRPr="00B30376" w:rsidRDefault="00D353F5" w:rsidP="00D353F5">
      <w:pPr>
        <w:spacing w:after="120" w:line="360" w:lineRule="auto"/>
        <w:ind w:left="720"/>
        <w:contextualSpacing/>
        <w:rPr>
          <w:rFonts w:asciiTheme="majorBidi" w:eastAsia="Times New Roman" w:hAnsiTheme="majorBidi" w:cstheme="majorBidi"/>
        </w:rPr>
      </w:pPr>
    </w:p>
    <w:p w14:paraId="2BEADBB3" w14:textId="77777777" w:rsidR="00D353F5" w:rsidRPr="00B30376" w:rsidRDefault="00D353F5" w:rsidP="00D353F5">
      <w:p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 xml:space="preserve">. Patients who are 50 years old or more got additional points: </w:t>
      </w:r>
    </w:p>
    <w:p w14:paraId="6BFB1D5E" w14:textId="77777777" w:rsidR="00D353F5" w:rsidRPr="00B30376" w:rsidRDefault="00D353F5" w:rsidP="00D353F5">
      <w:pPr>
        <w:numPr>
          <w:ilvl w:val="0"/>
          <w:numId w:val="2"/>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50-59 years old: +1 point</w:t>
      </w:r>
    </w:p>
    <w:p w14:paraId="1BA299F5" w14:textId="77777777" w:rsidR="00D353F5" w:rsidRPr="00B30376" w:rsidRDefault="00D353F5" w:rsidP="00D353F5">
      <w:pPr>
        <w:numPr>
          <w:ilvl w:val="0"/>
          <w:numId w:val="2"/>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60-69 years old: +2 points</w:t>
      </w:r>
    </w:p>
    <w:p w14:paraId="47F91AC1" w14:textId="77777777" w:rsidR="00D353F5" w:rsidRPr="00B30376" w:rsidRDefault="00D353F5" w:rsidP="00D353F5">
      <w:pPr>
        <w:numPr>
          <w:ilvl w:val="0"/>
          <w:numId w:val="2"/>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70-79 years old: +3 points</w:t>
      </w:r>
    </w:p>
    <w:p w14:paraId="3A843448" w14:textId="77777777" w:rsidR="00D353F5" w:rsidRPr="00B30376" w:rsidRDefault="00D353F5" w:rsidP="00D353F5">
      <w:pPr>
        <w:numPr>
          <w:ilvl w:val="0"/>
          <w:numId w:val="2"/>
        </w:num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80 years old or more: +4 points</w:t>
      </w:r>
    </w:p>
    <w:p w14:paraId="7CD683A5" w14:textId="77777777" w:rsidR="00D353F5" w:rsidRPr="00B30376" w:rsidRDefault="00D353F5" w:rsidP="00D353F5">
      <w:pPr>
        <w:spacing w:after="120" w:line="360" w:lineRule="auto"/>
        <w:contextualSpacing/>
        <w:rPr>
          <w:rFonts w:asciiTheme="majorBidi" w:eastAsia="Times New Roman" w:hAnsiTheme="majorBidi" w:cstheme="majorBidi"/>
        </w:rPr>
      </w:pPr>
      <w:r w:rsidRPr="00B30376">
        <w:rPr>
          <w:rFonts w:asciiTheme="majorBidi" w:eastAsia="Times New Roman" w:hAnsiTheme="majorBidi" w:cstheme="majorBidi"/>
        </w:rPr>
        <w:t>Scores are summed to provide a total score for each patient</w:t>
      </w:r>
    </w:p>
    <w:p w14:paraId="4C855ACF"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A second method is used to characterize the illness burden and adjust for imbalances:</w:t>
      </w:r>
    </w:p>
    <w:p w14:paraId="32F9996E"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 xml:space="preserve">We used three variables to indicate that a patient's signal would require urgent care. </w:t>
      </w:r>
    </w:p>
    <w:p w14:paraId="2C7FEFD2" w14:textId="77777777" w:rsidR="00D353F5" w:rsidRPr="00B30376" w:rsidRDefault="00D353F5" w:rsidP="00D353F5">
      <w:pPr>
        <w:spacing w:after="120" w:line="360" w:lineRule="auto"/>
        <w:contextualSpacing/>
        <w:rPr>
          <w:rFonts w:asciiTheme="majorBidi" w:hAnsiTheme="majorBidi" w:cstheme="majorBidi"/>
        </w:rPr>
      </w:pPr>
      <w:r w:rsidRPr="00B30376">
        <w:rPr>
          <w:rFonts w:asciiTheme="majorBidi" w:hAnsiTheme="majorBidi" w:cstheme="majorBidi"/>
        </w:rPr>
        <w:t>The variables are:</w:t>
      </w:r>
    </w:p>
    <w:p w14:paraId="4320237B" w14:textId="77777777" w:rsidR="00D353F5" w:rsidRPr="00B30376" w:rsidRDefault="00D353F5" w:rsidP="00D353F5">
      <w:pPr>
        <w:pStyle w:val="ListParagraph"/>
        <w:numPr>
          <w:ilvl w:val="0"/>
          <w:numId w:val="3"/>
        </w:numPr>
        <w:spacing w:after="120" w:line="360" w:lineRule="auto"/>
        <w:jc w:val="both"/>
        <w:rPr>
          <w:rFonts w:asciiTheme="majorBidi" w:hAnsiTheme="majorBidi" w:cstheme="majorBidi"/>
        </w:rPr>
      </w:pPr>
      <w:r w:rsidRPr="00B30376">
        <w:rPr>
          <w:rFonts w:asciiTheme="majorBidi" w:hAnsiTheme="majorBidi" w:cstheme="majorBidi"/>
        </w:rPr>
        <w:t>Systolic blood pressure below 90 mmHg  (vs 90 mmHg or higher): a binary variable with ‘0’ meaning that the patient’s systolic blood pressure was greater than or equal to 90, and ‘1’ meaning systolic blood pressure below 90 mmHg.</w:t>
      </w:r>
    </w:p>
    <w:p w14:paraId="42FDF781" w14:textId="77777777" w:rsidR="00D353F5" w:rsidRPr="00B30376" w:rsidRDefault="00D353F5" w:rsidP="00D353F5">
      <w:pPr>
        <w:pStyle w:val="ListParagraph"/>
        <w:numPr>
          <w:ilvl w:val="0"/>
          <w:numId w:val="3"/>
        </w:numPr>
        <w:spacing w:after="120" w:line="360" w:lineRule="auto"/>
        <w:jc w:val="both"/>
        <w:rPr>
          <w:rFonts w:asciiTheme="majorBidi" w:hAnsiTheme="majorBidi" w:cstheme="majorBidi"/>
        </w:rPr>
      </w:pPr>
      <w:r w:rsidRPr="00B30376">
        <w:rPr>
          <w:rFonts w:asciiTheme="majorBidi" w:hAnsiTheme="majorBidi" w:cstheme="majorBidi"/>
        </w:rPr>
        <w:t>Pulse above 100 (vs 100 or lower): a binary variable with ‘0’ meaning that the patient’s pulse was below 100, and ‘1’ meaning above 100.</w:t>
      </w:r>
    </w:p>
    <w:p w14:paraId="240CF731" w14:textId="77777777" w:rsidR="00D353F5" w:rsidRPr="00B30376" w:rsidRDefault="00D353F5" w:rsidP="00D353F5">
      <w:pPr>
        <w:pStyle w:val="ListParagraph"/>
        <w:numPr>
          <w:ilvl w:val="0"/>
          <w:numId w:val="3"/>
        </w:numPr>
        <w:spacing w:after="120" w:line="360" w:lineRule="auto"/>
        <w:jc w:val="both"/>
        <w:rPr>
          <w:rFonts w:asciiTheme="majorBidi" w:hAnsiTheme="majorBidi" w:cstheme="majorBidi"/>
        </w:rPr>
      </w:pPr>
      <w:r w:rsidRPr="00B30376">
        <w:rPr>
          <w:rFonts w:asciiTheme="majorBidi" w:hAnsiTheme="majorBidi" w:cstheme="majorBidi"/>
        </w:rPr>
        <w:t>Pulse oximetry below 90 (vs. 90 or higher): a binary variable with ‘0’ meaning that the patient’s Oxygen was above 90, and ‘1’ meaning below 90. We analyzed patient pulse oximetry while breathing room air. Patients who were respirated received a score of 0, as their pulse oximetry was not comparable to that of other patients breathing room air.</w:t>
      </w:r>
    </w:p>
    <w:p w14:paraId="2073D8C9" w14:textId="77777777" w:rsidR="00D353F5" w:rsidRPr="00B30376" w:rsidRDefault="00D353F5" w:rsidP="00D353F5">
      <w:pPr>
        <w:spacing w:line="259" w:lineRule="auto"/>
      </w:pPr>
    </w:p>
    <w:p w14:paraId="17506386" w14:textId="77777777" w:rsidR="00D353F5" w:rsidRPr="00B30376" w:rsidRDefault="00D353F5" w:rsidP="00D353F5">
      <w:pPr>
        <w:spacing w:after="0" w:line="480" w:lineRule="auto"/>
        <w:contextualSpacing/>
        <w:jc w:val="both"/>
        <w:rPr>
          <w:rFonts w:asciiTheme="majorBidi" w:hAnsiTheme="majorBidi" w:cstheme="majorBidi"/>
          <w:color w:val="000000" w:themeColor="text1"/>
        </w:rPr>
      </w:pPr>
      <w:r w:rsidRPr="00B30376">
        <w:rPr>
          <w:rFonts w:asciiTheme="majorBidi" w:hAnsiTheme="majorBidi" w:cstheme="majorBidi"/>
          <w:color w:val="000000" w:themeColor="text1"/>
        </w:rPr>
        <w:t>Reference</w:t>
      </w:r>
    </w:p>
    <w:p w14:paraId="0206D09E" w14:textId="77777777" w:rsidR="00D353F5" w:rsidRPr="00B30376" w:rsidRDefault="00D353F5" w:rsidP="00D353F5">
      <w:pPr>
        <w:autoSpaceDE w:val="0"/>
        <w:autoSpaceDN w:val="0"/>
        <w:rPr>
          <w:rFonts w:ascii="Times New Roman" w:eastAsia="Times New Roman" w:hAnsi="Times New Roman" w:cs="Times New Roman"/>
          <w:color w:val="000000"/>
        </w:rPr>
      </w:pPr>
      <w:r w:rsidRPr="00B30376">
        <w:rPr>
          <w:rFonts w:ascii="Times New Roman" w:eastAsia="Times New Roman" w:hAnsi="Times New Roman" w:cs="Times New Roman"/>
          <w:color w:val="000000"/>
        </w:rPr>
        <w:t xml:space="preserve">Röhrig EJ, Schenkat H, Hochhausen N, Röhl AB, Derwall M, Rossaint R, Kork F (2024) Comparing Charlson Comorbidity Index Scores between Anesthesiologists, Patients, and Administrative Data: A Prospective Observational Study. </w:t>
      </w:r>
      <w:r w:rsidRPr="00B30376">
        <w:rPr>
          <w:rFonts w:ascii="Times New Roman" w:eastAsia="Times New Roman" w:hAnsi="Times New Roman" w:cs="Times New Roman"/>
          <w:i/>
          <w:iCs/>
          <w:color w:val="000000"/>
        </w:rPr>
        <w:t>J Clin Med</w:t>
      </w:r>
      <w:r w:rsidRPr="00B30376">
        <w:rPr>
          <w:rFonts w:ascii="Times New Roman" w:eastAsia="Times New Roman" w:hAnsi="Times New Roman" w:cs="Times New Roman"/>
          <w:color w:val="000000"/>
        </w:rPr>
        <w:t xml:space="preserve"> 13:. https://doi.org/10.3390/jcm13051469</w:t>
      </w:r>
    </w:p>
    <w:p w14:paraId="5A7DF512" w14:textId="77777777" w:rsidR="00D353F5" w:rsidRPr="00B30376" w:rsidRDefault="00D353F5" w:rsidP="00D353F5">
      <w:pPr>
        <w:spacing w:line="259" w:lineRule="auto"/>
      </w:pPr>
    </w:p>
    <w:p w14:paraId="13DD70BC" w14:textId="77777777" w:rsidR="008B07A6" w:rsidRDefault="008B07A6"/>
    <w:sectPr w:rsidR="008B07A6" w:rsidSect="00D353F5">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charset w:val="B1"/>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216358"/>
      <w:docPartObj>
        <w:docPartGallery w:val="Page Numbers (Bottom of Page)"/>
        <w:docPartUnique/>
      </w:docPartObj>
    </w:sdtPr>
    <w:sdtEndPr>
      <w:rPr>
        <w:noProof/>
      </w:rPr>
    </w:sdtEndPr>
    <w:sdtContent>
      <w:p w14:paraId="2D2F8BCF" w14:textId="77777777" w:rsidR="00D353F5" w:rsidRDefault="00D353F5">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14134DA2" w14:textId="77777777" w:rsidR="00D353F5" w:rsidRDefault="00D353F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539"/>
    <w:multiLevelType w:val="multilevel"/>
    <w:tmpl w:val="65D6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46EF9"/>
    <w:multiLevelType w:val="multilevel"/>
    <w:tmpl w:val="4CDE6DC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DE5A71"/>
    <w:multiLevelType w:val="multilevel"/>
    <w:tmpl w:val="9A706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288504">
    <w:abstractNumId w:val="2"/>
  </w:num>
  <w:num w:numId="2" w16cid:durableId="1198396652">
    <w:abstractNumId w:val="0"/>
  </w:num>
  <w:num w:numId="3" w16cid:durableId="1144736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F5"/>
    <w:rsid w:val="00066677"/>
    <w:rsid w:val="00153A17"/>
    <w:rsid w:val="001A37F3"/>
    <w:rsid w:val="003A4E89"/>
    <w:rsid w:val="00556784"/>
    <w:rsid w:val="008B07A6"/>
    <w:rsid w:val="0097029A"/>
    <w:rsid w:val="00987B63"/>
    <w:rsid w:val="00990454"/>
    <w:rsid w:val="00A234E6"/>
    <w:rsid w:val="00BF13F9"/>
    <w:rsid w:val="00CE738E"/>
    <w:rsid w:val="00D31E7D"/>
    <w:rsid w:val="00D353F5"/>
    <w:rsid w:val="00F52CE0"/>
    <w:rsid w:val="00F9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A300"/>
  <w15:chartTrackingRefBased/>
  <w15:docId w15:val="{E5B49822-7972-4701-AF9D-1CE8BA78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3F5"/>
    <w:pPr>
      <w:spacing w:line="240" w:lineRule="auto"/>
    </w:pPr>
    <w:rPr>
      <w:rFonts w:ascii="David" w:eastAsia="David" w:hAnsi="David" w:cs="David"/>
      <w:kern w:val="0"/>
      <w:lang w:bidi="he-IL"/>
      <w14:ligatures w14:val="none"/>
    </w:rPr>
  </w:style>
  <w:style w:type="paragraph" w:styleId="Heading1">
    <w:name w:val="heading 1"/>
    <w:basedOn w:val="Normal"/>
    <w:next w:val="Normal"/>
    <w:link w:val="Heading1Char"/>
    <w:uiPriority w:val="9"/>
    <w:qFormat/>
    <w:rsid w:val="00D35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3F5"/>
    <w:rPr>
      <w:rFonts w:eastAsiaTheme="majorEastAsia" w:cstheme="majorBidi"/>
      <w:color w:val="272727" w:themeColor="text1" w:themeTint="D8"/>
    </w:rPr>
  </w:style>
  <w:style w:type="paragraph" w:styleId="Title">
    <w:name w:val="Title"/>
    <w:basedOn w:val="Normal"/>
    <w:next w:val="Normal"/>
    <w:link w:val="TitleChar"/>
    <w:uiPriority w:val="10"/>
    <w:qFormat/>
    <w:rsid w:val="00D353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3F5"/>
    <w:pPr>
      <w:spacing w:before="160"/>
      <w:jc w:val="center"/>
    </w:pPr>
    <w:rPr>
      <w:i/>
      <w:iCs/>
      <w:color w:val="404040" w:themeColor="text1" w:themeTint="BF"/>
    </w:rPr>
  </w:style>
  <w:style w:type="character" w:customStyle="1" w:styleId="QuoteChar">
    <w:name w:val="Quote Char"/>
    <w:basedOn w:val="DefaultParagraphFont"/>
    <w:link w:val="Quote"/>
    <w:uiPriority w:val="29"/>
    <w:rsid w:val="00D353F5"/>
    <w:rPr>
      <w:i/>
      <w:iCs/>
      <w:color w:val="404040" w:themeColor="text1" w:themeTint="BF"/>
    </w:rPr>
  </w:style>
  <w:style w:type="paragraph" w:styleId="ListParagraph">
    <w:name w:val="List Paragraph"/>
    <w:basedOn w:val="Normal"/>
    <w:uiPriority w:val="34"/>
    <w:qFormat/>
    <w:rsid w:val="00D353F5"/>
    <w:pPr>
      <w:ind w:left="720"/>
      <w:contextualSpacing/>
    </w:pPr>
  </w:style>
  <w:style w:type="character" w:styleId="IntenseEmphasis">
    <w:name w:val="Intense Emphasis"/>
    <w:basedOn w:val="DefaultParagraphFont"/>
    <w:uiPriority w:val="21"/>
    <w:qFormat/>
    <w:rsid w:val="00D353F5"/>
    <w:rPr>
      <w:i/>
      <w:iCs/>
      <w:color w:val="0F4761" w:themeColor="accent1" w:themeShade="BF"/>
    </w:rPr>
  </w:style>
  <w:style w:type="paragraph" w:styleId="IntenseQuote">
    <w:name w:val="Intense Quote"/>
    <w:basedOn w:val="Normal"/>
    <w:next w:val="Normal"/>
    <w:link w:val="IntenseQuoteChar"/>
    <w:uiPriority w:val="30"/>
    <w:qFormat/>
    <w:rsid w:val="00D35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3F5"/>
    <w:rPr>
      <w:i/>
      <w:iCs/>
      <w:color w:val="0F4761" w:themeColor="accent1" w:themeShade="BF"/>
    </w:rPr>
  </w:style>
  <w:style w:type="character" w:styleId="IntenseReference">
    <w:name w:val="Intense Reference"/>
    <w:basedOn w:val="DefaultParagraphFont"/>
    <w:uiPriority w:val="32"/>
    <w:qFormat/>
    <w:rsid w:val="00D353F5"/>
    <w:rPr>
      <w:b/>
      <w:bCs/>
      <w:smallCaps/>
      <w:color w:val="0F4761" w:themeColor="accent1" w:themeShade="BF"/>
      <w:spacing w:val="5"/>
    </w:rPr>
  </w:style>
  <w:style w:type="paragraph" w:styleId="Footer">
    <w:name w:val="footer"/>
    <w:basedOn w:val="Normal"/>
    <w:link w:val="FooterChar"/>
    <w:uiPriority w:val="99"/>
    <w:unhideWhenUsed/>
    <w:rsid w:val="00D353F5"/>
    <w:pPr>
      <w:tabs>
        <w:tab w:val="center" w:pos="4153"/>
        <w:tab w:val="right" w:pos="8306"/>
      </w:tabs>
      <w:spacing w:after="0"/>
    </w:pPr>
  </w:style>
  <w:style w:type="character" w:customStyle="1" w:styleId="FooterChar">
    <w:name w:val="Footer Char"/>
    <w:basedOn w:val="DefaultParagraphFont"/>
    <w:link w:val="Footer"/>
    <w:uiPriority w:val="99"/>
    <w:rsid w:val="00D353F5"/>
    <w:rPr>
      <w:rFonts w:ascii="David" w:eastAsia="David" w:hAnsi="David" w:cs="David"/>
      <w:kern w:val="0"/>
      <w:lang w:bidi="he-IL"/>
      <w14:ligatures w14:val="none"/>
    </w:rPr>
  </w:style>
  <w:style w:type="paragraph" w:styleId="NormalWeb">
    <w:name w:val="Normal (Web)"/>
    <w:basedOn w:val="Normal"/>
    <w:uiPriority w:val="99"/>
    <w:unhideWhenUsed/>
    <w:rsid w:val="00D353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6B9ECCAF7C40AF8E602411D13C1070"/>
        <w:category>
          <w:name w:val="General"/>
          <w:gallery w:val="placeholder"/>
        </w:category>
        <w:types>
          <w:type w:val="bbPlcHdr"/>
        </w:types>
        <w:behaviors>
          <w:behavior w:val="content"/>
        </w:behaviors>
        <w:guid w:val="{C28840CC-1A39-4241-AC8C-D494B5CA919F}"/>
      </w:docPartPr>
      <w:docPartBody>
        <w:p w:rsidR="00000000" w:rsidRDefault="002A7E7F" w:rsidP="002A7E7F">
          <w:pPr>
            <w:pStyle w:val="A86B9ECCAF7C40AF8E602411D13C1070"/>
          </w:pPr>
          <w:r w:rsidRPr="002D63E4">
            <w:rPr>
              <w:rStyle w:val="PlaceholderText"/>
            </w:rPr>
            <w:t>Click or tap here to enter text.</w:t>
          </w:r>
        </w:p>
      </w:docPartBody>
    </w:docPart>
    <w:docPart>
      <w:docPartPr>
        <w:name w:val="C69DBD486C9742338D9F938AECBEF539"/>
        <w:category>
          <w:name w:val="General"/>
          <w:gallery w:val="placeholder"/>
        </w:category>
        <w:types>
          <w:type w:val="bbPlcHdr"/>
        </w:types>
        <w:behaviors>
          <w:behavior w:val="content"/>
        </w:behaviors>
        <w:guid w:val="{15ED6117-BB1B-4EC9-8AD7-E83D4DA7C81C}"/>
      </w:docPartPr>
      <w:docPartBody>
        <w:p w:rsidR="00000000" w:rsidRDefault="002A7E7F" w:rsidP="002A7E7F">
          <w:pPr>
            <w:pStyle w:val="C69DBD486C9742338D9F938AECBEF539"/>
          </w:pPr>
          <w:r w:rsidRPr="002D63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charset w:val="B1"/>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7F"/>
    <w:rsid w:val="002A7E7F"/>
    <w:rsid w:val="00431E46"/>
    <w:rsid w:val="00F9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E7F"/>
  </w:style>
  <w:style w:type="paragraph" w:customStyle="1" w:styleId="A86B9ECCAF7C40AF8E602411D13C1070">
    <w:name w:val="A86B9ECCAF7C40AF8E602411D13C1070"/>
    <w:rsid w:val="002A7E7F"/>
  </w:style>
  <w:style w:type="paragraph" w:customStyle="1" w:styleId="C69DBD486C9742338D9F938AECBEF539">
    <w:name w:val="C69DBD486C9742338D9F938AECBEF539"/>
    <w:rsid w:val="002A7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2026-09-07T12:58:00Z</dcterms:created>
  <dcterms:modified xsi:type="dcterms:W3CDTF">2026-09-07T12:58:00Z</dcterms:modified>
</cp:coreProperties>
</file>