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8D9ED">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center"/>
        <w:textAlignment w:val="auto"/>
        <w:rPr>
          <w:rFonts w:hint="default" w:ascii="Times New Roman" w:hAnsi="Times New Roman" w:cs="Times New Roman"/>
          <w:sz w:val="32"/>
          <w:szCs w:val="32"/>
        </w:rPr>
      </w:pPr>
      <w:bookmarkStart w:id="0" w:name="_GoBack"/>
      <w:bookmarkEnd w:id="0"/>
      <w:r>
        <w:rPr>
          <w:rFonts w:hint="default" w:ascii="Times New Roman" w:hAnsi="Times New Roman" w:eastAsia="Times New Roman" w:cs="Times New Roman"/>
          <w:b/>
          <w:i w:val="0"/>
          <w:color w:val="000000"/>
          <w:sz w:val="32"/>
          <w:szCs w:val="32"/>
        </w:rPr>
        <w:t>Supplementary Appendix. Methods, documentation, and supporting materials</w:t>
      </w:r>
    </w:p>
    <w:p w14:paraId="2FECF544">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val="0"/>
          <w:color w:val="000000"/>
          <w:sz w:val="24"/>
          <w:szCs w:val="24"/>
        </w:rPr>
        <w:t>This supplementary file contains detailed data provenance, quality-control rules, processing specifications, model search spaces, the validity-risk audit, computational environment, claim-scope audit, documentary image provenance and research-data reporting scope supporting the completed empirical study. It does not introduce additional confirmatory claims and does not constitute a separate raw-data or executable-code deposit.</w:t>
      </w:r>
    </w:p>
    <w:p w14:paraId="658F35DE">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p>
    <w:p w14:paraId="045D62FB">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S1. Documented data lineage</w:t>
      </w:r>
    </w:p>
    <w:p w14:paraId="58A0168C">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The analytical provenance is documented through the following source hierarchy. Environmental outcomes and predictors come from public Landsat Level-2 imagery; school inventories establish site identity, campus geometries define the sampling footprint, and LCZ provides contextual urban form. The retained data-lineage manifest records retrieval date, source URL or asset identifier, license, local file name, SHA-256 hash for downloaded tables, coordinate reference system and transformations applied.</w:t>
      </w:r>
    </w:p>
    <w:p w14:paraId="05DF1385">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val="0"/>
          <w:color w:val="000000"/>
          <w:sz w:val="24"/>
          <w:szCs w:val="24"/>
        </w:rPr>
        <w:t>Table S1 summarizes the provenance and documentation items needed to reconstruct each analytical layer.</w:t>
      </w:r>
    </w:p>
    <w:p w14:paraId="50E99AD6">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p>
    <w:p w14:paraId="0492217B">
      <w:pPr>
        <w:keepNext/>
        <w:keepLines w:val="0"/>
        <w:pageBreakBefore w:val="0"/>
        <w:widowControl/>
        <w:kinsoku/>
        <w:wordWrap/>
        <w:overflowPunct/>
        <w:topLinePunct w:val="0"/>
        <w:autoSpaceDE/>
        <w:autoSpaceDN/>
        <w:bidi w:val="0"/>
        <w:adjustRightInd/>
        <w:snapToGrid/>
        <w:spacing w:after="160" w:line="240" w:lineRule="auto"/>
        <w:ind w:left="0" w:righ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S1.</w:t>
      </w:r>
      <w:r>
        <w:rPr>
          <w:rFonts w:hint="default" w:ascii="Times New Roman" w:hAnsi="Times New Roman" w:eastAsia="Times New Roman" w:cs="Times New Roman"/>
          <w:b w:val="0"/>
          <w:i w:val="0"/>
          <w:color w:val="000000"/>
          <w:sz w:val="24"/>
          <w:szCs w:val="24"/>
        </w:rPr>
        <w:t xml:space="preserve"> Data lineage and documentation requirements.</w:t>
      </w:r>
    </w:p>
    <w:tbl>
      <w:tblPr>
        <w:tblStyle w:val="3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0"/>
        <w:gridCol w:w="4893"/>
        <w:gridCol w:w="2061"/>
        <w:gridCol w:w="1128"/>
      </w:tblGrid>
      <w:tr w14:paraId="59A71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27" w:type="pct"/>
            <w:tcBorders>
              <w:top w:val="single" w:color="000000" w:sz="12" w:space="0"/>
              <w:left w:val="nil"/>
              <w:bottom w:val="single" w:color="000000" w:sz="8" w:space="0"/>
              <w:right w:val="single" w:color="000000" w:sz="12" w:space="0"/>
            </w:tcBorders>
            <w:shd w:val="clear" w:color="auto" w:fill="FFFFFF"/>
            <w:vAlign w:val="center"/>
          </w:tcPr>
          <w:p w14:paraId="4B5240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Resource</w:t>
            </w:r>
          </w:p>
        </w:tc>
        <w:tc>
          <w:tcPr>
            <w:tcW w:w="2647" w:type="pct"/>
            <w:tcBorders>
              <w:top w:val="single" w:color="000000" w:sz="12" w:space="0"/>
              <w:left w:val="nil"/>
              <w:bottom w:val="single" w:color="000000" w:sz="8" w:space="0"/>
              <w:right w:val="nil"/>
            </w:tcBorders>
            <w:shd w:val="clear" w:color="auto" w:fill="FFFFFF"/>
            <w:vAlign w:val="center"/>
          </w:tcPr>
          <w:p w14:paraId="1EDC518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Persistent identifier / source</w:t>
            </w:r>
          </w:p>
        </w:tc>
        <w:tc>
          <w:tcPr>
            <w:tcW w:w="1115" w:type="pct"/>
            <w:tcBorders>
              <w:top w:val="single" w:color="000000" w:sz="12" w:space="0"/>
              <w:left w:val="nil"/>
              <w:bottom w:val="single" w:color="000000" w:sz="8" w:space="0"/>
              <w:right w:val="nil"/>
            </w:tcBorders>
            <w:shd w:val="clear" w:color="auto" w:fill="FFFFFF"/>
            <w:vAlign w:val="center"/>
          </w:tcPr>
          <w:p w14:paraId="10FB847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Documentation item</w:t>
            </w:r>
          </w:p>
        </w:tc>
        <w:tc>
          <w:tcPr>
            <w:tcW w:w="610" w:type="pct"/>
            <w:tcBorders>
              <w:top w:val="single" w:color="000000" w:sz="12" w:space="0"/>
              <w:left w:val="nil"/>
              <w:bottom w:val="single" w:color="000000" w:sz="8" w:space="0"/>
              <w:right w:val="nil"/>
            </w:tcBorders>
            <w:shd w:val="clear" w:color="auto" w:fill="FFFFFF"/>
            <w:vAlign w:val="center"/>
          </w:tcPr>
          <w:p w14:paraId="1BE1888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Purpose</w:t>
            </w:r>
          </w:p>
        </w:tc>
      </w:tr>
      <w:tr w14:paraId="58FFD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7" w:type="pct"/>
            <w:tcBorders>
              <w:top w:val="nil"/>
              <w:left w:val="nil"/>
              <w:bottom w:val="nil"/>
              <w:right w:val="single" w:color="000000" w:sz="12" w:space="0"/>
            </w:tcBorders>
            <w:shd w:val="clear" w:color="auto" w:fill="FFFFFF"/>
            <w:vAlign w:val="center"/>
          </w:tcPr>
          <w:p w14:paraId="716F1CE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Landsat 8 C2 L2</w:t>
            </w:r>
          </w:p>
        </w:tc>
        <w:tc>
          <w:tcPr>
            <w:tcW w:w="2647" w:type="pct"/>
            <w:tcBorders>
              <w:top w:val="nil"/>
              <w:left w:val="nil"/>
              <w:bottom w:val="nil"/>
              <w:right w:val="nil"/>
            </w:tcBorders>
            <w:shd w:val="clear" w:color="auto" w:fill="FFFFFF"/>
            <w:vAlign w:val="center"/>
          </w:tcPr>
          <w:p w14:paraId="513BDF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Earth Engine: LANDSAT/LC08/C02/T1_L2</w:t>
            </w:r>
          </w:p>
        </w:tc>
        <w:tc>
          <w:tcPr>
            <w:tcW w:w="1115" w:type="pct"/>
            <w:tcBorders>
              <w:top w:val="nil"/>
              <w:left w:val="nil"/>
              <w:bottom w:val="nil"/>
              <w:right w:val="nil"/>
            </w:tcBorders>
            <w:shd w:val="clear" w:color="auto" w:fill="FFFFFF"/>
            <w:vAlign w:val="center"/>
          </w:tcPr>
          <w:p w14:paraId="267B061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GEE script + export manifest</w:t>
            </w:r>
          </w:p>
        </w:tc>
        <w:tc>
          <w:tcPr>
            <w:tcW w:w="610" w:type="pct"/>
            <w:tcBorders>
              <w:top w:val="nil"/>
              <w:left w:val="nil"/>
              <w:bottom w:val="nil"/>
              <w:right w:val="nil"/>
            </w:tcBorders>
            <w:shd w:val="clear" w:color="auto" w:fill="FFFFFF"/>
            <w:vAlign w:val="center"/>
          </w:tcPr>
          <w:p w14:paraId="210B81B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LST and spectral predictors</w:t>
            </w:r>
          </w:p>
        </w:tc>
      </w:tr>
      <w:tr w14:paraId="55BA4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7" w:type="pct"/>
            <w:tcBorders>
              <w:top w:val="nil"/>
              <w:left w:val="nil"/>
              <w:bottom w:val="nil"/>
              <w:right w:val="single" w:color="000000" w:sz="12" w:space="0"/>
            </w:tcBorders>
            <w:shd w:val="clear" w:color="auto" w:fill="FFFFFF"/>
            <w:vAlign w:val="center"/>
          </w:tcPr>
          <w:p w14:paraId="24E64EB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Global LCZ</w:t>
            </w:r>
          </w:p>
        </w:tc>
        <w:tc>
          <w:tcPr>
            <w:tcW w:w="2647" w:type="pct"/>
            <w:tcBorders>
              <w:top w:val="nil"/>
              <w:left w:val="nil"/>
              <w:bottom w:val="nil"/>
              <w:right w:val="nil"/>
            </w:tcBorders>
            <w:shd w:val="clear" w:color="auto" w:fill="FFFFFF"/>
            <w:vAlign w:val="center"/>
          </w:tcPr>
          <w:p w14:paraId="3292857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Earth Engine: RUB/RUBCLIM/LCZ/global_lcz_map/latest</w:t>
            </w:r>
          </w:p>
        </w:tc>
        <w:tc>
          <w:tcPr>
            <w:tcW w:w="1115" w:type="pct"/>
            <w:tcBorders>
              <w:top w:val="nil"/>
              <w:left w:val="nil"/>
              <w:bottom w:val="nil"/>
              <w:right w:val="nil"/>
            </w:tcBorders>
            <w:shd w:val="clear" w:color="auto" w:fill="FFFFFF"/>
            <w:vAlign w:val="center"/>
          </w:tcPr>
          <w:p w14:paraId="469F503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Asset ID + band=LCZ_Filter</w:t>
            </w:r>
          </w:p>
        </w:tc>
        <w:tc>
          <w:tcPr>
            <w:tcW w:w="610" w:type="pct"/>
            <w:tcBorders>
              <w:top w:val="nil"/>
              <w:left w:val="nil"/>
              <w:bottom w:val="nil"/>
              <w:right w:val="nil"/>
            </w:tcBorders>
            <w:shd w:val="clear" w:color="auto" w:fill="FFFFFF"/>
            <w:vAlign w:val="center"/>
          </w:tcPr>
          <w:p w14:paraId="1290EE2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LCZ context</w:t>
            </w:r>
          </w:p>
        </w:tc>
      </w:tr>
      <w:tr w14:paraId="1E7CA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7" w:type="pct"/>
            <w:tcBorders>
              <w:top w:val="nil"/>
              <w:left w:val="nil"/>
              <w:bottom w:val="nil"/>
              <w:right w:val="single" w:color="000000" w:sz="12" w:space="0"/>
            </w:tcBorders>
            <w:shd w:val="clear" w:color="auto" w:fill="FFFFFF"/>
            <w:vAlign w:val="center"/>
          </w:tcPr>
          <w:p w14:paraId="04D8A9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Madrid schools</w:t>
            </w:r>
          </w:p>
        </w:tc>
        <w:tc>
          <w:tcPr>
            <w:tcW w:w="2647" w:type="pct"/>
            <w:tcBorders>
              <w:top w:val="nil"/>
              <w:left w:val="nil"/>
              <w:bottom w:val="nil"/>
              <w:right w:val="nil"/>
            </w:tcBorders>
            <w:shd w:val="clear" w:color="auto" w:fill="FFFFFF"/>
            <w:vAlign w:val="center"/>
          </w:tcPr>
          <w:p w14:paraId="17F4DC1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https://datos.comunidad.madrid/dataset/centros_educativos</w:t>
            </w:r>
          </w:p>
        </w:tc>
        <w:tc>
          <w:tcPr>
            <w:tcW w:w="1115" w:type="pct"/>
            <w:tcBorders>
              <w:top w:val="nil"/>
              <w:left w:val="nil"/>
              <w:bottom w:val="nil"/>
              <w:right w:val="nil"/>
            </w:tcBorders>
            <w:shd w:val="clear" w:color="auto" w:fill="FFFFFF"/>
            <w:vAlign w:val="center"/>
          </w:tcPr>
          <w:p w14:paraId="27124B0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Downloaded CSV/JSON + hash</w:t>
            </w:r>
          </w:p>
        </w:tc>
        <w:tc>
          <w:tcPr>
            <w:tcW w:w="610" w:type="pct"/>
            <w:tcBorders>
              <w:top w:val="nil"/>
              <w:left w:val="nil"/>
              <w:bottom w:val="nil"/>
              <w:right w:val="nil"/>
            </w:tcBorders>
            <w:shd w:val="clear" w:color="auto" w:fill="FFFFFF"/>
            <w:vAlign w:val="center"/>
          </w:tcPr>
          <w:p w14:paraId="5094142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Official school frame</w:t>
            </w:r>
          </w:p>
        </w:tc>
      </w:tr>
      <w:tr w14:paraId="66EEF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7" w:type="pct"/>
            <w:tcBorders>
              <w:top w:val="nil"/>
              <w:left w:val="nil"/>
              <w:bottom w:val="nil"/>
              <w:right w:val="single" w:color="000000" w:sz="12" w:space="0"/>
            </w:tcBorders>
            <w:shd w:val="clear" w:color="auto" w:fill="FFFFFF"/>
            <w:vAlign w:val="center"/>
          </w:tcPr>
          <w:p w14:paraId="6276F1A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Madrid schoolyards</w:t>
            </w:r>
          </w:p>
        </w:tc>
        <w:tc>
          <w:tcPr>
            <w:tcW w:w="2647" w:type="pct"/>
            <w:tcBorders>
              <w:top w:val="nil"/>
              <w:left w:val="nil"/>
              <w:bottom w:val="nil"/>
              <w:right w:val="nil"/>
            </w:tcBorders>
            <w:shd w:val="clear" w:color="auto" w:fill="FFFFFF"/>
            <w:vAlign w:val="center"/>
          </w:tcPr>
          <w:p w14:paraId="61E43E8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https://datos.madrid.es/dataset/300572-0-colegios-publicos</w:t>
            </w:r>
          </w:p>
        </w:tc>
        <w:tc>
          <w:tcPr>
            <w:tcW w:w="1115" w:type="pct"/>
            <w:tcBorders>
              <w:top w:val="nil"/>
              <w:left w:val="nil"/>
              <w:bottom w:val="nil"/>
              <w:right w:val="nil"/>
            </w:tcBorders>
            <w:shd w:val="clear" w:color="auto" w:fill="FFFFFF"/>
            <w:vAlign w:val="center"/>
          </w:tcPr>
          <w:p w14:paraId="2C9E702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Downloaded CSV/XLSX + hash</w:t>
            </w:r>
          </w:p>
        </w:tc>
        <w:tc>
          <w:tcPr>
            <w:tcW w:w="610" w:type="pct"/>
            <w:tcBorders>
              <w:top w:val="nil"/>
              <w:left w:val="nil"/>
              <w:bottom w:val="nil"/>
              <w:right w:val="nil"/>
            </w:tcBorders>
            <w:shd w:val="clear" w:color="auto" w:fill="FFFFFF"/>
            <w:vAlign w:val="center"/>
          </w:tcPr>
          <w:p w14:paraId="0DB90ED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Public-school QC/context</w:t>
            </w:r>
          </w:p>
        </w:tc>
      </w:tr>
      <w:tr w14:paraId="01ECB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7" w:type="pct"/>
            <w:tcBorders>
              <w:top w:val="nil"/>
              <w:left w:val="nil"/>
              <w:bottom w:val="nil"/>
              <w:right w:val="single" w:color="000000" w:sz="12" w:space="0"/>
            </w:tcBorders>
            <w:shd w:val="clear" w:color="auto" w:fill="FFFFFF"/>
            <w:vAlign w:val="center"/>
          </w:tcPr>
          <w:p w14:paraId="1B09FBB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Barcelona schools</w:t>
            </w:r>
          </w:p>
        </w:tc>
        <w:tc>
          <w:tcPr>
            <w:tcW w:w="2647" w:type="pct"/>
            <w:tcBorders>
              <w:top w:val="nil"/>
              <w:left w:val="nil"/>
              <w:bottom w:val="nil"/>
              <w:right w:val="nil"/>
            </w:tcBorders>
            <w:shd w:val="clear" w:color="auto" w:fill="FFFFFF"/>
            <w:vAlign w:val="center"/>
          </w:tcPr>
          <w:p w14:paraId="39854BF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https://opendata-ajuntament.barcelona.cat/data/dataset/equipament-educacio</w:t>
            </w:r>
          </w:p>
        </w:tc>
        <w:tc>
          <w:tcPr>
            <w:tcW w:w="1115" w:type="pct"/>
            <w:tcBorders>
              <w:top w:val="nil"/>
              <w:left w:val="nil"/>
              <w:bottom w:val="nil"/>
              <w:right w:val="nil"/>
            </w:tcBorders>
            <w:shd w:val="clear" w:color="auto" w:fill="FFFFFF"/>
            <w:vAlign w:val="center"/>
          </w:tcPr>
          <w:p w14:paraId="4574E64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Downloaded resource + hash</w:t>
            </w:r>
          </w:p>
        </w:tc>
        <w:tc>
          <w:tcPr>
            <w:tcW w:w="610" w:type="pct"/>
            <w:tcBorders>
              <w:top w:val="nil"/>
              <w:left w:val="nil"/>
              <w:bottom w:val="nil"/>
              <w:right w:val="nil"/>
            </w:tcBorders>
            <w:shd w:val="clear" w:color="auto" w:fill="FFFFFF"/>
            <w:vAlign w:val="center"/>
          </w:tcPr>
          <w:p w14:paraId="383097E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Official school frame</w:t>
            </w:r>
          </w:p>
        </w:tc>
      </w:tr>
      <w:tr w14:paraId="5D9FA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27" w:type="pct"/>
            <w:tcBorders>
              <w:top w:val="nil"/>
              <w:left w:val="nil"/>
              <w:bottom w:val="single" w:color="000000" w:sz="12" w:space="0"/>
              <w:right w:val="single" w:color="000000" w:sz="12" w:space="0"/>
            </w:tcBorders>
            <w:shd w:val="clear" w:color="auto" w:fill="FFFFFF"/>
            <w:vAlign w:val="center"/>
          </w:tcPr>
          <w:p w14:paraId="268998F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Campus polygons</w:t>
            </w:r>
          </w:p>
        </w:tc>
        <w:tc>
          <w:tcPr>
            <w:tcW w:w="2647" w:type="pct"/>
            <w:tcBorders>
              <w:top w:val="nil"/>
              <w:left w:val="nil"/>
              <w:bottom w:val="single" w:color="000000" w:sz="12" w:space="0"/>
              <w:right w:val="nil"/>
            </w:tcBorders>
            <w:shd w:val="clear" w:color="auto" w:fill="FFFFFF"/>
            <w:vAlign w:val="center"/>
          </w:tcPr>
          <w:p w14:paraId="67533FF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Open education polygons / documented manual QC</w:t>
            </w:r>
          </w:p>
        </w:tc>
        <w:tc>
          <w:tcPr>
            <w:tcW w:w="1115" w:type="pct"/>
            <w:tcBorders>
              <w:top w:val="nil"/>
              <w:left w:val="nil"/>
              <w:bottom w:val="single" w:color="000000" w:sz="12" w:space="0"/>
              <w:right w:val="nil"/>
            </w:tcBorders>
            <w:shd w:val="clear" w:color="auto" w:fill="FFFFFF"/>
            <w:vAlign w:val="center"/>
          </w:tcPr>
          <w:p w14:paraId="2A90A26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GeoPackage/GeoJSON + match log</w:t>
            </w:r>
          </w:p>
        </w:tc>
        <w:tc>
          <w:tcPr>
            <w:tcW w:w="610" w:type="pct"/>
            <w:tcBorders>
              <w:top w:val="nil"/>
              <w:left w:val="nil"/>
              <w:bottom w:val="single" w:color="000000" w:sz="12" w:space="0"/>
              <w:right w:val="nil"/>
            </w:tcBorders>
            <w:shd w:val="clear" w:color="auto" w:fill="FFFFFF"/>
            <w:vAlign w:val="center"/>
          </w:tcPr>
          <w:p w14:paraId="4B6B04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Sampling boundaries</w:t>
            </w:r>
          </w:p>
        </w:tc>
      </w:tr>
    </w:tbl>
    <w:p w14:paraId="03DAFBE0">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r>
        <w:rPr>
          <w:rFonts w:hint="default" w:ascii="Times New Roman" w:hAnsi="Times New Roman" w:eastAsia="Times New Roman" w:cs="Times New Roman"/>
          <w:b w:val="0"/>
          <w:i/>
          <w:color w:val="000000"/>
          <w:sz w:val="24"/>
          <w:szCs w:val="24"/>
        </w:rPr>
        <w:t>Note. The table separates public source products from retained analysis artifacts; no published numerical outcome is used as an empirical input.</w:t>
      </w:r>
    </w:p>
    <w:p w14:paraId="55F1DF05">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p>
    <w:p w14:paraId="52D4E455">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color w:val="000000"/>
          <w:sz w:val="24"/>
          <w:szCs w:val="24"/>
        </w:rPr>
      </w:pPr>
      <w:r>
        <w:rPr>
          <w:rFonts w:hint="default" w:ascii="Times New Roman" w:hAnsi="Times New Roman" w:eastAsia="Times New Roman" w:cs="Times New Roman"/>
          <w:b w:val="0"/>
          <w:color w:val="000000"/>
          <w:sz w:val="24"/>
          <w:szCs w:val="24"/>
        </w:rPr>
        <w:t>This lineage records the source basis and quality-control documentation for each analytical layer. It does not imply distribution or exact reproduction of the manually curated linkage, geometry or derived analytical files. Campus geometry provenance is therefore reported at the match-log level because the retained archive identifies heterogeneous open education geometries and documented manual adjudication rather than a single polygon provider.</w:t>
      </w:r>
    </w:p>
    <w:p w14:paraId="177928A4">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color w:val="000000"/>
          <w:sz w:val="24"/>
          <w:szCs w:val="24"/>
        </w:rPr>
      </w:pPr>
    </w:p>
    <w:p w14:paraId="0EEF220D">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S2. Campus matching and quality-control rules</w:t>
      </w:r>
    </w:p>
    <w:p w14:paraId="0304D27C">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Normalize school names by Unicode normalization, case-folding, punctuation removal, standard abbreviation rules and whitespace collapse; preserve the original name in a separate field.</w:t>
      </w:r>
    </w:p>
    <w:p w14:paraId="166FF303">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Prefer exact normalized name + address matches between the official registry and candidate education polygons.</w:t>
      </w:r>
    </w:p>
    <w:p w14:paraId="6AEEFA2B">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For unresolved records, use nearest candidate geometry only when the official coordinate and polygon centroid are within 100 m and no competing school falls within that radius. Records failing this uniqueness rule enter manual review rather than automatic nearest-neighbor assignment.</w:t>
      </w:r>
    </w:p>
    <w:p w14:paraId="54EB1F40">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Manually review all multi-school campuses, missing polygons, polygons intersecting large non-school uses and suspiciously small/large areas.</w:t>
      </w:r>
    </w:p>
    <w:p w14:paraId="3274C2A8">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Assign a stable school_id before any raster extraction. Never generate a new identifier from row order after filtering.</w:t>
      </w:r>
    </w:p>
    <w:p w14:paraId="25522706">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Flag relocations, major boundary changes or merged institutions. Exclude cases whose longitudinal boundary cannot be represented consistently.</w:t>
      </w:r>
    </w:p>
    <w:p w14:paraId="1213B166">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Apply the same minimum-pixel and ≥7-of-11 annual-composite completeness rules in both cities. Because no alternative-threshold sensitivity series is used for inference in the submitted analysis, the supplement does not introduce post hoc ≥8/9/10-year comparisons.</w:t>
      </w:r>
    </w:p>
    <w:p w14:paraId="1826FA69">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Retain the verified final cohort list and any exclusion reasons that are traceable in the archived matching/QC records. Do not reconstruct missing intermediate exclusion categories post hoc; the screened frame, fixed eligibility rules, final cohort and retention rates define the documented analytical population.</w:t>
      </w:r>
    </w:p>
    <w:p w14:paraId="25AA3E1C">
      <w:pPr>
        <w:pStyle w:val="16"/>
        <w:keepLines w:val="0"/>
        <w:pageBreakBefore w:val="0"/>
        <w:widowControl/>
        <w:numPr>
          <w:ilvl w:val="0"/>
          <w:numId w:val="0"/>
        </w:numPr>
        <w:kinsoku/>
        <w:wordWrap/>
        <w:overflowPunct/>
        <w:topLinePunct w:val="0"/>
        <w:autoSpaceDE/>
        <w:autoSpaceDN/>
        <w:bidi w:val="0"/>
        <w:adjustRightInd/>
        <w:snapToGrid/>
        <w:spacing w:after="160" w:line="240" w:lineRule="auto"/>
        <w:ind w:leftChars="0" w:right="0" w:rightChars="0"/>
        <w:jc w:val="both"/>
        <w:textAlignment w:val="auto"/>
        <w:rPr>
          <w:rFonts w:hint="default" w:ascii="Times New Roman" w:hAnsi="Times New Roman" w:cs="Times New Roman"/>
          <w:sz w:val="24"/>
          <w:szCs w:val="24"/>
        </w:rPr>
      </w:pPr>
    </w:p>
    <w:p w14:paraId="05D36EB6">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S3. Google Earth Engine processing specification</w:t>
      </w:r>
    </w:p>
    <w:p w14:paraId="56A22E56">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The following processing specification records the transformations documented for the Google Earth Engine workflow. It makes image filtering, masking, scaling, index calculation and annual compositing explicit without serving as a distributed executable-code package. The school polygons are represented as a FeatureCollection with school_id, city and geometry fields; no outcome values are hard-coded. The fifth mapped-band transformation is retained exactly as documented and is interpreted throughout the manuscript as a shortwave-reflectance albedo proxy for relative material-reflectance screening, not as an absolute Landsat-8 OLI broadband-albedo estimator.</w:t>
      </w:r>
    </w:p>
    <w:p w14:paraId="32F8836B">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Core assets</w:t>
      </w:r>
    </w:p>
    <w:p w14:paraId="1A2D9B5D">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var l8 = ee.ImageCollection('LANDSAT/LC08/C02/T1_L2');</w:t>
      </w:r>
    </w:p>
    <w:p w14:paraId="58CCE4CD">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var lcz = ee.ImageCollection('RUB/RUBCLIM/LCZ/global_lcz_map/latest').mosaic().select('LCZ_Filter');</w:t>
      </w:r>
    </w:p>
    <w:p w14:paraId="0E112701">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`schools` is the quality-controlled public-primary-school FeatureCollection described in S2.</w:t>
      </w:r>
    </w:p>
    <w:p w14:paraId="1701D8A3">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function maskL8(image) {</w:t>
      </w:r>
    </w:p>
    <w:p w14:paraId="1055CEA4">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qa = image.select('QA_PIXEL');</w:t>
      </w:r>
    </w:p>
    <w:p w14:paraId="757A363F">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clear = qa.bitwiseAnd(1 &lt;&lt; 0).eq(0)  // fill</w:t>
      </w:r>
    </w:p>
    <w:p w14:paraId="3FD2A525">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.and(qa.bitwiseAnd(1 &lt;&lt; 1).eq(0))      // dilated cloud</w:t>
      </w:r>
    </w:p>
    <w:p w14:paraId="568788B7">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.and(qa.bitwiseAnd(1 &lt;&lt; 2).eq(0))      // cirrus</w:t>
      </w:r>
    </w:p>
    <w:p w14:paraId="3C55D487">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.and(qa.bitwiseAnd(1 &lt;&lt; 3).eq(0))      // cloud</w:t>
      </w:r>
    </w:p>
    <w:p w14:paraId="400E2175">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.and(qa.bitwiseAnd(1 &lt;&lt; 4).eq(0))      // cloud shadow</w:t>
      </w:r>
    </w:p>
    <w:p w14:paraId="5FF73B2D">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.and(qa.bitwiseAnd(1 &lt;&lt; 5).eq(0));     // snow</w:t>
      </w:r>
    </w:p>
    <w:p w14:paraId="564EE866">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sat = image.select('QA_RADSAT').eq(0);</w:t>
      </w:r>
    </w:p>
    <w:p w14:paraId="19D8BFF5">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return image.updateMask(clear.and(sat));</w:t>
      </w:r>
    </w:p>
    <w:p w14:paraId="5F637B8D">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w:t>
      </w:r>
    </w:p>
    <w:p w14:paraId="3486AFDA">
      <w:pPr>
        <w:keepLines w:val="0"/>
        <w:pageBreakBefore w:val="0"/>
        <w:widowControl/>
        <w:kinsoku/>
        <w:wordWrap/>
        <w:overflowPunct/>
        <w:topLinePunct w:val="0"/>
        <w:autoSpaceDE/>
        <w:autoSpaceDN/>
        <w:bidi w:val="0"/>
        <w:adjustRightInd/>
        <w:snapToGrid/>
        <w:spacing w:after="160" w:line="240" w:lineRule="auto"/>
        <w:ind w:left="0" w:firstLine="0"/>
        <w:textAlignment w:val="auto"/>
        <w:rPr>
          <w:rFonts w:hint="default" w:ascii="Times New Roman" w:hAnsi="Times New Roman" w:cs="Times New Roman"/>
          <w:sz w:val="24"/>
          <w:szCs w:val="24"/>
        </w:rPr>
      </w:pPr>
    </w:p>
    <w:p w14:paraId="5F79D1D1">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function addVariables(image) {</w:t>
      </w:r>
    </w:p>
    <w:p w14:paraId="0A55F616">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sr = image.select(['SR_B2','SR_B4','SR_B5','SR_B6','SR_B7'])</w:t>
      </w:r>
    </w:p>
    <w:p w14:paraId="296A4B08">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.multiply(0.0000275).add(-0.2);</w:t>
      </w:r>
    </w:p>
    <w:p w14:paraId="13FEEF58">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blue = sr.select('SR_B2');</w:t>
      </w:r>
    </w:p>
    <w:p w14:paraId="537F137D">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red  = sr.select('SR_B4');</w:t>
      </w:r>
    </w:p>
    <w:p w14:paraId="56AA4523">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nir  = sr.select('SR_B5');</w:t>
      </w:r>
    </w:p>
    <w:p w14:paraId="08845517">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sw1  = sr.select('SR_B6');</w:t>
      </w:r>
    </w:p>
    <w:p w14:paraId="5010E190">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sw2  = sr.select('SR_B7');</w:t>
      </w:r>
    </w:p>
    <w:p w14:paraId="1F20075B">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lst = image.select('ST_B10').multiply(0.00341802).add(149.0)</w:t>
      </w:r>
    </w:p>
    <w:p w14:paraId="3DC58C79">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.subtract(273.15).rename('LST');</w:t>
      </w:r>
    </w:p>
    <w:p w14:paraId="61E85788">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ndvi = nir.subtract(red).divide(nir.add(red)).rename('NDVI');</w:t>
      </w:r>
    </w:p>
    <w:p w14:paraId="14C12161">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ndmi = nir.subtract(sw1).divide(nir.add(sw1)).rename('NDMI');</w:t>
      </w:r>
    </w:p>
    <w:p w14:paraId="711C4B56">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ndbi = sw1.subtract(nir).divide(sw1.add(nir)).rename('NDBI');</w:t>
      </w:r>
    </w:p>
    <w:p w14:paraId="7206C178">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ndbsi = red.add(sw1).subtract(nir).subtract(blue)</w:t>
      </w:r>
    </w:p>
    <w:p w14:paraId="11CA2F41">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.divide(red.add(sw1).add(nir).add(blue)).rename('NDBSI');</w:t>
      </w:r>
    </w:p>
    <w:p w14:paraId="6E7AB3EB">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var albedo = blue.multiply(0.365).add(red.multiply(0.130))</w:t>
      </w:r>
    </w:p>
    <w:p w14:paraId="0A0FA548">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.add(nir.multiply(0.373)).add(sw1.multiply(0.085))</w:t>
      </w:r>
    </w:p>
    <w:p w14:paraId="6E1E1F3A">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.add(sw2.multiply(0.072)).subtract(0.0018).rename('AlbedoProxy');</w:t>
      </w:r>
    </w:p>
    <w:p w14:paraId="72FA4029">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return ee.Image.cat([lst, ndvi, ndmi, ndbi, ndbsi, albedo])</w:t>
      </w:r>
    </w:p>
    <w:p w14:paraId="77586D3A">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.copyProperties(image, ['system:time_start']);</w:t>
      </w:r>
    </w:p>
    <w:p w14:paraId="010543F9">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w:t>
      </w:r>
    </w:p>
    <w:p w14:paraId="75EFD21D">
      <w:pPr>
        <w:keepLines w:val="0"/>
        <w:pageBreakBefore w:val="0"/>
        <w:widowControl/>
        <w:kinsoku/>
        <w:wordWrap/>
        <w:overflowPunct/>
        <w:topLinePunct w:val="0"/>
        <w:autoSpaceDE/>
        <w:autoSpaceDN/>
        <w:bidi w:val="0"/>
        <w:adjustRightInd/>
        <w:snapToGrid/>
        <w:spacing w:after="160" w:line="240" w:lineRule="auto"/>
        <w:ind w:left="0" w:firstLine="0"/>
        <w:textAlignment w:val="auto"/>
        <w:rPr>
          <w:rFonts w:hint="default" w:ascii="Times New Roman" w:hAnsi="Times New Roman" w:cs="Times New Roman"/>
          <w:sz w:val="24"/>
          <w:szCs w:val="24"/>
        </w:rPr>
      </w:pPr>
    </w:p>
    <w:p w14:paraId="232BA918">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var years = ee.List.sequence(2014, 2024);</w:t>
      </w:r>
    </w:p>
    <w:p w14:paraId="13B89B79">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var annual = ee.ImageCollection.fromImages(years.map(function(y) {</w:t>
      </w:r>
    </w:p>
    <w:p w14:paraId="7E21046E">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y = ee.Number(y);</w:t>
      </w:r>
    </w:p>
    <w:p w14:paraId="3B2CADF8">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start = ee.Date.fromYMD(y, 7, 1);</w:t>
      </w:r>
    </w:p>
    <w:p w14:paraId="08C7B54F">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end   = ee.Date.fromYMD(y, 9, 1);</w:t>
      </w:r>
    </w:p>
    <w:p w14:paraId="1698A331">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var composite = l8.filterDate(start, end)</w:t>
      </w:r>
    </w:p>
    <w:p w14:paraId="51389EAD">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.filterBounds(schools.geometry())</w:t>
      </w:r>
    </w:p>
    <w:p w14:paraId="63A2B36F">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.map(maskL8).map(addVariables).median();</w:t>
      </w:r>
    </w:p>
    <w:p w14:paraId="283CC6DB">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xml:space="preserve">  return composite.addBands(lcz.rename('LCZ')).set('year', y);</w:t>
      </w:r>
    </w:p>
    <w:p w14:paraId="15B1F5A2">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w:t>
      </w:r>
    </w:p>
    <w:p w14:paraId="7E9890A2">
      <w:pPr>
        <w:keepLines w:val="0"/>
        <w:pageBreakBefore w:val="0"/>
        <w:widowControl/>
        <w:kinsoku/>
        <w:wordWrap/>
        <w:overflowPunct/>
        <w:topLinePunct w:val="0"/>
        <w:autoSpaceDE/>
        <w:autoSpaceDN/>
        <w:bidi w:val="0"/>
        <w:adjustRightInd/>
        <w:snapToGrid/>
        <w:spacing w:after="160" w:line="240" w:lineRule="auto"/>
        <w:ind w:left="0" w:firstLine="0"/>
        <w:textAlignment w:val="auto"/>
        <w:rPr>
          <w:rFonts w:hint="default" w:ascii="Times New Roman" w:hAnsi="Times New Roman" w:cs="Times New Roman"/>
          <w:sz w:val="24"/>
          <w:szCs w:val="24"/>
        </w:rPr>
      </w:pPr>
    </w:p>
    <w:p w14:paraId="7158313C">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For each year, sample valid 30-m pixel centroids within school polygons.</w:t>
      </w:r>
    </w:p>
    <w:p w14:paraId="78ACF580">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Export fields: city, school_id, year, LST, NDVI, NDMI, NDBI, NDBSI, AlbedoProxy, LCZ, lon, lat.</w:t>
      </w:r>
    </w:p>
    <w:p w14:paraId="5D4870DB">
      <w:pPr>
        <w:keepLines w:val="0"/>
        <w:pageBreakBefore w:val="0"/>
        <w:widowControl/>
        <w:kinsoku/>
        <w:wordWrap/>
        <w:overflowPunct/>
        <w:topLinePunct w:val="0"/>
        <w:autoSpaceDE/>
        <w:autoSpaceDN/>
        <w:bidi w:val="0"/>
        <w:adjustRightInd/>
        <w:snapToGrid/>
        <w:spacing w:after="160" w:line="240" w:lineRule="auto"/>
        <w:ind w:left="0" w:right="0"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The sampling/export call should use scale=30 and retain the executed image/export projection in the run manifest.</w:t>
      </w:r>
    </w:p>
    <w:p w14:paraId="2103139B">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color w:val="000000"/>
          <w:sz w:val="24"/>
          <w:szCs w:val="24"/>
        </w:rPr>
      </w:pPr>
      <w:r>
        <w:rPr>
          <w:rFonts w:hint="default" w:ascii="Times New Roman" w:hAnsi="Times New Roman" w:eastAsia="Times New Roman" w:cs="Times New Roman"/>
          <w:b w:val="0"/>
          <w:color w:val="000000"/>
          <w:sz w:val="24"/>
          <w:szCs w:val="24"/>
        </w:rPr>
        <w:t>Interpretation note on the albedo proxy. Liang (2001) developed a narrowband-to-broadband Landsat conversion for TM/ETM+ and reports a 0.356 coefficient for the first TM/ETM+ band in the relevant shortwave equation. The archived Landsat-8 mapped-band implementation documented above uses 0.365 for BLUE. This supplement preserves the documented implementation for auditability rather than silently substituting a different coefficient after analysis. Because OLI-specific albedo retrieval can require sensor-specific spectral-response, atmospheric and BRDF treatment (He et al., 2018), the manuscript treats this field only as a shortwave-reflectance albedo proxy and makes no absolute broadband-albedo or retrofit-effect claim. No coefficient-sensitivity result is reported from the retained archive; interpretation is therefore confined to within-study relative material reflectance.</w:t>
      </w:r>
    </w:p>
    <w:p w14:paraId="69E4457A">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color w:val="000000"/>
          <w:sz w:val="24"/>
          <w:szCs w:val="24"/>
        </w:rPr>
      </w:pPr>
    </w:p>
    <w:p w14:paraId="7598E886">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S4. Machine-learning execution and tuning specification</w:t>
      </w:r>
    </w:p>
    <w:p w14:paraId="07C59F2C">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core input matrix contains exactly five predictors: NDVI, NDMI, NDBI, NDBSI and the shortwave-reflectance albedo proxy. Seven model families are compared under this fixed input set: Decision Tree, Random Forest, Extra Trees, XGBoost, CatBoost, LightGBM and Gradient Boosting Regressor. The set spans a single-tree baseline, bagged/randomized ensembles and boosting families so that model behavior can be compared without changing feature availability. Observations missing LST or a required predictor after raster masking are excluded rather than imputed across schools; school_id is never supplied as a predictor, and city, year and LCZ remain metadata. For the selected Extra Trees model, attribution is the normalized impurity-based feature_importances_ value summarized across grouped folds. The retained archive verifies exclusion of held-out schools from model-setting selection and preserves the candidate spaces in Table S2, but it does not contain enough information to reconstruct the exact inner resampling rule or a publication-ready per-fold parameter table. Those details are therefore reported as archive limitations rather than inferred post hoc.</w:t>
      </w:r>
    </w:p>
    <w:p w14:paraId="08388938">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Verified outer boundary: five-fold evaluation is grouped by school_id, and the held-out schools are not used for model-setting selection.</w:t>
      </w:r>
    </w:p>
    <w:p w14:paraId="713486B7">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Verified candidate space: the compact model-specific grids are reported in Table S2 and the five-predictor input set is unchanged across algorithms.</w:t>
      </w:r>
    </w:p>
    <w:p w14:paraId="7AD31252">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Archive limitation: the exact inner resampling rule and the selected setting for every outer fold are not recoverable from the retained publication archive; the manuscript therefore reports the boundary rather than reconstructing those details.</w:t>
      </w:r>
    </w:p>
    <w:p w14:paraId="2A02E437">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val="0"/>
          <w:color w:val="000000"/>
          <w:sz w:val="24"/>
          <w:szCs w:val="24"/>
        </w:rPr>
        <w:t>The constrained search spaces used for model tuning are reported in Table S2.</w:t>
      </w:r>
    </w:p>
    <w:p w14:paraId="21835D0D">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p>
    <w:p w14:paraId="58C56903">
      <w:pPr>
        <w:keepNext/>
        <w:keepLines w:val="0"/>
        <w:pageBreakBefore w:val="0"/>
        <w:widowControl/>
        <w:kinsoku/>
        <w:wordWrap/>
        <w:overflowPunct/>
        <w:topLinePunct w:val="0"/>
        <w:autoSpaceDE/>
        <w:autoSpaceDN/>
        <w:bidi w:val="0"/>
        <w:adjustRightInd/>
        <w:snapToGrid/>
        <w:spacing w:after="160" w:line="240" w:lineRule="auto"/>
        <w:ind w:left="0" w:righ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S2.</w:t>
      </w:r>
      <w:r>
        <w:rPr>
          <w:rFonts w:hint="default" w:ascii="Times New Roman" w:hAnsi="Times New Roman" w:eastAsia="Times New Roman" w:cs="Times New Roman"/>
          <w:b w:val="0"/>
          <w:i w:val="0"/>
          <w:color w:val="000000"/>
          <w:sz w:val="24"/>
          <w:szCs w:val="24"/>
        </w:rPr>
        <w:t xml:space="preserve"> Machine-learning hyperparameter search spaces.</w:t>
      </w:r>
    </w:p>
    <w:tbl>
      <w:tblPr>
        <w:tblStyle w:val="3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6"/>
        <w:gridCol w:w="4912"/>
        <w:gridCol w:w="3020"/>
      </w:tblGrid>
      <w:tr w14:paraId="7F44D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07" w:type="pct"/>
            <w:tcBorders>
              <w:top w:val="single" w:color="000000" w:sz="12" w:space="0"/>
              <w:left w:val="nil"/>
              <w:bottom w:val="single" w:color="000000" w:sz="8" w:space="0"/>
              <w:right w:val="single" w:color="000000" w:sz="12" w:space="0"/>
            </w:tcBorders>
            <w:shd w:val="clear" w:color="auto" w:fill="FFFFFF"/>
            <w:vAlign w:val="center"/>
          </w:tcPr>
          <w:p w14:paraId="4DF0E51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Model</w:t>
            </w:r>
          </w:p>
        </w:tc>
        <w:tc>
          <w:tcPr>
            <w:tcW w:w="2658" w:type="pct"/>
            <w:tcBorders>
              <w:top w:val="single" w:color="000000" w:sz="12" w:space="0"/>
              <w:left w:val="nil"/>
              <w:bottom w:val="single" w:color="000000" w:sz="8" w:space="0"/>
              <w:right w:val="nil"/>
            </w:tcBorders>
            <w:shd w:val="clear" w:color="auto" w:fill="FFFFFF"/>
            <w:vAlign w:val="center"/>
          </w:tcPr>
          <w:p w14:paraId="1B96D0B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Search space</w:t>
            </w:r>
          </w:p>
        </w:tc>
        <w:tc>
          <w:tcPr>
            <w:tcW w:w="1634" w:type="pct"/>
            <w:tcBorders>
              <w:top w:val="single" w:color="000000" w:sz="12" w:space="0"/>
              <w:left w:val="nil"/>
              <w:bottom w:val="single" w:color="000000" w:sz="8" w:space="0"/>
              <w:right w:val="nil"/>
            </w:tcBorders>
            <w:shd w:val="clear" w:color="auto" w:fill="FFFFFF"/>
            <w:vAlign w:val="center"/>
          </w:tcPr>
          <w:p w14:paraId="79C89CE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Notes</w:t>
            </w:r>
          </w:p>
        </w:tc>
      </w:tr>
      <w:tr w14:paraId="58429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pct"/>
            <w:tcBorders>
              <w:top w:val="nil"/>
              <w:left w:val="nil"/>
              <w:bottom w:val="nil"/>
              <w:right w:val="single" w:color="000000" w:sz="12" w:space="0"/>
            </w:tcBorders>
            <w:shd w:val="clear" w:color="auto" w:fill="FFFFFF"/>
            <w:vAlign w:val="center"/>
          </w:tcPr>
          <w:p w14:paraId="144DB1D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DT</w:t>
            </w:r>
          </w:p>
        </w:tc>
        <w:tc>
          <w:tcPr>
            <w:tcW w:w="2658" w:type="pct"/>
            <w:tcBorders>
              <w:top w:val="nil"/>
              <w:left w:val="nil"/>
              <w:bottom w:val="nil"/>
              <w:right w:val="nil"/>
            </w:tcBorders>
            <w:shd w:val="clear" w:color="auto" w:fill="FFFFFF"/>
            <w:vAlign w:val="center"/>
          </w:tcPr>
          <w:p w14:paraId="4445CD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max_depth: {4, 8, 12, None}; min_samples_leaf: {1, 5, 20}</w:t>
            </w:r>
          </w:p>
        </w:tc>
        <w:tc>
          <w:tcPr>
            <w:tcW w:w="1634" w:type="pct"/>
            <w:tcBorders>
              <w:top w:val="nil"/>
              <w:left w:val="nil"/>
              <w:bottom w:val="nil"/>
              <w:right w:val="nil"/>
            </w:tcBorders>
            <w:shd w:val="clear" w:color="auto" w:fill="FFFFFF"/>
            <w:vAlign w:val="center"/>
          </w:tcPr>
          <w:p w14:paraId="24305BB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Baseline; tune inside training fold</w:t>
            </w:r>
          </w:p>
        </w:tc>
      </w:tr>
      <w:tr w14:paraId="17D75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pct"/>
            <w:tcBorders>
              <w:top w:val="nil"/>
              <w:left w:val="nil"/>
              <w:bottom w:val="nil"/>
              <w:right w:val="single" w:color="000000" w:sz="12" w:space="0"/>
            </w:tcBorders>
            <w:shd w:val="clear" w:color="auto" w:fill="FFFFFF"/>
            <w:vAlign w:val="center"/>
          </w:tcPr>
          <w:p w14:paraId="23F3453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RF</w:t>
            </w:r>
          </w:p>
        </w:tc>
        <w:tc>
          <w:tcPr>
            <w:tcW w:w="2658" w:type="pct"/>
            <w:tcBorders>
              <w:top w:val="nil"/>
              <w:left w:val="nil"/>
              <w:bottom w:val="nil"/>
              <w:right w:val="nil"/>
            </w:tcBorders>
            <w:shd w:val="clear" w:color="auto" w:fill="FFFFFF"/>
            <w:vAlign w:val="center"/>
          </w:tcPr>
          <w:p w14:paraId="5720AF6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n_estimators: {300, 600}; max_depth: {8, 16, None}; min_samples_leaf: {1, 5}; max_features: {sqrt, 1.0}</w:t>
            </w:r>
          </w:p>
        </w:tc>
        <w:tc>
          <w:tcPr>
            <w:tcW w:w="1634" w:type="pct"/>
            <w:tcBorders>
              <w:top w:val="nil"/>
              <w:left w:val="nil"/>
              <w:bottom w:val="nil"/>
              <w:right w:val="nil"/>
            </w:tcBorders>
            <w:shd w:val="clear" w:color="auto" w:fill="FFFFFF"/>
            <w:vAlign w:val="center"/>
          </w:tcPr>
          <w:p w14:paraId="01F42F6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fixed random_state</w:t>
            </w:r>
          </w:p>
        </w:tc>
      </w:tr>
      <w:tr w14:paraId="37032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pct"/>
            <w:tcBorders>
              <w:top w:val="nil"/>
              <w:left w:val="nil"/>
              <w:bottom w:val="nil"/>
              <w:right w:val="single" w:color="000000" w:sz="12" w:space="0"/>
            </w:tcBorders>
            <w:shd w:val="clear" w:color="auto" w:fill="FFFFFF"/>
            <w:vAlign w:val="center"/>
          </w:tcPr>
          <w:p w14:paraId="23B0796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Extra Trees</w:t>
            </w:r>
          </w:p>
        </w:tc>
        <w:tc>
          <w:tcPr>
            <w:tcW w:w="2658" w:type="pct"/>
            <w:tcBorders>
              <w:top w:val="nil"/>
              <w:left w:val="nil"/>
              <w:bottom w:val="nil"/>
              <w:right w:val="nil"/>
            </w:tcBorders>
            <w:shd w:val="clear" w:color="auto" w:fill="FFFFFF"/>
            <w:vAlign w:val="center"/>
          </w:tcPr>
          <w:p w14:paraId="4816D29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n_estimators: {300, 600}; max_depth: {8, 16, None}; min_samples_leaf: {1, 5}; max_features: {sqrt, 1.0}</w:t>
            </w:r>
          </w:p>
        </w:tc>
        <w:tc>
          <w:tcPr>
            <w:tcW w:w="1634" w:type="pct"/>
            <w:tcBorders>
              <w:top w:val="nil"/>
              <w:left w:val="nil"/>
              <w:bottom w:val="nil"/>
              <w:right w:val="nil"/>
            </w:tcBorders>
            <w:shd w:val="clear" w:color="auto" w:fill="FFFFFF"/>
            <w:vAlign w:val="center"/>
          </w:tcPr>
          <w:p w14:paraId="493B61A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ensemble comparator</w:t>
            </w:r>
          </w:p>
        </w:tc>
      </w:tr>
      <w:tr w14:paraId="7ADB8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pct"/>
            <w:tcBorders>
              <w:top w:val="nil"/>
              <w:left w:val="nil"/>
              <w:bottom w:val="nil"/>
              <w:right w:val="single" w:color="000000" w:sz="12" w:space="0"/>
            </w:tcBorders>
            <w:shd w:val="clear" w:color="auto" w:fill="FFFFFF"/>
            <w:vAlign w:val="center"/>
          </w:tcPr>
          <w:p w14:paraId="48A4AB2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XGBoost</w:t>
            </w:r>
          </w:p>
        </w:tc>
        <w:tc>
          <w:tcPr>
            <w:tcW w:w="2658" w:type="pct"/>
            <w:tcBorders>
              <w:top w:val="nil"/>
              <w:left w:val="nil"/>
              <w:bottom w:val="nil"/>
              <w:right w:val="nil"/>
            </w:tcBorders>
            <w:shd w:val="clear" w:color="auto" w:fill="FFFFFF"/>
            <w:vAlign w:val="center"/>
          </w:tcPr>
          <w:p w14:paraId="6BFDA0A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n_estimators: {300, 600}; learning_rate: {0.03, 0.07}; max_depth: {4, 8}; subsample: {0.8, 1.0}; colsample_bytree: {0.8, 1.0}</w:t>
            </w:r>
          </w:p>
        </w:tc>
        <w:tc>
          <w:tcPr>
            <w:tcW w:w="1634" w:type="pct"/>
            <w:tcBorders>
              <w:top w:val="nil"/>
              <w:left w:val="nil"/>
              <w:bottom w:val="nil"/>
              <w:right w:val="nil"/>
            </w:tcBorders>
            <w:shd w:val="clear" w:color="auto" w:fill="FFFFFF"/>
            <w:vAlign w:val="center"/>
          </w:tcPr>
          <w:p w14:paraId="53E1814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objective=reg:squarederror</w:t>
            </w:r>
          </w:p>
        </w:tc>
      </w:tr>
      <w:tr w14:paraId="6BE54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pct"/>
            <w:tcBorders>
              <w:top w:val="nil"/>
              <w:left w:val="nil"/>
              <w:bottom w:val="nil"/>
              <w:right w:val="single" w:color="000000" w:sz="12" w:space="0"/>
            </w:tcBorders>
            <w:shd w:val="clear" w:color="auto" w:fill="FFFFFF"/>
            <w:vAlign w:val="center"/>
          </w:tcPr>
          <w:p w14:paraId="2F131A3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CatBoost</w:t>
            </w:r>
          </w:p>
        </w:tc>
        <w:tc>
          <w:tcPr>
            <w:tcW w:w="2658" w:type="pct"/>
            <w:tcBorders>
              <w:top w:val="nil"/>
              <w:left w:val="nil"/>
              <w:bottom w:val="nil"/>
              <w:right w:val="nil"/>
            </w:tcBorders>
            <w:shd w:val="clear" w:color="auto" w:fill="FFFFFF"/>
            <w:vAlign w:val="center"/>
          </w:tcPr>
          <w:p w14:paraId="78486C7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iterations: {300, 600}; learning_rate: {0.03, 0.07}; depth: {4, 8}; l2_leaf_reg: {3, 8}</w:t>
            </w:r>
          </w:p>
        </w:tc>
        <w:tc>
          <w:tcPr>
            <w:tcW w:w="1634" w:type="pct"/>
            <w:tcBorders>
              <w:top w:val="nil"/>
              <w:left w:val="nil"/>
              <w:bottom w:val="nil"/>
              <w:right w:val="nil"/>
            </w:tcBorders>
            <w:shd w:val="clear" w:color="auto" w:fill="FFFFFF"/>
            <w:vAlign w:val="center"/>
          </w:tcPr>
          <w:p w14:paraId="03B7C1A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loss=RMSE; verbose=false</w:t>
            </w:r>
          </w:p>
        </w:tc>
      </w:tr>
      <w:tr w14:paraId="32B89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pct"/>
            <w:tcBorders>
              <w:top w:val="nil"/>
              <w:left w:val="nil"/>
              <w:bottom w:val="nil"/>
              <w:right w:val="single" w:color="000000" w:sz="12" w:space="0"/>
            </w:tcBorders>
            <w:shd w:val="clear" w:color="auto" w:fill="FFFFFF"/>
            <w:vAlign w:val="center"/>
          </w:tcPr>
          <w:p w14:paraId="42AD5F5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LightGBM</w:t>
            </w:r>
          </w:p>
        </w:tc>
        <w:tc>
          <w:tcPr>
            <w:tcW w:w="2658" w:type="pct"/>
            <w:tcBorders>
              <w:top w:val="nil"/>
              <w:left w:val="nil"/>
              <w:bottom w:val="nil"/>
              <w:right w:val="nil"/>
            </w:tcBorders>
            <w:shd w:val="clear" w:color="auto" w:fill="FFFFFF"/>
            <w:vAlign w:val="center"/>
          </w:tcPr>
          <w:p w14:paraId="6C37A1F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n_estimators: {300, 600}; learning_rate: {0.03, 0.07}; num_leaves: {15, 31}; min_child_samples: {20, 50}</w:t>
            </w:r>
          </w:p>
        </w:tc>
        <w:tc>
          <w:tcPr>
            <w:tcW w:w="1634" w:type="pct"/>
            <w:tcBorders>
              <w:top w:val="nil"/>
              <w:left w:val="nil"/>
              <w:bottom w:val="nil"/>
              <w:right w:val="nil"/>
            </w:tcBorders>
            <w:shd w:val="clear" w:color="auto" w:fill="FFFFFF"/>
            <w:vAlign w:val="center"/>
          </w:tcPr>
          <w:p w14:paraId="379F7DF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regression objective</w:t>
            </w:r>
          </w:p>
        </w:tc>
      </w:tr>
      <w:tr w14:paraId="47400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pct"/>
            <w:tcBorders>
              <w:top w:val="nil"/>
              <w:left w:val="nil"/>
              <w:bottom w:val="single" w:color="000000" w:sz="12" w:space="0"/>
              <w:right w:val="single" w:color="000000" w:sz="12" w:space="0"/>
            </w:tcBorders>
            <w:shd w:val="clear" w:color="auto" w:fill="FFFFFF"/>
            <w:vAlign w:val="center"/>
          </w:tcPr>
          <w:p w14:paraId="548928B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GBR</w:t>
            </w:r>
          </w:p>
        </w:tc>
        <w:tc>
          <w:tcPr>
            <w:tcW w:w="2658" w:type="pct"/>
            <w:tcBorders>
              <w:top w:val="nil"/>
              <w:left w:val="nil"/>
              <w:bottom w:val="single" w:color="000000" w:sz="12" w:space="0"/>
              <w:right w:val="nil"/>
            </w:tcBorders>
            <w:shd w:val="clear" w:color="auto" w:fill="FFFFFF"/>
            <w:vAlign w:val="center"/>
          </w:tcPr>
          <w:p w14:paraId="40C0D25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n_estimators: {200, 400}; learning_rate: {0.03, 0.07}; max_depth: {2, 4}; min_samples_leaf: {5, 20}</w:t>
            </w:r>
          </w:p>
        </w:tc>
        <w:tc>
          <w:tcPr>
            <w:tcW w:w="1634" w:type="pct"/>
            <w:tcBorders>
              <w:top w:val="nil"/>
              <w:left w:val="nil"/>
              <w:bottom w:val="single" w:color="000000" w:sz="12" w:space="0"/>
              <w:right w:val="nil"/>
            </w:tcBorders>
            <w:shd w:val="clear" w:color="auto" w:fill="FFFFFF"/>
            <w:vAlign w:val="center"/>
          </w:tcPr>
          <w:p w14:paraId="1D0A47A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classical boosting baseline</w:t>
            </w:r>
          </w:p>
        </w:tc>
      </w:tr>
    </w:tbl>
    <w:p w14:paraId="714DE702">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r>
        <w:rPr>
          <w:rFonts w:hint="default" w:ascii="Times New Roman" w:hAnsi="Times New Roman" w:eastAsia="Times New Roman" w:cs="Times New Roman"/>
          <w:b w:val="0"/>
          <w:i/>
          <w:color w:val="000000"/>
          <w:sz w:val="24"/>
          <w:szCs w:val="24"/>
        </w:rPr>
        <w:t>Note. Hyperparameter candidates are evaluated within training partitions only; held-out schools are excluded from model-setting selection, and the five core predictors remain identical across models.</w:t>
      </w:r>
    </w:p>
    <w:p w14:paraId="03FC3D89">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p>
    <w:p w14:paraId="1D28CF30">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val="0"/>
          <w:color w:val="000000"/>
          <w:sz w:val="24"/>
          <w:szCs w:val="24"/>
        </w:rPr>
        <w:t>The compact grid limits computational flexibility while preserving direct comparability among the seven regressors.</w:t>
      </w:r>
    </w:p>
    <w:p w14:paraId="5FA13A33">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p>
    <w:p w14:paraId="6F7C8452">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S5. School-grouped cross-validation and leakage audit</w:t>
      </w:r>
    </w:p>
    <w:p w14:paraId="337D5575">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Primary performance is computed from school-grouped folds. The validation specification requires zero overlap in school_id between training and test sets within every fold and therefore prevents within-school train–test mixing. It does not impose a minimum geographic distance between different schools, so residual cross-school spatial dependence can remain. The random 80/20 pixel split is retained only as a non-spatial interpolation benchmark. When the random split produces higher apparent performance than grouped validation, the grouped result remains the basis for model selection and the difference is reported as sensitivity to within-school dependence rather than proof of complete spatial independence.</w:t>
      </w:r>
    </w:p>
    <w:p w14:paraId="5561BD60">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Performance reporting: mean and standard deviation of R², RMSE, MAE and MBE are reported across the five school-grouped folds; the main text also reports the observed Extra Trees fold-R² range (0.72–0.83). A complete fold-by-fold metric table is not claimed in this supplement.</w:t>
      </w:r>
    </w:p>
    <w:p w14:paraId="386F481D">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Temporal transfer: no blocked or leave-one-year-out analysis was used for inference; accordingly, no unseen-year transfer inference is made.</w:t>
      </w:r>
    </w:p>
    <w:p w14:paraId="160E65BE">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Benchmark: a fixed-seed random 80/20 pixel split is reported as an interpolation benchmark only.</w:t>
      </w:r>
    </w:p>
    <w:p w14:paraId="186D4E4B">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Audit trail: fold assignments are retained in the internal analysis archive with school_id, fold_id and random-seed information, but the fold-assignment working file is not distributed as supplementary data.</w:t>
      </w:r>
    </w:p>
    <w:p w14:paraId="28B7F741">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Geographic separation: no geographic blocking or minimum inter-school distance is imposed; the primary claim is limited to held-out-school prediction without within-school overlap.</w:t>
      </w:r>
    </w:p>
    <w:p w14:paraId="2627B903">
      <w:pPr>
        <w:pStyle w:val="16"/>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Performance scope: metrics are pooled across Barcelona and Madrid and weighted by held-out pixel-year rows; no city-specific or equal-school-weighted performance estimate is claimed.</w:t>
      </w:r>
    </w:p>
    <w:p w14:paraId="55E0DFED">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color w:val="000000"/>
          <w:sz w:val="24"/>
          <w:szCs w:val="24"/>
        </w:rPr>
      </w:pPr>
      <w:r>
        <w:rPr>
          <w:rFonts w:hint="default" w:ascii="Times New Roman" w:hAnsi="Times New Roman" w:eastAsia="Times New Roman" w:cs="Times New Roman"/>
          <w:b w:val="0"/>
          <w:color w:val="000000"/>
          <w:sz w:val="24"/>
          <w:szCs w:val="24"/>
        </w:rPr>
        <w:t>Supplementary Table S3 consolidates the design risks that are summarized more briefly in the main Methods and Limitations sections.</w:t>
      </w:r>
    </w:p>
    <w:p w14:paraId="691426AB">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color w:val="000000"/>
          <w:sz w:val="24"/>
          <w:szCs w:val="24"/>
        </w:rPr>
      </w:pPr>
    </w:p>
    <w:p w14:paraId="38FB9899">
      <w:pPr>
        <w:keepNext/>
        <w:keepLines w:val="0"/>
        <w:pageBreakBefore w:val="0"/>
        <w:widowControl/>
        <w:kinsoku/>
        <w:wordWrap/>
        <w:overflowPunct/>
        <w:topLinePunct w:val="0"/>
        <w:autoSpaceDE/>
        <w:autoSpaceDN/>
        <w:bidi w:val="0"/>
        <w:adjustRightInd/>
        <w:snapToGrid/>
        <w:spacing w:after="160" w:line="240" w:lineRule="auto"/>
        <w:ind w:left="0" w:righ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S3.</w:t>
      </w:r>
      <w:r>
        <w:rPr>
          <w:rFonts w:hint="default" w:ascii="Times New Roman" w:hAnsi="Times New Roman" w:eastAsia="Times New Roman" w:cs="Times New Roman"/>
          <w:b w:val="0"/>
          <w:i w:val="0"/>
          <w:color w:val="000000"/>
          <w:sz w:val="24"/>
          <w:szCs w:val="24"/>
        </w:rPr>
        <w:t xml:space="preserve"> Main validity risks and controls.</w:t>
      </w:r>
    </w:p>
    <w:tbl>
      <w:tblPr>
        <w:tblStyle w:val="3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03"/>
        <w:gridCol w:w="3257"/>
        <w:gridCol w:w="3978"/>
      </w:tblGrid>
      <w:tr w14:paraId="7476B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084" w:type="pct"/>
            <w:tcBorders>
              <w:top w:val="single" w:color="000000" w:sz="12" w:space="0"/>
              <w:left w:val="nil"/>
              <w:bottom w:val="single" w:color="000000" w:sz="8" w:space="0"/>
              <w:right w:val="single" w:color="000000" w:sz="12" w:space="0"/>
            </w:tcBorders>
            <w:shd w:val="clear" w:color="auto" w:fill="FFFFFF"/>
            <w:vAlign w:val="center"/>
          </w:tcPr>
          <w:p w14:paraId="1CF2FCA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Risk</w:t>
            </w:r>
          </w:p>
        </w:tc>
        <w:tc>
          <w:tcPr>
            <w:tcW w:w="1762" w:type="pct"/>
            <w:tcBorders>
              <w:top w:val="single" w:color="000000" w:sz="12" w:space="0"/>
              <w:left w:val="nil"/>
              <w:bottom w:val="single" w:color="000000" w:sz="8" w:space="0"/>
              <w:right w:val="nil"/>
            </w:tcBorders>
            <w:shd w:val="clear" w:color="auto" w:fill="FFFFFF"/>
            <w:vAlign w:val="center"/>
          </w:tcPr>
          <w:p w14:paraId="3A03500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Why it matters</w:t>
            </w:r>
          </w:p>
        </w:tc>
        <w:tc>
          <w:tcPr>
            <w:tcW w:w="2152" w:type="pct"/>
            <w:tcBorders>
              <w:top w:val="single" w:color="000000" w:sz="12" w:space="0"/>
              <w:left w:val="nil"/>
              <w:bottom w:val="single" w:color="000000" w:sz="8" w:space="0"/>
              <w:right w:val="nil"/>
            </w:tcBorders>
            <w:shd w:val="clear" w:color="auto" w:fill="FFFFFF"/>
            <w:vAlign w:val="center"/>
          </w:tcPr>
          <w:p w14:paraId="1BE2919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Control in this study</w:t>
            </w:r>
          </w:p>
        </w:tc>
      </w:tr>
      <w:tr w14:paraId="35774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3F5C07E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Within-school train–test overlap</w:t>
            </w:r>
          </w:p>
        </w:tc>
        <w:tc>
          <w:tcPr>
            <w:tcW w:w="1762" w:type="pct"/>
            <w:tcBorders>
              <w:top w:val="nil"/>
              <w:left w:val="nil"/>
              <w:bottom w:val="nil"/>
              <w:right w:val="nil"/>
            </w:tcBorders>
            <w:shd w:val="clear" w:color="auto" w:fill="FFFFFF"/>
            <w:vAlign w:val="center"/>
          </w:tcPr>
          <w:p w14:paraId="110E6FD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Pixels from one campus can make a random test set look easier than prediction for a different school</w:t>
            </w:r>
          </w:p>
        </w:tc>
        <w:tc>
          <w:tcPr>
            <w:tcW w:w="2152" w:type="pct"/>
            <w:tcBorders>
              <w:top w:val="nil"/>
              <w:left w:val="nil"/>
              <w:bottom w:val="nil"/>
              <w:right w:val="nil"/>
            </w:tcBorders>
            <w:shd w:val="clear" w:color="auto" w:fill="FFFFFF"/>
            <w:vAlign w:val="center"/>
          </w:tcPr>
          <w:p w14:paraId="042D321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Primary GroupKFold by school_id; all rows from one school stay in the same fold; no claim of inter-school geographic independence</w:t>
            </w:r>
          </w:p>
        </w:tc>
      </w:tr>
      <w:tr w14:paraId="047DD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4CC8E5B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Temporal leakage</w:t>
            </w:r>
          </w:p>
        </w:tc>
        <w:tc>
          <w:tcPr>
            <w:tcW w:w="1762" w:type="pct"/>
            <w:tcBorders>
              <w:top w:val="nil"/>
              <w:left w:val="nil"/>
              <w:bottom w:val="nil"/>
              <w:right w:val="nil"/>
            </w:tcBorders>
            <w:shd w:val="clear" w:color="auto" w:fill="FFFFFF"/>
            <w:vAlign w:val="center"/>
          </w:tcPr>
          <w:p w14:paraId="387C016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Near-identical yearly patterns can inflate generalization</w:t>
            </w:r>
          </w:p>
        </w:tc>
        <w:tc>
          <w:tcPr>
            <w:tcW w:w="2152" w:type="pct"/>
            <w:tcBorders>
              <w:top w:val="nil"/>
              <w:left w:val="nil"/>
              <w:bottom w:val="nil"/>
              <w:right w:val="nil"/>
            </w:tcBorders>
            <w:shd w:val="clear" w:color="auto" w:fill="FFFFFF"/>
            <w:vAlign w:val="center"/>
          </w:tcPr>
          <w:p w14:paraId="493A6B0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Annual school summaries for trend inference; no separate unseen-year transfer claim</w:t>
            </w:r>
          </w:p>
        </w:tc>
      </w:tr>
      <w:tr w14:paraId="359F5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5CE9088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Common environmental causes</w:t>
            </w:r>
          </w:p>
        </w:tc>
        <w:tc>
          <w:tcPr>
            <w:tcW w:w="1762" w:type="pct"/>
            <w:tcBorders>
              <w:top w:val="nil"/>
              <w:left w:val="nil"/>
              <w:bottom w:val="nil"/>
              <w:right w:val="nil"/>
            </w:tcBorders>
            <w:shd w:val="clear" w:color="auto" w:fill="FFFFFF"/>
            <w:vAlign w:val="center"/>
          </w:tcPr>
          <w:p w14:paraId="668CF5B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Drought, irrigation and morphology can affect both indices and LST</w:t>
            </w:r>
          </w:p>
        </w:tc>
        <w:tc>
          <w:tcPr>
            <w:tcW w:w="2152" w:type="pct"/>
            <w:tcBorders>
              <w:top w:val="nil"/>
              <w:left w:val="nil"/>
              <w:bottom w:val="nil"/>
              <w:right w:val="nil"/>
            </w:tcBorders>
            <w:shd w:val="clear" w:color="auto" w:fill="FFFFFF"/>
            <w:vAlign w:val="center"/>
          </w:tcPr>
          <w:p w14:paraId="7896E3E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Associational language; LCZ retained as contextual metadata; no causal effect claims</w:t>
            </w:r>
          </w:p>
        </w:tc>
      </w:tr>
      <w:tr w14:paraId="59C13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6EE2741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Mixed pixels</w:t>
            </w:r>
          </w:p>
        </w:tc>
        <w:tc>
          <w:tcPr>
            <w:tcW w:w="1762" w:type="pct"/>
            <w:tcBorders>
              <w:top w:val="nil"/>
              <w:left w:val="nil"/>
              <w:bottom w:val="nil"/>
              <w:right w:val="nil"/>
            </w:tcBorders>
            <w:shd w:val="clear" w:color="auto" w:fill="FFFFFF"/>
            <w:vAlign w:val="center"/>
          </w:tcPr>
          <w:p w14:paraId="03DB2A9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30-m cells may combine school and neighboring surfaces</w:t>
            </w:r>
          </w:p>
        </w:tc>
        <w:tc>
          <w:tcPr>
            <w:tcW w:w="2152" w:type="pct"/>
            <w:tcBorders>
              <w:top w:val="nil"/>
              <w:left w:val="nil"/>
              <w:bottom w:val="nil"/>
              <w:right w:val="nil"/>
            </w:tcBorders>
            <w:shd w:val="clear" w:color="auto" w:fill="FFFFFF"/>
            <w:vAlign w:val="center"/>
          </w:tcPr>
          <w:p w14:paraId="683FB02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Campus-size/valid-pixel QC; centroid rule; median campus summaries</w:t>
            </w:r>
          </w:p>
        </w:tc>
      </w:tr>
      <w:tr w14:paraId="1117B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5D2EF0C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Boundary error</w:t>
            </w:r>
          </w:p>
        </w:tc>
        <w:tc>
          <w:tcPr>
            <w:tcW w:w="1762" w:type="pct"/>
            <w:tcBorders>
              <w:top w:val="nil"/>
              <w:left w:val="nil"/>
              <w:bottom w:val="nil"/>
              <w:right w:val="nil"/>
            </w:tcBorders>
            <w:shd w:val="clear" w:color="auto" w:fill="FFFFFF"/>
            <w:vAlign w:val="center"/>
          </w:tcPr>
          <w:p w14:paraId="520DF21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School point may not equal actual campus</w:t>
            </w:r>
          </w:p>
        </w:tc>
        <w:tc>
          <w:tcPr>
            <w:tcW w:w="2152" w:type="pct"/>
            <w:tcBorders>
              <w:top w:val="nil"/>
              <w:left w:val="nil"/>
              <w:bottom w:val="nil"/>
              <w:right w:val="nil"/>
            </w:tcBorders>
            <w:shd w:val="clear" w:color="auto" w:fill="FFFFFF"/>
            <w:vAlign w:val="center"/>
          </w:tcPr>
          <w:p w14:paraId="42E030D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Official registry + polygon matching + manual QC + retained traceable exclusion records + final-cohort audit</w:t>
            </w:r>
          </w:p>
        </w:tc>
      </w:tr>
      <w:tr w14:paraId="6F7FC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77FE4E7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Multiple testing</w:t>
            </w:r>
          </w:p>
        </w:tc>
        <w:tc>
          <w:tcPr>
            <w:tcW w:w="1762" w:type="pct"/>
            <w:tcBorders>
              <w:top w:val="nil"/>
              <w:left w:val="nil"/>
              <w:bottom w:val="nil"/>
              <w:right w:val="nil"/>
            </w:tcBorders>
            <w:shd w:val="clear" w:color="auto" w:fill="FFFFFF"/>
            <w:vAlign w:val="center"/>
          </w:tcPr>
          <w:p w14:paraId="557BB73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Many school-level MK tests increase false positives</w:t>
            </w:r>
          </w:p>
        </w:tc>
        <w:tc>
          <w:tcPr>
            <w:tcW w:w="2152" w:type="pct"/>
            <w:tcBorders>
              <w:top w:val="nil"/>
              <w:left w:val="nil"/>
              <w:bottom w:val="nil"/>
              <w:right w:val="nil"/>
            </w:tcBorders>
            <w:shd w:val="clear" w:color="auto" w:fill="FFFFFF"/>
            <w:vAlign w:val="center"/>
          </w:tcPr>
          <w:p w14:paraId="7E44C26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Benjamini–Hochberg FDR within city</w:t>
            </w:r>
          </w:p>
        </w:tc>
      </w:tr>
      <w:tr w14:paraId="391F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3FC19EB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Model overfitting</w:t>
            </w:r>
          </w:p>
        </w:tc>
        <w:tc>
          <w:tcPr>
            <w:tcW w:w="1762" w:type="pct"/>
            <w:tcBorders>
              <w:top w:val="nil"/>
              <w:left w:val="nil"/>
              <w:bottom w:val="nil"/>
              <w:right w:val="nil"/>
            </w:tcBorders>
            <w:shd w:val="clear" w:color="auto" w:fill="FFFFFF"/>
            <w:vAlign w:val="center"/>
          </w:tcPr>
          <w:p w14:paraId="7F173FC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Flexible ensembles can memorize idiosyncratic structure</w:t>
            </w:r>
          </w:p>
        </w:tc>
        <w:tc>
          <w:tcPr>
            <w:tcW w:w="2152" w:type="pct"/>
            <w:tcBorders>
              <w:top w:val="nil"/>
              <w:left w:val="nil"/>
              <w:bottom w:val="nil"/>
              <w:right w:val="nil"/>
            </w:tcBorders>
            <w:shd w:val="clear" w:color="auto" w:fill="FFFFFF"/>
            <w:vAlign w:val="center"/>
          </w:tcPr>
          <w:p w14:paraId="53D573A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Grouped CV, compact tuning grids, test metrics, random-split benchmark only in supplement</w:t>
            </w:r>
          </w:p>
        </w:tc>
      </w:tr>
      <w:tr w14:paraId="372D0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00983D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Interannual background climate</w:t>
            </w:r>
          </w:p>
        </w:tc>
        <w:tc>
          <w:tcPr>
            <w:tcW w:w="1762" w:type="pct"/>
            <w:tcBorders>
              <w:top w:val="nil"/>
              <w:left w:val="nil"/>
              <w:bottom w:val="nil"/>
              <w:right w:val="nil"/>
            </w:tcBorders>
            <w:shd w:val="clear" w:color="auto" w:fill="FFFFFF"/>
            <w:vAlign w:val="center"/>
          </w:tcPr>
          <w:p w14:paraId="077AA5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Heatwaves, drought and citywide thermal anomalies can shift school-ground LST across years</w:t>
            </w:r>
          </w:p>
        </w:tc>
        <w:tc>
          <w:tcPr>
            <w:tcW w:w="2152" w:type="pct"/>
            <w:tcBorders>
              <w:top w:val="nil"/>
              <w:left w:val="nil"/>
              <w:bottom w:val="nil"/>
              <w:right w:val="nil"/>
            </w:tcBorders>
            <w:shd w:val="clear" w:color="auto" w:fill="FFFFFF"/>
            <w:vAlign w:val="center"/>
          </w:tcPr>
          <w:p w14:paraId="21A9090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Fixed summer window; no city-year background normalization; Sen slopes interpreted as total observed campus trajectories rather than campus-specific physical change</w:t>
            </w:r>
          </w:p>
        </w:tc>
      </w:tr>
      <w:tr w14:paraId="605BF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00FC297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Correlated-predictor attribution</w:t>
            </w:r>
          </w:p>
        </w:tc>
        <w:tc>
          <w:tcPr>
            <w:tcW w:w="1762" w:type="pct"/>
            <w:tcBorders>
              <w:top w:val="nil"/>
              <w:left w:val="nil"/>
              <w:bottom w:val="nil"/>
              <w:right w:val="nil"/>
            </w:tcBorders>
            <w:shd w:val="clear" w:color="auto" w:fill="FFFFFF"/>
            <w:vAlign w:val="center"/>
          </w:tcPr>
          <w:p w14:paraId="7C12CD6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Impurity importance can distribute attribution across correlated predictors</w:t>
            </w:r>
          </w:p>
        </w:tc>
        <w:tc>
          <w:tcPr>
            <w:tcW w:w="2152" w:type="pct"/>
            <w:tcBorders>
              <w:top w:val="nil"/>
              <w:left w:val="nil"/>
              <w:bottom w:val="nil"/>
              <w:right w:val="nil"/>
            </w:tcBorders>
            <w:shd w:val="clear" w:color="auto" w:fill="FFFFFF"/>
            <w:vAlign w:val="center"/>
          </w:tcPr>
          <w:p w14:paraId="4329740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Pooled model-conditional ranking only; combined moisture–vegetation interpretation; no uniquely separable or causal importance claim</w:t>
            </w:r>
          </w:p>
        </w:tc>
      </w:tr>
      <w:tr w14:paraId="2DFA3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7CC5E79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Serial autocorrelation in annual trend series</w:t>
            </w:r>
          </w:p>
        </w:tc>
        <w:tc>
          <w:tcPr>
            <w:tcW w:w="1762" w:type="pct"/>
            <w:tcBorders>
              <w:top w:val="nil"/>
              <w:left w:val="nil"/>
              <w:bottom w:val="nil"/>
              <w:right w:val="nil"/>
            </w:tcBorders>
            <w:shd w:val="clear" w:color="auto" w:fill="FFFFFF"/>
            <w:vAlign w:val="center"/>
          </w:tcPr>
          <w:p w14:paraId="375C5FD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Positive year-to-year dependence can make standard Mann–Kendall significance optimistic in short annual series</w:t>
            </w:r>
          </w:p>
        </w:tc>
        <w:tc>
          <w:tcPr>
            <w:tcW w:w="2152" w:type="pct"/>
            <w:tcBorders>
              <w:top w:val="nil"/>
              <w:left w:val="nil"/>
              <w:bottom w:val="nil"/>
              <w:right w:val="nil"/>
            </w:tcBorders>
            <w:shd w:val="clear" w:color="auto" w:fill="FFFFFF"/>
            <w:vAlign w:val="center"/>
          </w:tcPr>
          <w:p w14:paraId="734DB6A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Standard MK + within-city BH-FDR reported exactly as implemented; no autocorrelation-robust significance claim; Sen slopes interpreted as observed trajectories</w:t>
            </w:r>
          </w:p>
        </w:tc>
      </w:tr>
      <w:tr w14:paraId="3770F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nil"/>
              <w:right w:val="single" w:color="000000" w:sz="12" w:space="0"/>
            </w:tcBorders>
            <w:shd w:val="clear" w:color="auto" w:fill="FFFFFF"/>
            <w:vAlign w:val="center"/>
          </w:tcPr>
          <w:p w14:paraId="3E0D930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Albedo-proxy coefficient sensitivity</w:t>
            </w:r>
          </w:p>
        </w:tc>
        <w:tc>
          <w:tcPr>
            <w:tcW w:w="1762" w:type="pct"/>
            <w:tcBorders>
              <w:top w:val="nil"/>
              <w:left w:val="nil"/>
              <w:bottom w:val="nil"/>
              <w:right w:val="nil"/>
            </w:tcBorders>
            <w:shd w:val="clear" w:color="auto" w:fill="FFFFFF"/>
            <w:vAlign w:val="center"/>
          </w:tcPr>
          <w:p w14:paraId="63BF64A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The archived 0.365 BLUE coefficient differs from the 0.356 value in the cited TM/ETM+ conversion and could alter the fourth-ranked proxy contribution.</w:t>
            </w:r>
          </w:p>
        </w:tc>
        <w:tc>
          <w:tcPr>
            <w:tcW w:w="2152" w:type="pct"/>
            <w:tcBorders>
              <w:top w:val="nil"/>
              <w:left w:val="nil"/>
              <w:bottom w:val="nil"/>
              <w:right w:val="nil"/>
            </w:tcBorders>
            <w:shd w:val="clear" w:color="auto" w:fill="FFFFFF"/>
            <w:vAlign w:val="center"/>
          </w:tcPr>
          <w:p w14:paraId="7FF1D61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Exact archived implementation disclosed; variable relabeled as a relative reflectance proxy; no 0.356-versus-0.365 invariance claim.</w:t>
            </w:r>
          </w:p>
        </w:tc>
      </w:tr>
      <w:tr w14:paraId="5B27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84" w:type="pct"/>
            <w:tcBorders>
              <w:top w:val="nil"/>
              <w:left w:val="nil"/>
              <w:bottom w:val="single" w:color="000000" w:sz="12" w:space="0"/>
              <w:right w:val="single" w:color="000000" w:sz="12" w:space="0"/>
            </w:tcBorders>
            <w:shd w:val="clear" w:color="auto" w:fill="FFFFFF"/>
            <w:vAlign w:val="center"/>
          </w:tcPr>
          <w:p w14:paraId="647E430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Tuning-archive completeness</w:t>
            </w:r>
          </w:p>
        </w:tc>
        <w:tc>
          <w:tcPr>
            <w:tcW w:w="1762" w:type="pct"/>
            <w:tcBorders>
              <w:top w:val="nil"/>
              <w:left w:val="nil"/>
              <w:bottom w:val="single" w:color="000000" w:sz="12" w:space="0"/>
              <w:right w:val="nil"/>
            </w:tcBorders>
            <w:shd w:val="clear" w:color="auto" w:fill="FFFFFF"/>
            <w:vAlign w:val="center"/>
          </w:tcPr>
          <w:p w14:paraId="4AA49A8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Unreported inner resampling or selected per-fold settings can make model selection difficult to reproduce exactly.</w:t>
            </w:r>
          </w:p>
        </w:tc>
        <w:tc>
          <w:tcPr>
            <w:tcW w:w="2152" w:type="pct"/>
            <w:tcBorders>
              <w:top w:val="nil"/>
              <w:left w:val="nil"/>
              <w:bottom w:val="single" w:color="000000" w:sz="12" w:space="0"/>
              <w:right w:val="nil"/>
            </w:tcBorders>
            <w:shd w:val="clear" w:color="auto" w:fill="FFFFFF"/>
            <w:vAlign w:val="center"/>
          </w:tcPr>
          <w:p w14:paraId="24EC9AE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Held-out-school exclusion and candidate grids are documented; missing inner-resampling/per-fold details are not reconstructed; no fully nested-CV claim.</w:t>
            </w:r>
          </w:p>
        </w:tc>
      </w:tr>
    </w:tbl>
    <w:p w14:paraId="52D3B100">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color w:val="000000"/>
          <w:sz w:val="24"/>
          <w:szCs w:val="24"/>
        </w:rPr>
        <w:t>Note. These controls reduce within-school leakage, multiplicity and unit-of-inference errors; they do not eliminate unmeasured common causes, residual cross-school spatial dependence, or the row-weighting feature of the observational design.</w:t>
      </w:r>
    </w:p>
    <w:p w14:paraId="3D7D024F">
      <w:pPr>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eastAsia="Times New Roman" w:cs="Times New Roman"/>
          <w:b/>
          <w:i w:val="0"/>
          <w:color w:val="000000"/>
          <w:sz w:val="24"/>
          <w:szCs w:val="24"/>
        </w:rPr>
      </w:pPr>
    </w:p>
    <w:p w14:paraId="725FE239">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S6. Computational environment</w:t>
      </w:r>
    </w:p>
    <w:p w14:paraId="73D45536">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val="0"/>
          <w:color w:val="000000"/>
          <w:sz w:val="24"/>
          <w:szCs w:val="24"/>
        </w:rPr>
        <w:t>The analysis environment reported in the main manuscript is consolidated below so that software provenance is not split across files. Version disclosure supports procedural audit but is not equivalent to an executable environment lock file.</w:t>
      </w:r>
      <w:r>
        <w:t xml:space="preserve"> Table S4 lists the software versions and analytical roles.</w:t>
      </w:r>
    </w:p>
    <w:p w14:paraId="66200737">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val="0"/>
          <w:color w:val="000000"/>
          <w:sz w:val="24"/>
          <w:szCs w:val="24"/>
        </w:rPr>
      </w:pPr>
    </w:p>
    <w:p w14:paraId="3A3937D1">
      <w:pPr>
        <w:keepNext/>
        <w:keepLines w:val="0"/>
        <w:pageBreakBefore w:val="0"/>
        <w:widowControl/>
        <w:kinsoku/>
        <w:wordWrap/>
        <w:overflowPunct/>
        <w:topLinePunct w:val="0"/>
        <w:autoSpaceDE/>
        <w:autoSpaceDN/>
        <w:bidi w:val="0"/>
        <w:adjustRightInd/>
        <w:snapToGrid/>
        <w:spacing w:after="160" w:line="240" w:lineRule="auto"/>
        <w:ind w:left="0" w:righ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S4.</w:t>
      </w:r>
      <w:r>
        <w:rPr>
          <w:rFonts w:hint="default" w:ascii="Times New Roman" w:hAnsi="Times New Roman" w:eastAsia="Times New Roman" w:cs="Times New Roman"/>
          <w:b w:val="0"/>
          <w:i w:val="0"/>
          <w:color w:val="000000"/>
          <w:sz w:val="24"/>
          <w:szCs w:val="24"/>
        </w:rPr>
        <w:t xml:space="preserve"> Computational environment used for the reported analysis.</w:t>
      </w:r>
    </w:p>
    <w:tbl>
      <w:tblPr>
        <w:tblStyle w:val="32"/>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2"/>
        <w:gridCol w:w="1323"/>
        <w:gridCol w:w="6101"/>
      </w:tblGrid>
      <w:tr w14:paraId="1F91A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81" w:type="pct"/>
            <w:tcBorders>
              <w:top w:val="single" w:color="000000" w:sz="12" w:space="0"/>
              <w:left w:val="nil"/>
              <w:bottom w:val="single" w:color="000000" w:sz="8" w:space="0"/>
              <w:right w:val="single" w:color="000000" w:sz="12" w:space="0"/>
            </w:tcBorders>
            <w:shd w:val="clear" w:color="auto" w:fill="FFFFFF"/>
            <w:vAlign w:val="center"/>
          </w:tcPr>
          <w:p w14:paraId="7DFCE5C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Component</w:t>
            </w:r>
          </w:p>
        </w:tc>
        <w:tc>
          <w:tcPr>
            <w:tcW w:w="716" w:type="pct"/>
            <w:tcBorders>
              <w:top w:val="single" w:color="000000" w:sz="12" w:space="0"/>
              <w:left w:val="nil"/>
              <w:bottom w:val="single" w:color="000000" w:sz="8" w:space="0"/>
              <w:right w:val="nil"/>
            </w:tcBorders>
            <w:shd w:val="clear" w:color="auto" w:fill="FFFFFF"/>
            <w:vAlign w:val="center"/>
          </w:tcPr>
          <w:p w14:paraId="56EB3DD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Version</w:t>
            </w:r>
          </w:p>
        </w:tc>
        <w:tc>
          <w:tcPr>
            <w:tcW w:w="3302" w:type="pct"/>
            <w:tcBorders>
              <w:top w:val="single" w:color="000000" w:sz="12" w:space="0"/>
              <w:left w:val="nil"/>
              <w:bottom w:val="single" w:color="000000" w:sz="8" w:space="0"/>
              <w:right w:val="nil"/>
            </w:tcBorders>
            <w:shd w:val="clear" w:color="auto" w:fill="FFFFFF"/>
            <w:vAlign w:val="center"/>
          </w:tcPr>
          <w:p w14:paraId="2FA2978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Analytical role</w:t>
            </w:r>
          </w:p>
        </w:tc>
      </w:tr>
      <w:tr w14:paraId="73FF4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1" w:type="pct"/>
            <w:tcBorders>
              <w:top w:val="nil"/>
              <w:left w:val="nil"/>
              <w:bottom w:val="nil"/>
              <w:right w:val="single" w:color="000000" w:sz="12" w:space="0"/>
            </w:tcBorders>
            <w:shd w:val="clear" w:color="auto" w:fill="FFFFFF"/>
            <w:vAlign w:val="center"/>
          </w:tcPr>
          <w:p w14:paraId="5A7072C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Python</w:t>
            </w:r>
          </w:p>
        </w:tc>
        <w:tc>
          <w:tcPr>
            <w:tcW w:w="716" w:type="pct"/>
            <w:tcBorders>
              <w:top w:val="nil"/>
              <w:left w:val="nil"/>
              <w:bottom w:val="nil"/>
              <w:right w:val="nil"/>
            </w:tcBorders>
            <w:shd w:val="clear" w:color="auto" w:fill="FFFFFF"/>
            <w:vAlign w:val="center"/>
          </w:tcPr>
          <w:p w14:paraId="612540F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3.9.18</w:t>
            </w:r>
          </w:p>
        </w:tc>
        <w:tc>
          <w:tcPr>
            <w:tcW w:w="3302" w:type="pct"/>
            <w:tcBorders>
              <w:top w:val="nil"/>
              <w:left w:val="nil"/>
              <w:bottom w:val="nil"/>
              <w:right w:val="nil"/>
            </w:tcBorders>
            <w:shd w:val="clear" w:color="auto" w:fill="FFFFFF"/>
            <w:vAlign w:val="center"/>
          </w:tcPr>
          <w:p w14:paraId="3D3DD82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Core analysis runtime</w:t>
            </w:r>
          </w:p>
        </w:tc>
      </w:tr>
      <w:tr w14:paraId="63C2E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1" w:type="pct"/>
            <w:tcBorders>
              <w:top w:val="nil"/>
              <w:left w:val="nil"/>
              <w:bottom w:val="nil"/>
              <w:right w:val="single" w:color="000000" w:sz="12" w:space="0"/>
            </w:tcBorders>
            <w:shd w:val="clear" w:color="auto" w:fill="FFFFFF"/>
            <w:vAlign w:val="center"/>
          </w:tcPr>
          <w:p w14:paraId="7ED355F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pandas</w:t>
            </w:r>
          </w:p>
        </w:tc>
        <w:tc>
          <w:tcPr>
            <w:tcW w:w="716" w:type="pct"/>
            <w:tcBorders>
              <w:top w:val="nil"/>
              <w:left w:val="nil"/>
              <w:bottom w:val="nil"/>
              <w:right w:val="nil"/>
            </w:tcBorders>
            <w:shd w:val="clear" w:color="auto" w:fill="FFFFFF"/>
            <w:vAlign w:val="center"/>
          </w:tcPr>
          <w:p w14:paraId="29E7418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w:t>
            </w:r>
          </w:p>
        </w:tc>
        <w:tc>
          <w:tcPr>
            <w:tcW w:w="3302" w:type="pct"/>
            <w:tcBorders>
              <w:top w:val="nil"/>
              <w:left w:val="nil"/>
              <w:bottom w:val="nil"/>
              <w:right w:val="nil"/>
            </w:tcBorders>
            <w:shd w:val="clear" w:color="auto" w:fill="FFFFFF"/>
            <w:vAlign w:val="center"/>
          </w:tcPr>
          <w:p w14:paraId="6D488C8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Tabular processing</w:t>
            </w:r>
          </w:p>
        </w:tc>
      </w:tr>
      <w:tr w14:paraId="4625E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81" w:type="pct"/>
            <w:tcBorders>
              <w:top w:val="nil"/>
              <w:left w:val="nil"/>
              <w:bottom w:val="nil"/>
              <w:right w:val="single" w:color="000000" w:sz="12" w:space="0"/>
            </w:tcBorders>
            <w:shd w:val="clear" w:color="auto" w:fill="FFFFFF"/>
            <w:vAlign w:val="center"/>
          </w:tcPr>
          <w:p w14:paraId="3EC57E9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geopandas</w:t>
            </w:r>
          </w:p>
        </w:tc>
        <w:tc>
          <w:tcPr>
            <w:tcW w:w="716" w:type="pct"/>
            <w:tcBorders>
              <w:top w:val="nil"/>
              <w:left w:val="nil"/>
              <w:bottom w:val="nil"/>
              <w:right w:val="nil"/>
            </w:tcBorders>
            <w:shd w:val="clear" w:color="auto" w:fill="FFFFFF"/>
            <w:vAlign w:val="center"/>
          </w:tcPr>
          <w:p w14:paraId="34D59AC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0.14.1</w:t>
            </w:r>
          </w:p>
        </w:tc>
        <w:tc>
          <w:tcPr>
            <w:tcW w:w="3302" w:type="pct"/>
            <w:tcBorders>
              <w:top w:val="nil"/>
              <w:left w:val="nil"/>
              <w:bottom w:val="nil"/>
              <w:right w:val="nil"/>
            </w:tcBorders>
            <w:shd w:val="clear" w:color="auto" w:fill="FFFFFF"/>
            <w:vAlign w:val="center"/>
          </w:tcPr>
          <w:p w14:paraId="0F7B13C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Geospatial vector processing</w:t>
            </w:r>
          </w:p>
        </w:tc>
      </w:tr>
      <w:tr w14:paraId="0B737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1" w:type="pct"/>
            <w:tcBorders>
              <w:top w:val="nil"/>
              <w:left w:val="nil"/>
              <w:bottom w:val="nil"/>
              <w:right w:val="single" w:color="000000" w:sz="12" w:space="0"/>
            </w:tcBorders>
            <w:shd w:val="clear" w:color="auto" w:fill="FFFFFF"/>
            <w:vAlign w:val="center"/>
          </w:tcPr>
          <w:p w14:paraId="626FAE98">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numpy</w:t>
            </w:r>
          </w:p>
        </w:tc>
        <w:tc>
          <w:tcPr>
            <w:tcW w:w="716" w:type="pct"/>
            <w:tcBorders>
              <w:top w:val="nil"/>
              <w:left w:val="nil"/>
              <w:bottom w:val="nil"/>
              <w:right w:val="nil"/>
            </w:tcBorders>
            <w:shd w:val="clear" w:color="auto" w:fill="FFFFFF"/>
            <w:vAlign w:val="center"/>
          </w:tcPr>
          <w:p w14:paraId="024DF44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1.24.3</w:t>
            </w:r>
          </w:p>
        </w:tc>
        <w:tc>
          <w:tcPr>
            <w:tcW w:w="3302" w:type="pct"/>
            <w:tcBorders>
              <w:top w:val="nil"/>
              <w:left w:val="nil"/>
              <w:bottom w:val="nil"/>
              <w:right w:val="nil"/>
            </w:tcBorders>
            <w:shd w:val="clear" w:color="auto" w:fill="FFFFFF"/>
            <w:vAlign w:val="center"/>
          </w:tcPr>
          <w:p w14:paraId="145CF9A3">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Numerical arrays</w:t>
            </w:r>
          </w:p>
        </w:tc>
      </w:tr>
      <w:tr w14:paraId="64126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1" w:type="pct"/>
            <w:tcBorders>
              <w:top w:val="nil"/>
              <w:left w:val="nil"/>
              <w:bottom w:val="nil"/>
              <w:right w:val="single" w:color="000000" w:sz="12" w:space="0"/>
            </w:tcBorders>
            <w:shd w:val="clear" w:color="auto" w:fill="FFFFFF"/>
            <w:vAlign w:val="center"/>
          </w:tcPr>
          <w:p w14:paraId="36FB1FB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scipy</w:t>
            </w:r>
          </w:p>
        </w:tc>
        <w:tc>
          <w:tcPr>
            <w:tcW w:w="716" w:type="pct"/>
            <w:tcBorders>
              <w:top w:val="nil"/>
              <w:left w:val="nil"/>
              <w:bottom w:val="nil"/>
              <w:right w:val="nil"/>
            </w:tcBorders>
            <w:shd w:val="clear" w:color="auto" w:fill="FFFFFF"/>
            <w:vAlign w:val="center"/>
          </w:tcPr>
          <w:p w14:paraId="2178B7F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1.10.1</w:t>
            </w:r>
          </w:p>
        </w:tc>
        <w:tc>
          <w:tcPr>
            <w:tcW w:w="3302" w:type="pct"/>
            <w:tcBorders>
              <w:top w:val="nil"/>
              <w:left w:val="nil"/>
              <w:bottom w:val="nil"/>
              <w:right w:val="nil"/>
            </w:tcBorders>
            <w:shd w:val="clear" w:color="auto" w:fill="FFFFFF"/>
            <w:vAlign w:val="center"/>
          </w:tcPr>
          <w:p w14:paraId="45FCB77F">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Statistical routines</w:t>
            </w:r>
          </w:p>
        </w:tc>
      </w:tr>
      <w:tr w14:paraId="458B1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1" w:type="pct"/>
            <w:tcBorders>
              <w:top w:val="nil"/>
              <w:left w:val="nil"/>
              <w:bottom w:val="nil"/>
              <w:right w:val="single" w:color="000000" w:sz="12" w:space="0"/>
            </w:tcBorders>
            <w:shd w:val="clear" w:color="auto" w:fill="FFFFFF"/>
            <w:vAlign w:val="center"/>
          </w:tcPr>
          <w:p w14:paraId="0FD3E3E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scikit-learn</w:t>
            </w:r>
          </w:p>
        </w:tc>
        <w:tc>
          <w:tcPr>
            <w:tcW w:w="716" w:type="pct"/>
            <w:tcBorders>
              <w:top w:val="nil"/>
              <w:left w:val="nil"/>
              <w:bottom w:val="nil"/>
              <w:right w:val="nil"/>
            </w:tcBorders>
            <w:shd w:val="clear" w:color="auto" w:fill="FFFFFF"/>
            <w:vAlign w:val="center"/>
          </w:tcPr>
          <w:p w14:paraId="6184767F">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w:t>
            </w:r>
          </w:p>
        </w:tc>
        <w:tc>
          <w:tcPr>
            <w:tcW w:w="3302" w:type="pct"/>
            <w:tcBorders>
              <w:top w:val="nil"/>
              <w:left w:val="nil"/>
              <w:bottom w:val="nil"/>
              <w:right w:val="nil"/>
            </w:tcBorders>
            <w:shd w:val="clear" w:color="auto" w:fill="FFFFFF"/>
            <w:vAlign w:val="center"/>
          </w:tcPr>
          <w:p w14:paraId="302D634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DT, RF, ET, GBR, GroupKFold and metrics</w:t>
            </w:r>
          </w:p>
        </w:tc>
      </w:tr>
      <w:tr w14:paraId="2617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1" w:type="pct"/>
            <w:tcBorders>
              <w:top w:val="nil"/>
              <w:left w:val="nil"/>
              <w:bottom w:val="nil"/>
              <w:right w:val="single" w:color="000000" w:sz="12" w:space="0"/>
            </w:tcBorders>
            <w:shd w:val="clear" w:color="auto" w:fill="FFFFFF"/>
            <w:vAlign w:val="center"/>
          </w:tcPr>
          <w:p w14:paraId="3F0A5AC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xgboost</w:t>
            </w:r>
          </w:p>
        </w:tc>
        <w:tc>
          <w:tcPr>
            <w:tcW w:w="716" w:type="pct"/>
            <w:tcBorders>
              <w:top w:val="nil"/>
              <w:left w:val="nil"/>
              <w:bottom w:val="nil"/>
              <w:right w:val="nil"/>
            </w:tcBorders>
            <w:shd w:val="clear" w:color="auto" w:fill="FFFFFF"/>
            <w:vAlign w:val="center"/>
          </w:tcPr>
          <w:p w14:paraId="434AC2D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w:t>
            </w:r>
          </w:p>
        </w:tc>
        <w:tc>
          <w:tcPr>
            <w:tcW w:w="3302" w:type="pct"/>
            <w:tcBorders>
              <w:top w:val="nil"/>
              <w:left w:val="nil"/>
              <w:bottom w:val="nil"/>
              <w:right w:val="nil"/>
            </w:tcBorders>
            <w:shd w:val="clear" w:color="auto" w:fill="FFFFFF"/>
            <w:vAlign w:val="center"/>
          </w:tcPr>
          <w:p w14:paraId="19982BC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XGBoost</w:t>
            </w:r>
          </w:p>
        </w:tc>
      </w:tr>
      <w:tr w14:paraId="59EFA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81" w:type="pct"/>
            <w:tcBorders>
              <w:top w:val="nil"/>
              <w:left w:val="nil"/>
              <w:bottom w:val="nil"/>
              <w:right w:val="single" w:color="000000" w:sz="12" w:space="0"/>
            </w:tcBorders>
            <w:shd w:val="clear" w:color="auto" w:fill="FFFFFF"/>
            <w:vAlign w:val="center"/>
          </w:tcPr>
          <w:p w14:paraId="6D70D72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lightgbm</w:t>
            </w:r>
          </w:p>
        </w:tc>
        <w:tc>
          <w:tcPr>
            <w:tcW w:w="716" w:type="pct"/>
            <w:tcBorders>
              <w:top w:val="nil"/>
              <w:left w:val="nil"/>
              <w:bottom w:val="nil"/>
              <w:right w:val="nil"/>
            </w:tcBorders>
            <w:shd w:val="clear" w:color="auto" w:fill="FFFFFF"/>
            <w:vAlign w:val="center"/>
          </w:tcPr>
          <w:p w14:paraId="65FAD8F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w:t>
            </w:r>
          </w:p>
        </w:tc>
        <w:tc>
          <w:tcPr>
            <w:tcW w:w="3302" w:type="pct"/>
            <w:tcBorders>
              <w:top w:val="nil"/>
              <w:left w:val="nil"/>
              <w:bottom w:val="nil"/>
              <w:right w:val="nil"/>
            </w:tcBorders>
            <w:shd w:val="clear" w:color="auto" w:fill="FFFFFF"/>
            <w:vAlign w:val="center"/>
          </w:tcPr>
          <w:p w14:paraId="5C96F53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LightGBM</w:t>
            </w:r>
          </w:p>
        </w:tc>
      </w:tr>
      <w:tr w14:paraId="30F4F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1" w:type="pct"/>
            <w:tcBorders>
              <w:top w:val="nil"/>
              <w:left w:val="nil"/>
              <w:bottom w:val="nil"/>
              <w:right w:val="single" w:color="000000" w:sz="12" w:space="0"/>
            </w:tcBorders>
            <w:shd w:val="clear" w:color="auto" w:fill="FFFFFF"/>
            <w:vAlign w:val="center"/>
          </w:tcPr>
          <w:p w14:paraId="6407A04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catboost</w:t>
            </w:r>
          </w:p>
        </w:tc>
        <w:tc>
          <w:tcPr>
            <w:tcW w:w="716" w:type="pct"/>
            <w:tcBorders>
              <w:top w:val="nil"/>
              <w:left w:val="nil"/>
              <w:bottom w:val="nil"/>
              <w:right w:val="nil"/>
            </w:tcBorders>
            <w:shd w:val="clear" w:color="auto" w:fill="FFFFFF"/>
            <w:vAlign w:val="center"/>
          </w:tcPr>
          <w:p w14:paraId="031134B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w:t>
            </w:r>
          </w:p>
        </w:tc>
        <w:tc>
          <w:tcPr>
            <w:tcW w:w="3302" w:type="pct"/>
            <w:tcBorders>
              <w:top w:val="nil"/>
              <w:left w:val="nil"/>
              <w:bottom w:val="nil"/>
              <w:right w:val="nil"/>
            </w:tcBorders>
            <w:shd w:val="clear" w:color="auto" w:fill="FFFFFF"/>
            <w:vAlign w:val="center"/>
          </w:tcPr>
          <w:p w14:paraId="6AA324A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CatBoost</w:t>
            </w:r>
          </w:p>
        </w:tc>
      </w:tr>
      <w:tr w14:paraId="37640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81" w:type="pct"/>
            <w:tcBorders>
              <w:top w:val="nil"/>
              <w:left w:val="nil"/>
              <w:bottom w:val="single" w:color="000000" w:sz="12" w:space="0"/>
              <w:right w:val="single" w:color="000000" w:sz="12" w:space="0"/>
            </w:tcBorders>
            <w:shd w:val="clear" w:color="auto" w:fill="FFFFFF"/>
            <w:vAlign w:val="center"/>
          </w:tcPr>
          <w:p w14:paraId="66BE2D38">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matplotlib</w:t>
            </w:r>
          </w:p>
        </w:tc>
        <w:tc>
          <w:tcPr>
            <w:tcW w:w="716" w:type="pct"/>
            <w:tcBorders>
              <w:top w:val="nil"/>
              <w:left w:val="nil"/>
              <w:bottom w:val="single" w:color="000000" w:sz="12" w:space="0"/>
              <w:right w:val="nil"/>
            </w:tcBorders>
            <w:shd w:val="clear" w:color="auto" w:fill="FFFFFF"/>
            <w:vAlign w:val="center"/>
          </w:tcPr>
          <w:p w14:paraId="502A9DB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3.7.1</w:t>
            </w:r>
          </w:p>
        </w:tc>
        <w:tc>
          <w:tcPr>
            <w:tcW w:w="3302" w:type="pct"/>
            <w:tcBorders>
              <w:top w:val="nil"/>
              <w:left w:val="nil"/>
              <w:bottom w:val="single" w:color="000000" w:sz="12" w:space="0"/>
              <w:right w:val="nil"/>
            </w:tcBorders>
            <w:shd w:val="clear" w:color="auto" w:fill="FFFFFF"/>
            <w:vAlign w:val="center"/>
          </w:tcPr>
          <w:p w14:paraId="35002B4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Figures</w:t>
            </w:r>
          </w:p>
        </w:tc>
      </w:tr>
    </w:tbl>
    <w:p w14:paraId="71A19AB8">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r>
        <w:rPr>
          <w:rFonts w:hint="default" w:ascii="Times New Roman" w:hAnsi="Times New Roman" w:eastAsia="Times New Roman" w:cs="Times New Roman"/>
          <w:b w:val="0"/>
          <w:i/>
          <w:color w:val="000000"/>
          <w:sz w:val="24"/>
          <w:szCs w:val="24"/>
        </w:rPr>
        <w:t>Note. Google Earth Engine asset identifiers, date windows, masks and scale factors are documented in S1–S3; no one-click environment image or executable repository is claimed.</w:t>
      </w:r>
    </w:p>
    <w:p w14:paraId="7D0DD9F2">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p>
    <w:p w14:paraId="3A424985">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S7. Claim-scope and robustness audit</w:t>
      </w:r>
    </w:p>
    <w:p w14:paraId="4A32BA16">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color w:val="000000"/>
          <w:sz w:val="24"/>
          <w:szCs w:val="24"/>
        </w:rPr>
      </w:pPr>
      <w:r>
        <w:rPr>
          <w:rFonts w:hint="default" w:ascii="Times New Roman" w:hAnsi="Times New Roman" w:eastAsia="Times New Roman" w:cs="Times New Roman"/>
          <w:b w:val="0"/>
          <w:color w:val="000000"/>
          <w:sz w:val="24"/>
          <w:szCs w:val="24"/>
        </w:rPr>
        <w:t>Table S5 records the evidential boundary of each major inference so that implemented analyses are not conflated with unperformed spatial, temporal, causal or attribution sensitivities.</w:t>
      </w:r>
    </w:p>
    <w:p w14:paraId="4C5084A4">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color w:val="000000"/>
          <w:sz w:val="24"/>
          <w:szCs w:val="24"/>
        </w:rPr>
      </w:pPr>
    </w:p>
    <w:p w14:paraId="06B298B8">
      <w:pPr>
        <w:keepNext/>
        <w:keepLines w:val="0"/>
        <w:pageBreakBefore w:val="0"/>
        <w:widowControl/>
        <w:kinsoku/>
        <w:wordWrap/>
        <w:overflowPunct/>
        <w:topLinePunct w:val="0"/>
        <w:autoSpaceDE/>
        <w:autoSpaceDN/>
        <w:bidi w:val="0"/>
        <w:adjustRightInd/>
        <w:snapToGrid/>
        <w:spacing w:after="160" w:line="240" w:lineRule="auto"/>
        <w:ind w:left="0" w:righ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S5.</w:t>
      </w:r>
      <w:r>
        <w:rPr>
          <w:rFonts w:hint="default" w:ascii="Times New Roman" w:hAnsi="Times New Roman" w:eastAsia="Times New Roman" w:cs="Times New Roman"/>
          <w:b w:val="0"/>
          <w:i w:val="0"/>
          <w:color w:val="000000"/>
          <w:sz w:val="24"/>
          <w:szCs w:val="24"/>
        </w:rPr>
        <w:t xml:space="preserve"> Claim-to-evidence audit for the submitted analysis.</w:t>
      </w:r>
    </w:p>
    <w:tbl>
      <w:tblPr>
        <w:tblStyle w:val="3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06"/>
        <w:gridCol w:w="1702"/>
        <w:gridCol w:w="5030"/>
      </w:tblGrid>
      <w:tr w14:paraId="0432C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56" w:type="pct"/>
            <w:tcBorders>
              <w:top w:val="single" w:color="000000" w:sz="12" w:space="0"/>
              <w:left w:val="nil"/>
              <w:bottom w:val="single" w:color="000000" w:sz="8" w:space="0"/>
              <w:right w:val="single" w:color="000000" w:sz="12" w:space="0"/>
            </w:tcBorders>
            <w:shd w:val="clear" w:color="auto" w:fill="FFFFFF"/>
            <w:vAlign w:val="center"/>
          </w:tcPr>
          <w:p w14:paraId="2DBB096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Potential inference</w:t>
            </w:r>
          </w:p>
        </w:tc>
        <w:tc>
          <w:tcPr>
            <w:tcW w:w="921" w:type="pct"/>
            <w:tcBorders>
              <w:top w:val="single" w:color="000000" w:sz="12" w:space="0"/>
              <w:left w:val="nil"/>
              <w:bottom w:val="single" w:color="000000" w:sz="8" w:space="0"/>
              <w:right w:val="nil"/>
            </w:tcBorders>
            <w:shd w:val="clear" w:color="auto" w:fill="FFFFFF"/>
            <w:vAlign w:val="center"/>
          </w:tcPr>
          <w:p w14:paraId="6E205E1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Status</w:t>
            </w:r>
          </w:p>
        </w:tc>
        <w:tc>
          <w:tcPr>
            <w:tcW w:w="2722" w:type="pct"/>
            <w:tcBorders>
              <w:top w:val="single" w:color="000000" w:sz="12" w:space="0"/>
              <w:left w:val="nil"/>
              <w:bottom w:val="single" w:color="000000" w:sz="8" w:space="0"/>
              <w:right w:val="nil"/>
            </w:tcBorders>
            <w:shd w:val="clear" w:color="auto" w:fill="FFFFFF"/>
            <w:vAlign w:val="center"/>
          </w:tcPr>
          <w:p w14:paraId="283548F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Evidence boundary</w:t>
            </w:r>
          </w:p>
        </w:tc>
      </w:tr>
      <w:tr w14:paraId="39FEB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5E05F2F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Held-out-school pixel-year prediction</w:t>
            </w:r>
          </w:p>
        </w:tc>
        <w:tc>
          <w:tcPr>
            <w:tcW w:w="921" w:type="pct"/>
            <w:tcBorders>
              <w:top w:val="nil"/>
              <w:left w:val="nil"/>
              <w:bottom w:val="nil"/>
              <w:right w:val="nil"/>
            </w:tcBorders>
            <w:shd w:val="clear" w:color="auto" w:fill="FFFFFF"/>
            <w:vAlign w:val="center"/>
          </w:tcPr>
          <w:p w14:paraId="2F2E938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Supported</w:t>
            </w:r>
          </w:p>
        </w:tc>
        <w:tc>
          <w:tcPr>
            <w:tcW w:w="2722" w:type="pct"/>
            <w:tcBorders>
              <w:top w:val="nil"/>
              <w:left w:val="nil"/>
              <w:bottom w:val="nil"/>
              <w:right w:val="nil"/>
            </w:tcBorders>
            <w:shd w:val="clear" w:color="auto" w:fill="FFFFFF"/>
            <w:vAlign w:val="center"/>
          </w:tcPr>
          <w:p w14:paraId="38DDE7C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5-fold GroupKFold by school_id; no within-school overlap</w:t>
            </w:r>
          </w:p>
        </w:tc>
      </w:tr>
      <w:tr w14:paraId="22085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10CBBCD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Geographically separated-cluster transfer</w:t>
            </w:r>
          </w:p>
        </w:tc>
        <w:tc>
          <w:tcPr>
            <w:tcW w:w="921" w:type="pct"/>
            <w:tcBorders>
              <w:top w:val="nil"/>
              <w:left w:val="nil"/>
              <w:bottom w:val="nil"/>
              <w:right w:val="nil"/>
            </w:tcBorders>
            <w:shd w:val="clear" w:color="auto" w:fill="FFFFFF"/>
            <w:vAlign w:val="center"/>
          </w:tcPr>
          <w:p w14:paraId="1CA3100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41B80CF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spatial block or minimum inter-school distance</w:t>
            </w:r>
          </w:p>
        </w:tc>
      </w:tr>
      <w:tr w14:paraId="5DB7B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3E3CF36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City-specific predictive accuracy</w:t>
            </w:r>
          </w:p>
        </w:tc>
        <w:tc>
          <w:tcPr>
            <w:tcW w:w="921" w:type="pct"/>
            <w:tcBorders>
              <w:top w:val="nil"/>
              <w:left w:val="nil"/>
              <w:bottom w:val="nil"/>
              <w:right w:val="nil"/>
            </w:tcBorders>
            <w:shd w:val="clear" w:color="auto" w:fill="FFFFFF"/>
            <w:vAlign w:val="center"/>
          </w:tcPr>
          <w:p w14:paraId="6C97151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1B13130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Performance is pooled across Barcelona and Madrid</w:t>
            </w:r>
          </w:p>
        </w:tc>
      </w:tr>
      <w:tr w14:paraId="05732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4FA0DC4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Equal-school-weighted predictive accuracy</w:t>
            </w:r>
          </w:p>
        </w:tc>
        <w:tc>
          <w:tcPr>
            <w:tcW w:w="921" w:type="pct"/>
            <w:tcBorders>
              <w:top w:val="nil"/>
              <w:left w:val="nil"/>
              <w:bottom w:val="nil"/>
              <w:right w:val="nil"/>
            </w:tcBorders>
            <w:shd w:val="clear" w:color="auto" w:fill="FFFFFF"/>
            <w:vAlign w:val="center"/>
          </w:tcPr>
          <w:p w14:paraId="052B836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5A9AA4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Metrics are row-weighted by held-out pixel-year observations</w:t>
            </w:r>
          </w:p>
        </w:tc>
      </w:tr>
      <w:tr w14:paraId="5FC94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65CD0D8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Unseen-year transfer</w:t>
            </w:r>
          </w:p>
        </w:tc>
        <w:tc>
          <w:tcPr>
            <w:tcW w:w="921" w:type="pct"/>
            <w:tcBorders>
              <w:top w:val="nil"/>
              <w:left w:val="nil"/>
              <w:bottom w:val="nil"/>
              <w:right w:val="nil"/>
            </w:tcBorders>
            <w:shd w:val="clear" w:color="auto" w:fill="FFFFFF"/>
            <w:vAlign w:val="center"/>
          </w:tcPr>
          <w:p w14:paraId="71A3DB2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12F7485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blocked-year or leave-one-year-out validation</w:t>
            </w:r>
          </w:p>
        </w:tc>
      </w:tr>
      <w:tr w14:paraId="42E9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2181D05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Causal retrofit effect</w:t>
            </w:r>
          </w:p>
        </w:tc>
        <w:tc>
          <w:tcPr>
            <w:tcW w:w="921" w:type="pct"/>
            <w:tcBorders>
              <w:top w:val="nil"/>
              <w:left w:val="nil"/>
              <w:bottom w:val="nil"/>
              <w:right w:val="nil"/>
            </w:tcBorders>
            <w:shd w:val="clear" w:color="auto" w:fill="FFFFFF"/>
            <w:vAlign w:val="center"/>
          </w:tcPr>
          <w:p w14:paraId="080EE2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43397F6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Observational remote-sensing predictors; no intervention design</w:t>
            </w:r>
          </w:p>
        </w:tc>
      </w:tr>
      <w:tr w14:paraId="3E79B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10EDEC2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Absolute Landsat-8 OLI broadband albedo</w:t>
            </w:r>
          </w:p>
        </w:tc>
        <w:tc>
          <w:tcPr>
            <w:tcW w:w="921" w:type="pct"/>
            <w:tcBorders>
              <w:top w:val="nil"/>
              <w:left w:val="nil"/>
              <w:bottom w:val="nil"/>
              <w:right w:val="nil"/>
            </w:tcBorders>
            <w:shd w:val="clear" w:color="auto" w:fill="FFFFFF"/>
            <w:vAlign w:val="center"/>
          </w:tcPr>
          <w:p w14:paraId="6E8339F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4555396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S3 mapped-band transformation is interpreted as an albedo proxy only</w:t>
            </w:r>
          </w:p>
        </w:tc>
      </w:tr>
      <w:tr w14:paraId="5EC7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1D7C2D6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Uniquely separable feature effects</w:t>
            </w:r>
          </w:p>
        </w:tc>
        <w:tc>
          <w:tcPr>
            <w:tcW w:w="921" w:type="pct"/>
            <w:tcBorders>
              <w:top w:val="nil"/>
              <w:left w:val="nil"/>
              <w:bottom w:val="nil"/>
              <w:right w:val="nil"/>
            </w:tcBorders>
            <w:shd w:val="clear" w:color="auto" w:fill="FFFFFF"/>
            <w:vAlign w:val="center"/>
          </w:tcPr>
          <w:p w14:paraId="221235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53B5E3F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Impurity importance with correlated predictors; no second attribution estimator</w:t>
            </w:r>
          </w:p>
        </w:tc>
      </w:tr>
      <w:tr w14:paraId="09125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3B646FA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Universal LCZ-specific design rules</w:t>
            </w:r>
          </w:p>
        </w:tc>
        <w:tc>
          <w:tcPr>
            <w:tcW w:w="921" w:type="pct"/>
            <w:tcBorders>
              <w:top w:val="nil"/>
              <w:left w:val="nil"/>
              <w:bottom w:val="nil"/>
              <w:right w:val="nil"/>
            </w:tcBorders>
            <w:shd w:val="clear" w:color="auto" w:fill="FFFFFF"/>
            <w:vAlign w:val="center"/>
          </w:tcPr>
          <w:p w14:paraId="051B1A2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59C50C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LCZ retained as context; no fully supported confirmatory strata</w:t>
            </w:r>
          </w:p>
        </w:tc>
      </w:tr>
      <w:tr w14:paraId="33296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086F0E9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Children’s thermal comfort or heat strain</w:t>
            </w:r>
          </w:p>
        </w:tc>
        <w:tc>
          <w:tcPr>
            <w:tcW w:w="921" w:type="pct"/>
            <w:tcBorders>
              <w:top w:val="nil"/>
              <w:left w:val="nil"/>
              <w:bottom w:val="nil"/>
              <w:right w:val="nil"/>
            </w:tcBorders>
            <w:shd w:val="clear" w:color="auto" w:fill="FFFFFF"/>
            <w:vAlign w:val="center"/>
          </w:tcPr>
          <w:p w14:paraId="2E69879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5F2E6A7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Satellite LST is not air temperature, MRT or UTCI</w:t>
            </w:r>
          </w:p>
        </w:tc>
      </w:tr>
      <w:tr w14:paraId="0211C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34C5DE1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Standard-MK FDR trend classification</w:t>
            </w:r>
          </w:p>
        </w:tc>
        <w:tc>
          <w:tcPr>
            <w:tcW w:w="921" w:type="pct"/>
            <w:tcBorders>
              <w:top w:val="nil"/>
              <w:left w:val="nil"/>
              <w:bottom w:val="nil"/>
              <w:right w:val="nil"/>
            </w:tcBorders>
            <w:shd w:val="clear" w:color="auto" w:fill="FFFFFF"/>
            <w:vAlign w:val="center"/>
          </w:tcPr>
          <w:p w14:paraId="6DE0632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Supported as implemented</w:t>
            </w:r>
          </w:p>
        </w:tc>
        <w:tc>
          <w:tcPr>
            <w:tcW w:w="2722" w:type="pct"/>
            <w:tcBorders>
              <w:top w:val="nil"/>
              <w:left w:val="nil"/>
              <w:bottom w:val="nil"/>
              <w:right w:val="nil"/>
            </w:tcBorders>
            <w:shd w:val="clear" w:color="auto" w:fill="FFFFFF"/>
            <w:vAlign w:val="center"/>
          </w:tcPr>
          <w:p w14:paraId="5A38749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Standard Mann–Kendall p-values with within-city BH-FDR; not an autocorrelation-robust significance estimate</w:t>
            </w:r>
          </w:p>
        </w:tc>
      </w:tr>
      <w:tr w14:paraId="74E95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23B8275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Autocorrelation-robust trend significance</w:t>
            </w:r>
          </w:p>
        </w:tc>
        <w:tc>
          <w:tcPr>
            <w:tcW w:w="921" w:type="pct"/>
            <w:tcBorders>
              <w:top w:val="nil"/>
              <w:left w:val="nil"/>
              <w:bottom w:val="nil"/>
              <w:right w:val="nil"/>
            </w:tcBorders>
            <w:shd w:val="clear" w:color="auto" w:fill="FFFFFF"/>
            <w:vAlign w:val="center"/>
          </w:tcPr>
          <w:p w14:paraId="0D7F7C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0D762D9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modified/pre-whitened Mann–Kendall sensitivity result is represented as completed</w:t>
            </w:r>
          </w:p>
        </w:tc>
      </w:tr>
      <w:tr w14:paraId="31355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3598BCD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Per-fold selected hyperparameters</w:t>
            </w:r>
          </w:p>
        </w:tc>
        <w:tc>
          <w:tcPr>
            <w:tcW w:w="921" w:type="pct"/>
            <w:tcBorders>
              <w:top w:val="nil"/>
              <w:left w:val="nil"/>
              <w:bottom w:val="nil"/>
              <w:right w:val="nil"/>
            </w:tcBorders>
            <w:shd w:val="clear" w:color="auto" w:fill="FFFFFF"/>
            <w:vAlign w:val="center"/>
          </w:tcPr>
          <w:p w14:paraId="6EE709F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reconstructed</w:t>
            </w:r>
          </w:p>
        </w:tc>
        <w:tc>
          <w:tcPr>
            <w:tcW w:w="2722" w:type="pct"/>
            <w:tcBorders>
              <w:top w:val="nil"/>
              <w:left w:val="nil"/>
              <w:bottom w:val="nil"/>
              <w:right w:val="nil"/>
            </w:tcBorders>
            <w:shd w:val="clear" w:color="auto" w:fill="FFFFFF"/>
            <w:vAlign w:val="center"/>
          </w:tcPr>
          <w:p w14:paraId="5B6F7E3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Candidate grids and training-only selection boundary are documented; a publication-ready per-fold selection table is not retained</w:t>
            </w:r>
          </w:p>
        </w:tc>
      </w:tr>
      <w:tr w14:paraId="2639C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49B6419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0.356-versus-0.365 albedo-proxy sensitivity</w:t>
            </w:r>
          </w:p>
        </w:tc>
        <w:tc>
          <w:tcPr>
            <w:tcW w:w="921" w:type="pct"/>
            <w:tcBorders>
              <w:top w:val="nil"/>
              <w:left w:val="nil"/>
              <w:bottom w:val="nil"/>
              <w:right w:val="nil"/>
            </w:tcBorders>
            <w:shd w:val="clear" w:color="auto" w:fill="FFFFFF"/>
            <w:vAlign w:val="center"/>
          </w:tcPr>
          <w:p w14:paraId="2AC8D9D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0CF73AB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coefficient-sensitivity run is retained; the archived 0.365 implementation is disclosed and interpreted only as a relative reflectance proxy.</w:t>
            </w:r>
          </w:p>
        </w:tc>
      </w:tr>
      <w:tr w14:paraId="142255E2">
        <w:tblPrEx>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06A74CF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City-year anomaly-adjusted trend</w:t>
            </w:r>
          </w:p>
        </w:tc>
        <w:tc>
          <w:tcPr>
            <w:tcW w:w="921" w:type="pct"/>
            <w:tcBorders>
              <w:top w:val="nil"/>
              <w:left w:val="nil"/>
              <w:bottom w:val="nil"/>
              <w:right w:val="nil"/>
            </w:tcBorders>
            <w:shd w:val="clear" w:color="auto" w:fill="FFFFFF"/>
            <w:vAlign w:val="center"/>
          </w:tcPr>
          <w:p w14:paraId="1FA9203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4A79110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 city-year meteorological/background-LST normalization is used; Sen slopes represent total observed campus trajectories.</w:t>
            </w:r>
          </w:p>
        </w:tc>
      </w:tr>
      <w:tr w14:paraId="39D8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64241B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Alternative ≥8/9/10-year completeness robustness</w:t>
            </w:r>
          </w:p>
        </w:tc>
        <w:tc>
          <w:tcPr>
            <w:tcW w:w="921" w:type="pct"/>
            <w:tcBorders>
              <w:top w:val="nil"/>
              <w:left w:val="nil"/>
              <w:bottom w:val="nil"/>
              <w:right w:val="nil"/>
            </w:tcBorders>
            <w:shd w:val="clear" w:color="auto" w:fill="FFFFFF"/>
            <w:vAlign w:val="center"/>
          </w:tcPr>
          <w:p w14:paraId="28F0D96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7639339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The ≥7-of-11 rule is fixed across both cities; no alternative-threshold series is represented as completed.</w:t>
            </w:r>
          </w:p>
        </w:tc>
      </w:tr>
      <w:tr w14:paraId="471B9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nil"/>
              <w:right w:val="single" w:color="000000" w:sz="12" w:space="0"/>
            </w:tcBorders>
            <w:shd w:val="clear" w:color="auto" w:fill="FFFFFF"/>
            <w:vAlign w:val="center"/>
          </w:tcPr>
          <w:p w14:paraId="08F1E0E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Permutation/SHAP attribution robustness</w:t>
            </w:r>
          </w:p>
        </w:tc>
        <w:tc>
          <w:tcPr>
            <w:tcW w:w="921" w:type="pct"/>
            <w:tcBorders>
              <w:top w:val="nil"/>
              <w:left w:val="nil"/>
              <w:bottom w:val="nil"/>
              <w:right w:val="nil"/>
            </w:tcBorders>
            <w:shd w:val="clear" w:color="auto" w:fill="FFFFFF"/>
            <w:vAlign w:val="center"/>
          </w:tcPr>
          <w:p w14:paraId="1591E20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claimed</w:t>
            </w:r>
          </w:p>
        </w:tc>
        <w:tc>
          <w:tcPr>
            <w:tcW w:w="2722" w:type="pct"/>
            <w:tcBorders>
              <w:top w:val="nil"/>
              <w:left w:val="nil"/>
              <w:bottom w:val="nil"/>
              <w:right w:val="nil"/>
            </w:tcBorders>
            <w:shd w:val="clear" w:color="auto" w:fill="FFFFFF"/>
            <w:vAlign w:val="center"/>
          </w:tcPr>
          <w:p w14:paraId="066224F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Confirmatory attribution uses fold-wise Extra Trees impurity importance only; no independent second estimator is represented as completed.</w:t>
            </w:r>
          </w:p>
        </w:tc>
      </w:tr>
      <w:tr w14:paraId="3AB1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6" w:type="pct"/>
            <w:tcBorders>
              <w:top w:val="nil"/>
              <w:left w:val="nil"/>
              <w:bottom w:val="single" w:color="000000" w:sz="12" w:space="0"/>
              <w:right w:val="single" w:color="000000" w:sz="12" w:space="0"/>
            </w:tcBorders>
            <w:shd w:val="clear" w:color="auto" w:fill="FFFFFF"/>
            <w:vAlign w:val="center"/>
          </w:tcPr>
          <w:p w14:paraId="1BCE8C1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Exact inner tuning resampling rule</w:t>
            </w:r>
          </w:p>
        </w:tc>
        <w:tc>
          <w:tcPr>
            <w:tcW w:w="921" w:type="pct"/>
            <w:tcBorders>
              <w:top w:val="nil"/>
              <w:left w:val="nil"/>
              <w:bottom w:val="single" w:color="000000" w:sz="12" w:space="0"/>
              <w:right w:val="nil"/>
            </w:tcBorders>
            <w:shd w:val="clear" w:color="auto" w:fill="FFFFFF"/>
            <w:vAlign w:val="center"/>
          </w:tcPr>
          <w:p w14:paraId="1150BCB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Not reconstructed</w:t>
            </w:r>
          </w:p>
        </w:tc>
        <w:tc>
          <w:tcPr>
            <w:tcW w:w="2722" w:type="pct"/>
            <w:tcBorders>
              <w:top w:val="nil"/>
              <w:left w:val="nil"/>
              <w:bottom w:val="single" w:color="000000" w:sz="12" w:space="0"/>
              <w:right w:val="nil"/>
            </w:tcBorders>
            <w:shd w:val="clear" w:color="auto" w:fill="FFFFFF"/>
            <w:vAlign w:val="center"/>
          </w:tcPr>
          <w:p w14:paraId="0730DFB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The archive verifies training-only setting selection and held-out-school exclusion but does not retain enough detail to identify an exact inner grouped/random resampling procedure.</w:t>
            </w:r>
          </w:p>
        </w:tc>
      </w:tr>
    </w:tbl>
    <w:p w14:paraId="48233ED2">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r>
        <w:rPr>
          <w:rFonts w:hint="default" w:ascii="Times New Roman" w:hAnsi="Times New Roman" w:eastAsia="Times New Roman" w:cs="Times New Roman"/>
          <w:b w:val="0"/>
          <w:i/>
          <w:color w:val="000000"/>
          <w:sz w:val="24"/>
          <w:szCs w:val="24"/>
        </w:rPr>
        <w:t>Note. The primary contribution is decision-unit-aligned screening: the school is the holdout and management unit. The table prevents broader spatial, temporal, causal or physiological claims from being inferred from that design.</w:t>
      </w:r>
    </w:p>
    <w:p w14:paraId="06BBEF48">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p>
    <w:p w14:paraId="1F06CBA2">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S8. Documentary-image provenance and contextual photographs</w:t>
      </w:r>
    </w:p>
    <w:p w14:paraId="55287B40">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color w:val="000000"/>
          <w:sz w:val="24"/>
          <w:szCs w:val="24"/>
        </w:rPr>
        <w:t>Supplementary Figure S1 uses two real, openly licensed images as documentary context rather than quantitative evidence. Panel (a), Escola Can Fabra, Barcelona, is a Wikimedia Commons photograph by Pere prlpz licensed CC BY-SA 3.0. Panel (b), CEIP Valle-Inclán schoolyard, Madrid, is a Wikimedia Commons image produced for Ayuntamiento de Madrid / Diario de Madrid and licensed CC BY 4.0. The image attributions are retained in the figure caption; neither image is used to infer thermal performance.</w:t>
      </w:r>
    </w:p>
    <w:p w14:paraId="4E61EE0B">
      <w:pPr>
        <w:keepNext/>
        <w:keepLines w:val="0"/>
        <w:pageBreakBefore w:val="0"/>
        <w:widowControl/>
        <w:kinsoku/>
        <w:wordWrap/>
        <w:overflowPunct/>
        <w:topLinePunct w:val="0"/>
        <w:autoSpaceDE/>
        <w:autoSpaceDN/>
        <w:bidi w:val="0"/>
        <w:adjustRightInd/>
        <w:snapToGrid/>
        <w:spacing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5577840" cy="2788920"/>
            <wp:effectExtent l="0" t="0" r="0" b="13970"/>
            <wp:docPr id="15" name="Picture 15" descr="Documentary photographs of real public-school environments in Barcelona and Madrid used for contextual illustration only." title="Documentary school-site photo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ocumentary photographs of real public-school environments in Barcelona and Madrid used for contextual illustration only." title="Documentary school-site photographs"/>
                    <pic:cNvPicPr>
                      <a:picLocks noChangeAspect="1"/>
                    </pic:cNvPicPr>
                  </pic:nvPicPr>
                  <pic:blipFill>
                    <a:blip r:embed="rId8"/>
                    <a:stretch>
                      <a:fillRect/>
                    </a:stretch>
                  </pic:blipFill>
                  <pic:spPr>
                    <a:xfrm>
                      <a:off x="0" y="0"/>
                      <a:ext cx="5577840" cy="2788920"/>
                    </a:xfrm>
                    <a:prstGeom prst="rect">
                      <a:avLst/>
                    </a:prstGeom>
                  </pic:spPr>
                </pic:pic>
              </a:graphicData>
            </a:graphic>
          </wp:inline>
        </w:drawing>
      </w:r>
    </w:p>
    <w:p w14:paraId="6F8EB247">
      <w:pPr>
        <w:keepNext w:val="0"/>
        <w:keepLines w:val="0"/>
        <w:pageBreakBefore w:val="0"/>
        <w:widowControl/>
        <w:kinsoku/>
        <w:wordWrap/>
        <w:overflowPunct/>
        <w:topLinePunct w:val="0"/>
        <w:autoSpaceDE/>
        <w:autoSpaceDN/>
        <w:bidi w:val="0"/>
        <w:adjustRightInd/>
        <w:snapToGrid/>
        <w:spacing w:after="160" w:line="240" w:lineRule="auto"/>
        <w:ind w:left="0" w:righ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Figure S1.</w:t>
      </w:r>
      <w:r>
        <w:rPr>
          <w:rFonts w:hint="default" w:ascii="Times New Roman" w:hAnsi="Times New Roman" w:eastAsia="Times New Roman" w:cs="Times New Roman"/>
          <w:b w:val="0"/>
          <w:i w:val="0"/>
          <w:color w:val="000000"/>
          <w:sz w:val="24"/>
          <w:szCs w:val="24"/>
        </w:rPr>
        <w:t xml:space="preserve"> Documentary context: real public-school environments in the two study cities. (a) Escola Can Fabra, Barcelona. Photograph by Pere prlpz, Wikimedia Commons, CC BY-SA 3.0. (b) CEIP Valle-Inclán schoolyard, Madrid, photographed for Ayuntamiento de Madrid / Diario de Madrid, Wikimedia Commons, CC BY 4.0. The photographs provide case context only; they are not analytical observations and are not used to infer thermal performance.</w:t>
      </w:r>
    </w:p>
    <w:p w14:paraId="6300226A">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r>
        <w:rPr>
          <w:rFonts w:hint="default" w:ascii="Times New Roman" w:hAnsi="Times New Roman" w:eastAsia="Times New Roman" w:cs="Times New Roman"/>
          <w:b w:val="0"/>
          <w:i/>
          <w:color w:val="000000"/>
          <w:sz w:val="24"/>
          <w:szCs w:val="24"/>
        </w:rPr>
        <w:t>Note. The photographs are documentary context only and are not observations in the quantitative dataset; license attribution is retained in the caption.</w:t>
      </w:r>
    </w:p>
    <w:p w14:paraId="610E40FB">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eastAsia="Times New Roman" w:cs="Times New Roman"/>
          <w:b w:val="0"/>
          <w:i/>
          <w:color w:val="000000"/>
          <w:sz w:val="24"/>
          <w:szCs w:val="24"/>
        </w:rPr>
      </w:pPr>
    </w:p>
    <w:p w14:paraId="3FE91612">
      <w:pPr>
        <w:pStyle w:val="3"/>
        <w:keepNext/>
        <w:keepLines w:val="0"/>
        <w:pageBreakBefore w:val="0"/>
        <w:widowControl/>
        <w:kinsoku/>
        <w:wordWrap/>
        <w:overflowPunct/>
        <w:topLinePunct w:val="0"/>
        <w:autoSpaceDE/>
        <w:autoSpaceDN/>
        <w:bidi w:val="0"/>
        <w:adjustRightInd/>
        <w:snapToGrid/>
        <w:spacing w:before="0" w:after="160" w:line="240" w:lineRule="auto"/>
        <w:ind w:left="0" w:right="0" w:firstLine="0"/>
        <w:jc w:val="left"/>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S9. Research-data and analytical-material statement</w:t>
      </w:r>
    </w:p>
    <w:p w14:paraId="303BE5BA">
      <w:pPr>
        <w:keepNext w:val="0"/>
        <w:keepLines w:val="0"/>
        <w:pageBreakBefore w:val="0"/>
        <w:widowControl/>
        <w:kinsoku/>
        <w:wordWrap/>
        <w:overflowPunct/>
        <w:topLinePunct w:val="0"/>
        <w:autoSpaceDE/>
        <w:autoSpaceDN/>
        <w:bidi w:val="0"/>
        <w:adjustRightInd/>
        <w:snapToGrid/>
        <w:spacing w:after="160" w:line="240" w:lineRule="auto"/>
        <w:ind w:left="0" w:right="0"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Landsat, LCZ and official school-registry source products are available through the public identifiers listed in S1. Derived campus-linkage files, analytical panels, fold-assignment files, executable scripts and other internal analysis artifacts are not deposited with this submission. This Supplement documents the reported workflow and its inference boundaries; it is not a release of the internal working archive or a one-to-one replication package. No additional material availability is promised beyond the public sources and the documentation contained here. No questionnaire, psychometric scale, interview guide, consent form or human-participant dataset is applicable because the study uses remote-sensing imagery and public non-personal geospatial records only.</w:t>
      </w:r>
    </w:p>
    <w:sectPr>
      <w:headerReference r:id="rId5" w:type="default"/>
      <w:footerReference r:id="rId6" w:type="default"/>
      <w:pgSz w:w="11906" w:h="16838"/>
      <w:pgMar w:top="1440" w:right="1440" w:bottom="1440" w:left="1440" w:header="708" w:footer="708"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93A53">
    <w:pPr>
      <w:pStyle w:val="24"/>
      <w:spacing w:before="0" w:after="0" w:line="240" w:lineRule="auto"/>
      <w:jc w:val="center"/>
    </w:pPr>
    <w:r>
      <w:rPr>
        <w:rFonts w:ascii="Times New Roman" w:hAnsi="Times New Roman" w:eastAsia="Times New Roman" w:cs="Times New Roman"/>
        <w:color w:val="000000"/>
        <w:sz w:val="24"/>
      </w:rPr>
      <w:fldChar w:fldCharType="begin"/>
    </w:r>
    <w:r>
      <w:rPr>
        <w:rFonts w:ascii="Times New Roman" w:hAnsi="Times New Roman" w:eastAsia="Times New Roman" w:cs="Times New Roman"/>
        <w:color w:val="000000"/>
        <w:sz w:val="24"/>
      </w:rPr>
      <w:instrText xml:space="preserve"> PAGE   \* MERGEFORMAT </w:instrText>
    </w:r>
    <w:r>
      <w:rPr>
        <w:rFonts w:ascii="Times New Roman" w:hAnsi="Times New Roman" w:eastAsia="Times New Roman" w:cs="Times New Roman"/>
        <w:color w:val="000000"/>
        <w:sz w:val="24"/>
      </w:rPr>
      <w:fldChar w:fldCharType="separate"/>
    </w:r>
    <w:r>
      <w:rPr>
        <w:rFonts w:ascii="Times New Roman" w:hAnsi="Times New Roman" w:eastAsia="Times New Roman" w:cs="Times New Roman"/>
        <w:color w:val="000000"/>
        <w:sz w:val="24"/>
      </w:rPr>
      <w:t>1</w:t>
    </w:r>
    <w:r>
      <w:rPr>
        <w:rFonts w:ascii="Times New Roman" w:hAnsi="Times New Roman" w:eastAsia="Times New Roman" w:cs="Times New Roman"/>
        <w:color w:val="000000"/>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DB409">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32B7799"/>
    <w:rsid w:val="138B3493"/>
    <w:rsid w:val="1D061E52"/>
    <w:rsid w:val="1E5642BC"/>
    <w:rsid w:val="20786659"/>
    <w:rsid w:val="21C978F2"/>
    <w:rsid w:val="29FF6315"/>
    <w:rsid w:val="2AFE63BB"/>
    <w:rsid w:val="35ED0183"/>
    <w:rsid w:val="367E0853"/>
    <w:rsid w:val="4A6D0E1C"/>
    <w:rsid w:val="635974FF"/>
    <w:rsid w:val="6951757E"/>
    <w:rsid w:val="70311EB7"/>
    <w:rsid w:val="75C6197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imes New Roman"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sz w:val="32"/>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rPr>
      <w:rFonts w:ascii="Times New Roman" w:hAnsi="Times New Roman"/>
      <w:sz w:val="24"/>
    </w:r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7375E" w:themeColor="text2" w:themeShade="BF"/>
      <w:spacing w:val="5"/>
      <w:kern w:val="28"/>
      <w:sz w:val="3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1215</Words>
  <Characters>8921</Characters>
  <Lines>0</Lines>
  <Paragraphs>0</Paragraphs>
  <TotalTime>0</TotalTime>
  <ScaleCrop>false</ScaleCrop>
  <LinksUpToDate>false</LinksUpToDate>
  <CharactersWithSpaces>10240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cp:lastModifiedBy/>
  <dcterms:modified xsi:type="dcterms:W3CDTF">2026-08-18T05:36:03Z</dcterms:modified>
  <dc:title>Supplementary Appendix</dc:title>
  <cp:revision>1</cp:revision>
  <dc:subject/>
  <cp:keywords/>
  <dc:description/>
</cp:coreProperties>
</file>