
<file path=[Content_Types].xml><?xml version="1.0" encoding="utf-8"?>
<Types xmlns="http://schemas.openxmlformats.org/package/2006/content-types">
  <Default Extension="xml" ContentType="application/xml"/>
  <Default Extension="emf" ContentType="image/x-emf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DD962F">
      <w:pPr>
        <w:widowControl/>
        <w:spacing w:line="480" w:lineRule="auto"/>
        <w:jc w:val="center"/>
        <w:rPr>
          <w:rFonts w:hint="eastAsia" w:ascii="Times New Roman" w:hAnsi="Times New Roman" w:eastAsia="等线" w:cs="Times New Roman"/>
          <w:b w:val="0"/>
          <w:bCs w:val="0"/>
          <w:sz w:val="32"/>
          <w:szCs w:val="32"/>
        </w:rPr>
      </w:pPr>
      <w:bookmarkStart w:id="0" w:name="_Hlk201043819"/>
      <w:bookmarkStart w:id="1" w:name="_Hlk210917729"/>
      <w:bookmarkStart w:id="2" w:name="_Hlk229120924"/>
      <w:r>
        <w:rPr>
          <w:rFonts w:hint="eastAsia" w:ascii="Times New Roman" w:hAnsi="Times New Roman" w:eastAsia="等线" w:cs="Times New Roman"/>
          <w:b w:val="0"/>
          <w:bCs w:val="0"/>
          <w:sz w:val="32"/>
          <w:szCs w:val="32"/>
        </w:rPr>
        <w:t>Supplementary Information</w:t>
      </w:r>
    </w:p>
    <w:p w14:paraId="696B2EC0">
      <w:pPr>
        <w:widowControl/>
        <w:spacing w:line="480" w:lineRule="auto"/>
        <w:jc w:val="center"/>
        <w:rPr>
          <w:rFonts w:ascii="Times New Roman" w:hAnsi="Times New Roman" w:eastAsia="等线" w:cs="Times New Roman"/>
          <w:b/>
          <w:sz w:val="32"/>
          <w:szCs w:val="32"/>
        </w:rPr>
      </w:pPr>
      <w:r>
        <w:rPr>
          <w:rFonts w:hint="eastAsia" w:ascii="Times New Roman" w:hAnsi="Times New Roman" w:eastAsia="等线" w:cs="Times New Roman"/>
          <w:b/>
          <w:bCs/>
          <w:sz w:val="32"/>
          <w:szCs w:val="32"/>
        </w:rPr>
        <w:t>Ionic liquid-induced support disorder modulates the electronic structure of La-O subna</w:t>
      </w:r>
      <w:bookmarkStart w:id="11" w:name="_GoBack"/>
      <w:bookmarkEnd w:id="11"/>
      <w:r>
        <w:rPr>
          <w:rFonts w:hint="eastAsia" w:ascii="Times New Roman" w:hAnsi="Times New Roman" w:eastAsia="等线" w:cs="Times New Roman"/>
          <w:b/>
          <w:bCs/>
          <w:sz w:val="32"/>
          <w:szCs w:val="32"/>
        </w:rPr>
        <w:t>noclusters</w:t>
      </w:r>
    </w:p>
    <w:p w14:paraId="4FED79B4">
      <w:pPr>
        <w:widowControl/>
        <w:spacing w:line="480" w:lineRule="auto"/>
        <w:jc w:val="center"/>
        <w:rPr>
          <w:rFonts w:ascii="Times New Roman" w:hAnsi="Times New Roman" w:eastAsia="等线" w:cs="Times New Roman"/>
          <w:iCs/>
          <w:color w:val="000000"/>
          <w:kern w:val="0"/>
          <w:sz w:val="24"/>
          <w:szCs w:val="24"/>
        </w:rPr>
      </w:pPr>
      <w:r>
        <w:rPr>
          <w:rFonts w:hint="eastAsia" w:ascii="Times New Roman" w:hAnsi="Times New Roman" w:eastAsia="等线" w:cs="Times New Roman"/>
          <w:iCs/>
          <w:color w:val="000000"/>
          <w:kern w:val="0"/>
          <w:sz w:val="24"/>
          <w:szCs w:val="24"/>
        </w:rPr>
        <w:t>Jie Wang</w:t>
      </w:r>
      <w:r>
        <w:rPr>
          <w:rFonts w:hint="eastAsia" w:ascii="Times New Roman" w:hAnsi="Times New Roman" w:eastAsia="等线" w:cs="Times New Roman"/>
          <w:iCs/>
          <w:color w:val="000000"/>
          <w:kern w:val="0"/>
          <w:sz w:val="24"/>
          <w:szCs w:val="24"/>
          <w:vertAlign w:val="superscript"/>
        </w:rPr>
        <w:t>a</w:t>
      </w:r>
      <w:r>
        <w:rPr>
          <w:rFonts w:ascii="Times New Roman" w:hAnsi="Times New Roman" w:eastAsia="等线" w:cs="Times New Roman"/>
          <w:iCs/>
          <w:color w:val="000000"/>
          <w:kern w:val="0"/>
          <w:sz w:val="24"/>
          <w:szCs w:val="24"/>
          <w:vertAlign w:val="superscript"/>
        </w:rPr>
        <w:t>,</w:t>
      </w:r>
      <w:r>
        <w:rPr>
          <w:rFonts w:hint="eastAsia" w:ascii="Times New Roman" w:hAnsi="Times New Roman" w:eastAsia="等线" w:cs="Times New Roman"/>
          <w:iCs/>
          <w:color w:val="000000"/>
          <w:kern w:val="0"/>
          <w:sz w:val="24"/>
          <w:szCs w:val="24"/>
          <w:vertAlign w:val="superscript"/>
        </w:rPr>
        <w:t>b</w:t>
      </w:r>
      <w:r>
        <w:rPr>
          <w:rFonts w:hint="eastAsia" w:ascii="Times New Roman" w:hAnsi="Times New Roman" w:eastAsia="等线" w:cs="Times New Roman"/>
          <w:iCs/>
          <w:color w:val="000000"/>
          <w:kern w:val="0"/>
          <w:sz w:val="24"/>
          <w:szCs w:val="24"/>
        </w:rPr>
        <w:t>,</w:t>
      </w:r>
      <w:r>
        <w:rPr>
          <w:rFonts w:ascii="Times New Roman" w:hAnsi="Times New Roman" w:eastAsia="等线" w:cs="Times New Roman"/>
          <w:iCs/>
          <w:color w:val="000000"/>
          <w:kern w:val="0"/>
          <w:sz w:val="24"/>
          <w:szCs w:val="24"/>
        </w:rPr>
        <w:t xml:space="preserve"> </w:t>
      </w:r>
      <w:r>
        <w:rPr>
          <w:rFonts w:hint="eastAsia" w:ascii="Times New Roman" w:hAnsi="Times New Roman" w:eastAsia="等线" w:cs="Times New Roman"/>
          <w:iCs/>
          <w:color w:val="000000"/>
          <w:kern w:val="0"/>
          <w:sz w:val="24"/>
          <w:szCs w:val="24"/>
        </w:rPr>
        <w:t>Jielin</w:t>
      </w:r>
      <w:r>
        <w:rPr>
          <w:rFonts w:ascii="Times New Roman" w:hAnsi="Times New Roman" w:eastAsia="等线" w:cs="Times New Roman"/>
          <w:iCs/>
          <w:color w:val="000000"/>
          <w:kern w:val="0"/>
          <w:sz w:val="24"/>
          <w:szCs w:val="24"/>
        </w:rPr>
        <w:t xml:space="preserve"> </w:t>
      </w:r>
      <w:r>
        <w:rPr>
          <w:rFonts w:hint="eastAsia" w:ascii="Times New Roman" w:hAnsi="Times New Roman" w:eastAsia="等线" w:cs="Times New Roman"/>
          <w:iCs/>
          <w:color w:val="000000"/>
          <w:kern w:val="0"/>
          <w:sz w:val="24"/>
          <w:szCs w:val="24"/>
        </w:rPr>
        <w:t>Huang</w:t>
      </w:r>
      <w:r>
        <w:rPr>
          <w:rFonts w:hint="eastAsia" w:ascii="Times New Roman" w:hAnsi="Times New Roman" w:eastAsia="等线" w:cs="Times New Roman"/>
          <w:iCs/>
          <w:color w:val="000000"/>
          <w:kern w:val="0"/>
          <w:sz w:val="24"/>
          <w:szCs w:val="24"/>
          <w:vertAlign w:val="superscript"/>
        </w:rPr>
        <w:t>a</w:t>
      </w:r>
      <w:r>
        <w:rPr>
          <w:rFonts w:ascii="Times New Roman" w:hAnsi="Times New Roman" w:eastAsia="等线" w:cs="Times New Roman"/>
          <w:iCs/>
          <w:color w:val="000000"/>
          <w:kern w:val="0"/>
          <w:sz w:val="24"/>
          <w:szCs w:val="24"/>
          <w:vertAlign w:val="superscript"/>
        </w:rPr>
        <w:t>,*</w:t>
      </w:r>
      <w:r>
        <w:rPr>
          <w:rFonts w:ascii="Times New Roman" w:hAnsi="Times New Roman" w:eastAsia="等线" w:cs="Times New Roman"/>
          <w:iCs/>
          <w:color w:val="000000"/>
          <w:kern w:val="0"/>
          <w:sz w:val="24"/>
          <w:szCs w:val="24"/>
        </w:rPr>
        <w:t>,</w:t>
      </w:r>
      <w:r>
        <w:rPr>
          <w:rFonts w:hint="eastAsia" w:ascii="Times New Roman" w:hAnsi="Times New Roman" w:eastAsia="等线" w:cs="Times New Roman"/>
          <w:iCs/>
          <w:color w:val="000000"/>
          <w:kern w:val="0"/>
          <w:sz w:val="24"/>
          <w:szCs w:val="24"/>
        </w:rPr>
        <w:t xml:space="preserve"> Hongpeng Zhang</w:t>
      </w:r>
      <w:r>
        <w:rPr>
          <w:rFonts w:hint="eastAsia" w:ascii="Times New Roman" w:hAnsi="Times New Roman" w:eastAsia="等线" w:cs="Times New Roman"/>
          <w:iCs/>
          <w:color w:val="000000"/>
          <w:kern w:val="0"/>
          <w:sz w:val="24"/>
          <w:szCs w:val="24"/>
          <w:vertAlign w:val="superscript"/>
        </w:rPr>
        <w:t>a</w:t>
      </w:r>
      <w:r>
        <w:rPr>
          <w:rFonts w:ascii="Times New Roman" w:hAnsi="Times New Roman" w:eastAsia="等线" w:cs="Times New Roman"/>
          <w:iCs/>
          <w:color w:val="000000"/>
          <w:kern w:val="0"/>
          <w:sz w:val="24"/>
          <w:szCs w:val="24"/>
          <w:vertAlign w:val="superscript"/>
        </w:rPr>
        <w:t>,</w:t>
      </w:r>
      <w:r>
        <w:rPr>
          <w:rFonts w:hint="eastAsia" w:ascii="Times New Roman" w:hAnsi="Times New Roman" w:eastAsia="等线" w:cs="Times New Roman"/>
          <w:iCs/>
          <w:color w:val="000000"/>
          <w:kern w:val="0"/>
          <w:sz w:val="24"/>
          <w:szCs w:val="24"/>
          <w:vertAlign w:val="superscript"/>
        </w:rPr>
        <w:t>b</w:t>
      </w:r>
      <w:r>
        <w:rPr>
          <w:rFonts w:ascii="Times New Roman" w:hAnsi="Times New Roman" w:eastAsia="等线" w:cs="Times New Roman"/>
          <w:iCs/>
          <w:color w:val="000000"/>
          <w:kern w:val="0"/>
          <w:sz w:val="24"/>
          <w:szCs w:val="24"/>
        </w:rPr>
        <w:t>,</w:t>
      </w:r>
      <w:r>
        <w:rPr>
          <w:rFonts w:hint="eastAsia" w:ascii="Times New Roman" w:hAnsi="Times New Roman" w:eastAsia="等线" w:cs="Times New Roman"/>
          <w:iCs/>
          <w:color w:val="000000"/>
          <w:kern w:val="0"/>
          <w:sz w:val="24"/>
          <w:szCs w:val="24"/>
        </w:rPr>
        <w:t xml:space="preserve"> Jian</w:t>
      </w:r>
      <w:r>
        <w:rPr>
          <w:rFonts w:ascii="Times New Roman" w:hAnsi="Times New Roman" w:eastAsia="等线" w:cs="Times New Roman"/>
          <w:iCs/>
          <w:color w:val="000000"/>
          <w:kern w:val="0"/>
          <w:sz w:val="24"/>
          <w:szCs w:val="24"/>
        </w:rPr>
        <w:t xml:space="preserve"> </w:t>
      </w:r>
      <w:r>
        <w:rPr>
          <w:rFonts w:hint="eastAsia" w:ascii="Times New Roman" w:hAnsi="Times New Roman" w:eastAsia="等线" w:cs="Times New Roman"/>
          <w:iCs/>
          <w:color w:val="000000"/>
          <w:kern w:val="0"/>
          <w:sz w:val="24"/>
          <w:szCs w:val="24"/>
        </w:rPr>
        <w:t>Li</w:t>
      </w:r>
      <w:r>
        <w:rPr>
          <w:rFonts w:hint="eastAsia" w:ascii="Times New Roman" w:hAnsi="Times New Roman" w:eastAsia="等线" w:cs="Times New Roman"/>
          <w:iCs/>
          <w:color w:val="000000"/>
          <w:kern w:val="0"/>
          <w:sz w:val="24"/>
          <w:szCs w:val="24"/>
          <w:vertAlign w:val="superscript"/>
        </w:rPr>
        <w:t>a</w:t>
      </w:r>
      <w:r>
        <w:rPr>
          <w:rFonts w:ascii="Times New Roman" w:hAnsi="Times New Roman" w:eastAsia="等线" w:cs="Times New Roman"/>
          <w:iCs/>
          <w:color w:val="000000"/>
          <w:kern w:val="0"/>
          <w:sz w:val="24"/>
          <w:szCs w:val="24"/>
          <w:vertAlign w:val="superscript"/>
        </w:rPr>
        <w:t>,</w:t>
      </w:r>
      <w:r>
        <w:rPr>
          <w:rFonts w:hint="eastAsia" w:ascii="Times New Roman" w:hAnsi="Times New Roman" w:eastAsia="等线" w:cs="Times New Roman"/>
          <w:iCs/>
          <w:color w:val="000000"/>
          <w:kern w:val="0"/>
          <w:sz w:val="24"/>
          <w:szCs w:val="24"/>
          <w:vertAlign w:val="superscript"/>
        </w:rPr>
        <w:t>b</w:t>
      </w:r>
      <w:r>
        <w:rPr>
          <w:rFonts w:hint="eastAsia" w:ascii="Times New Roman" w:hAnsi="Times New Roman" w:eastAsia="等线" w:cs="Times New Roman"/>
          <w:iCs/>
          <w:color w:val="000000"/>
          <w:kern w:val="0"/>
          <w:sz w:val="24"/>
          <w:szCs w:val="24"/>
        </w:rPr>
        <w:t>, Shijie</w:t>
      </w:r>
      <w:r>
        <w:rPr>
          <w:rFonts w:ascii="Times New Roman" w:hAnsi="Times New Roman" w:eastAsia="等线" w:cs="Times New Roman"/>
          <w:iCs/>
          <w:color w:val="000000"/>
          <w:kern w:val="0"/>
          <w:sz w:val="24"/>
          <w:szCs w:val="24"/>
        </w:rPr>
        <w:t xml:space="preserve"> </w:t>
      </w:r>
      <w:r>
        <w:rPr>
          <w:rFonts w:hint="eastAsia" w:ascii="Times New Roman" w:hAnsi="Times New Roman" w:eastAsia="等线" w:cs="Times New Roman"/>
          <w:iCs/>
          <w:color w:val="000000"/>
          <w:kern w:val="0"/>
          <w:sz w:val="24"/>
          <w:szCs w:val="24"/>
        </w:rPr>
        <w:t>Xu</w:t>
      </w:r>
      <w:r>
        <w:rPr>
          <w:rFonts w:ascii="Times New Roman" w:hAnsi="Times New Roman" w:eastAsia="等线" w:cs="Times New Roman"/>
          <w:iCs/>
          <w:color w:val="000000"/>
          <w:kern w:val="0"/>
          <w:sz w:val="24"/>
          <w:szCs w:val="24"/>
          <w:vertAlign w:val="superscript"/>
        </w:rPr>
        <w:t>a</w:t>
      </w:r>
      <w:r>
        <w:rPr>
          <w:rFonts w:ascii="Times New Roman" w:hAnsi="Times New Roman" w:eastAsia="等线" w:cs="Times New Roman"/>
          <w:iCs/>
          <w:color w:val="000000"/>
          <w:kern w:val="0"/>
          <w:sz w:val="24"/>
          <w:szCs w:val="24"/>
        </w:rPr>
        <w:t xml:space="preserve">, </w:t>
      </w:r>
      <w:bookmarkStart w:id="3" w:name="_Hlk233832093"/>
      <w:r>
        <w:rPr>
          <w:rFonts w:hint="eastAsia" w:ascii="Times New Roman" w:hAnsi="Times New Roman" w:eastAsia="等线" w:cs="Times New Roman"/>
          <w:iCs/>
          <w:color w:val="000000"/>
          <w:kern w:val="0"/>
          <w:sz w:val="24"/>
          <w:szCs w:val="24"/>
        </w:rPr>
        <w:t>Songsong Chen</w:t>
      </w:r>
      <w:r>
        <w:rPr>
          <w:rFonts w:hint="eastAsia" w:ascii="Times New Roman" w:hAnsi="Times New Roman" w:eastAsia="等线" w:cs="Times New Roman"/>
          <w:iCs/>
          <w:color w:val="000000"/>
          <w:kern w:val="0"/>
          <w:sz w:val="24"/>
          <w:szCs w:val="24"/>
          <w:vertAlign w:val="superscript"/>
        </w:rPr>
        <w:t>a</w:t>
      </w:r>
      <w:r>
        <w:rPr>
          <w:rFonts w:ascii="Times New Roman" w:hAnsi="Times New Roman" w:eastAsia="等线" w:cs="Times New Roman"/>
          <w:iCs/>
          <w:color w:val="000000"/>
          <w:kern w:val="0"/>
          <w:sz w:val="24"/>
          <w:szCs w:val="24"/>
          <w:vertAlign w:val="superscript"/>
        </w:rPr>
        <w:t>,</w:t>
      </w:r>
      <w:r>
        <w:rPr>
          <w:rFonts w:hint="eastAsia" w:ascii="Times New Roman" w:hAnsi="Times New Roman" w:eastAsia="等线" w:cs="Times New Roman"/>
          <w:iCs/>
          <w:color w:val="000000"/>
          <w:kern w:val="0"/>
          <w:sz w:val="24"/>
          <w:szCs w:val="24"/>
          <w:vertAlign w:val="superscript"/>
        </w:rPr>
        <w:t>c</w:t>
      </w:r>
      <w:r>
        <w:rPr>
          <w:rFonts w:hint="eastAsia" w:ascii="Times New Roman" w:hAnsi="Times New Roman" w:eastAsia="等线" w:cs="Times New Roman"/>
          <w:iCs/>
          <w:color w:val="000000"/>
          <w:kern w:val="0"/>
          <w:sz w:val="24"/>
          <w:szCs w:val="24"/>
        </w:rPr>
        <w:t>, Junping Zhang</w:t>
      </w:r>
      <w:bookmarkEnd w:id="3"/>
      <w:r>
        <w:rPr>
          <w:rFonts w:hint="eastAsia" w:ascii="Times New Roman" w:hAnsi="Times New Roman" w:eastAsia="等线" w:cs="Times New Roman"/>
          <w:iCs/>
          <w:color w:val="000000"/>
          <w:kern w:val="0"/>
          <w:sz w:val="24"/>
          <w:szCs w:val="24"/>
          <w:vertAlign w:val="superscript"/>
        </w:rPr>
        <w:t>a</w:t>
      </w:r>
      <w:r>
        <w:rPr>
          <w:rFonts w:ascii="Times New Roman" w:hAnsi="Times New Roman" w:eastAsia="等线" w:cs="Times New Roman"/>
          <w:iCs/>
          <w:color w:val="000000"/>
          <w:kern w:val="0"/>
          <w:sz w:val="24"/>
          <w:szCs w:val="24"/>
          <w:vertAlign w:val="superscript"/>
        </w:rPr>
        <w:t>,</w:t>
      </w:r>
      <w:r>
        <w:rPr>
          <w:rFonts w:hint="eastAsia" w:ascii="Times New Roman" w:hAnsi="Times New Roman" w:eastAsia="等线" w:cs="Times New Roman"/>
          <w:iCs/>
          <w:color w:val="000000"/>
          <w:kern w:val="0"/>
          <w:sz w:val="24"/>
          <w:szCs w:val="24"/>
          <w:vertAlign w:val="superscript"/>
        </w:rPr>
        <w:t>c</w:t>
      </w:r>
      <w:r>
        <w:rPr>
          <w:rFonts w:hint="eastAsia" w:ascii="Times New Roman" w:hAnsi="Times New Roman" w:eastAsia="等线" w:cs="Times New Roman"/>
          <w:iCs/>
          <w:color w:val="000000"/>
          <w:kern w:val="0"/>
          <w:sz w:val="24"/>
          <w:szCs w:val="24"/>
        </w:rPr>
        <w:t xml:space="preserve">, </w:t>
      </w:r>
      <w:r>
        <w:rPr>
          <w:rFonts w:ascii="Times New Roman" w:hAnsi="Times New Roman" w:eastAsia="等线" w:cs="Times New Roman"/>
          <w:iCs/>
          <w:color w:val="000000"/>
          <w:kern w:val="0"/>
          <w:sz w:val="24"/>
          <w:szCs w:val="24"/>
        </w:rPr>
        <w:t>Li Dong</w:t>
      </w:r>
      <w:r>
        <w:rPr>
          <w:rFonts w:hint="eastAsia" w:ascii="Times New Roman" w:hAnsi="Times New Roman" w:eastAsia="等线" w:cs="Times New Roman"/>
          <w:iCs/>
          <w:color w:val="000000"/>
          <w:kern w:val="0"/>
          <w:sz w:val="24"/>
          <w:szCs w:val="24"/>
          <w:vertAlign w:val="superscript"/>
        </w:rPr>
        <w:t>a</w:t>
      </w:r>
      <w:r>
        <w:rPr>
          <w:rFonts w:ascii="Times New Roman" w:hAnsi="Times New Roman" w:eastAsia="等线" w:cs="Times New Roman"/>
          <w:iCs/>
          <w:color w:val="000000"/>
          <w:kern w:val="0"/>
          <w:sz w:val="24"/>
          <w:szCs w:val="24"/>
          <w:vertAlign w:val="superscript"/>
        </w:rPr>
        <w:t>,</w:t>
      </w:r>
      <w:r>
        <w:rPr>
          <w:rFonts w:hint="eastAsia" w:ascii="Times New Roman" w:hAnsi="Times New Roman" w:eastAsia="等线" w:cs="Times New Roman"/>
          <w:iCs/>
          <w:color w:val="000000"/>
          <w:kern w:val="0"/>
          <w:sz w:val="24"/>
          <w:szCs w:val="24"/>
          <w:vertAlign w:val="superscript"/>
        </w:rPr>
        <w:t>c,</w:t>
      </w:r>
      <w:r>
        <w:rPr>
          <w:rFonts w:ascii="Times New Roman" w:hAnsi="Times New Roman" w:eastAsia="等线" w:cs="Times New Roman"/>
          <w:iCs/>
          <w:color w:val="000000"/>
          <w:kern w:val="0"/>
          <w:sz w:val="24"/>
          <w:szCs w:val="24"/>
          <w:vertAlign w:val="superscript"/>
        </w:rPr>
        <w:t>*</w:t>
      </w:r>
      <w:r>
        <w:rPr>
          <w:rFonts w:ascii="Times New Roman" w:hAnsi="Times New Roman" w:eastAsia="等线" w:cs="Times New Roman"/>
          <w:iCs/>
          <w:color w:val="000000"/>
          <w:kern w:val="0"/>
          <w:sz w:val="24"/>
          <w:szCs w:val="24"/>
        </w:rPr>
        <w:t>,</w:t>
      </w:r>
      <w:r>
        <w:rPr>
          <w:rFonts w:hint="eastAsia" w:ascii="Times New Roman" w:hAnsi="Times New Roman" w:eastAsia="等线" w:cs="Times New Roman"/>
          <w:iCs/>
          <w:color w:val="000000"/>
          <w:kern w:val="0"/>
          <w:sz w:val="24"/>
          <w:szCs w:val="24"/>
        </w:rPr>
        <w:t xml:space="preserve"> Tengfei</w:t>
      </w:r>
      <w:r>
        <w:rPr>
          <w:rFonts w:ascii="Times New Roman" w:hAnsi="Times New Roman" w:eastAsia="等线" w:cs="Times New Roman"/>
          <w:iCs/>
          <w:color w:val="000000"/>
          <w:kern w:val="0"/>
          <w:sz w:val="24"/>
          <w:szCs w:val="24"/>
        </w:rPr>
        <w:t xml:space="preserve"> </w:t>
      </w:r>
      <w:r>
        <w:rPr>
          <w:rFonts w:hint="eastAsia" w:ascii="Times New Roman" w:hAnsi="Times New Roman" w:eastAsia="等线" w:cs="Times New Roman"/>
          <w:iCs/>
          <w:color w:val="000000"/>
          <w:kern w:val="0"/>
          <w:sz w:val="24"/>
          <w:szCs w:val="24"/>
        </w:rPr>
        <w:t>Zhang</w:t>
      </w:r>
      <w:r>
        <w:rPr>
          <w:rFonts w:hint="eastAsia" w:ascii="Times New Roman" w:hAnsi="Times New Roman" w:eastAsia="等线" w:cs="Times New Roman"/>
          <w:iCs/>
          <w:color w:val="000000"/>
          <w:kern w:val="0"/>
          <w:sz w:val="24"/>
          <w:szCs w:val="24"/>
          <w:vertAlign w:val="superscript"/>
        </w:rPr>
        <w:t>d,</w:t>
      </w:r>
      <w:r>
        <w:rPr>
          <w:rFonts w:ascii="Times New Roman" w:hAnsi="Times New Roman" w:eastAsia="等线" w:cs="Times New Roman"/>
          <w:iCs/>
          <w:color w:val="000000"/>
          <w:kern w:val="0"/>
          <w:sz w:val="24"/>
          <w:szCs w:val="24"/>
          <w:vertAlign w:val="superscript"/>
        </w:rPr>
        <w:t>*</w:t>
      </w:r>
      <w:r>
        <w:rPr>
          <w:rFonts w:ascii="Times New Roman" w:hAnsi="Times New Roman" w:eastAsia="等线" w:cs="Times New Roman"/>
          <w:iCs/>
          <w:color w:val="000000"/>
          <w:kern w:val="0"/>
          <w:sz w:val="24"/>
          <w:szCs w:val="24"/>
        </w:rPr>
        <w:t>,</w:t>
      </w:r>
      <w:r>
        <w:rPr>
          <w:rFonts w:hint="eastAsia" w:ascii="Times New Roman" w:hAnsi="Times New Roman" w:eastAsia="等线" w:cs="Times New Roman"/>
          <w:iCs/>
          <w:color w:val="000000"/>
          <w:kern w:val="0"/>
          <w:sz w:val="24"/>
          <w:szCs w:val="24"/>
        </w:rPr>
        <w:t xml:space="preserve"> Suojiang</w:t>
      </w:r>
      <w:r>
        <w:rPr>
          <w:rFonts w:ascii="Times New Roman" w:hAnsi="Times New Roman" w:eastAsia="等线" w:cs="Times New Roman"/>
          <w:iCs/>
          <w:color w:val="000000"/>
          <w:kern w:val="0"/>
          <w:sz w:val="24"/>
          <w:szCs w:val="24"/>
        </w:rPr>
        <w:t xml:space="preserve"> </w:t>
      </w:r>
      <w:r>
        <w:rPr>
          <w:rFonts w:hint="eastAsia" w:ascii="Times New Roman" w:hAnsi="Times New Roman" w:eastAsia="等线" w:cs="Times New Roman"/>
          <w:iCs/>
          <w:color w:val="000000"/>
          <w:kern w:val="0"/>
          <w:sz w:val="24"/>
          <w:szCs w:val="24"/>
        </w:rPr>
        <w:t>Zhang</w:t>
      </w:r>
      <w:r>
        <w:rPr>
          <w:rFonts w:hint="eastAsia" w:ascii="Times New Roman" w:hAnsi="Times New Roman" w:eastAsia="等线" w:cs="Times New Roman"/>
          <w:iCs/>
          <w:color w:val="000000"/>
          <w:kern w:val="0"/>
          <w:sz w:val="24"/>
          <w:szCs w:val="24"/>
          <w:vertAlign w:val="superscript"/>
        </w:rPr>
        <w:t>a</w:t>
      </w:r>
      <w:r>
        <w:rPr>
          <w:rFonts w:ascii="Times New Roman" w:hAnsi="Times New Roman" w:eastAsia="等线" w:cs="Times New Roman"/>
          <w:iCs/>
          <w:color w:val="000000"/>
          <w:kern w:val="0"/>
          <w:sz w:val="24"/>
          <w:szCs w:val="24"/>
          <w:vertAlign w:val="superscript"/>
        </w:rPr>
        <w:t>,c</w:t>
      </w:r>
      <w:r>
        <w:rPr>
          <w:rFonts w:hint="eastAsia" w:ascii="Times New Roman" w:hAnsi="Times New Roman" w:eastAsia="等线" w:cs="Times New Roman"/>
          <w:iCs/>
          <w:color w:val="000000"/>
          <w:kern w:val="0"/>
          <w:sz w:val="24"/>
          <w:szCs w:val="24"/>
          <w:vertAlign w:val="superscript"/>
        </w:rPr>
        <w:t>,</w:t>
      </w:r>
      <w:r>
        <w:rPr>
          <w:rFonts w:ascii="Times New Roman" w:hAnsi="Times New Roman" w:eastAsia="等线" w:cs="Times New Roman"/>
          <w:iCs/>
          <w:color w:val="000000"/>
          <w:kern w:val="0"/>
          <w:sz w:val="24"/>
          <w:szCs w:val="24"/>
          <w:vertAlign w:val="superscript"/>
        </w:rPr>
        <w:t>*</w:t>
      </w:r>
    </w:p>
    <w:p w14:paraId="6462D531">
      <w:pPr>
        <w:widowControl/>
        <w:spacing w:line="360" w:lineRule="auto"/>
        <w:rPr>
          <w:rFonts w:ascii="Times New Roman" w:hAnsi="Times New Roman" w:eastAsia="等线" w:cs="Times New Roman"/>
          <w:i/>
          <w:iCs/>
          <w:color w:val="000000"/>
          <w:kern w:val="0"/>
          <w:sz w:val="24"/>
          <w:lang w:eastAsia="en-US"/>
        </w:rPr>
      </w:pPr>
      <w:r>
        <w:rPr>
          <w:rFonts w:hint="eastAsia" w:ascii="Times New Roman" w:hAnsi="Times New Roman" w:eastAsia="楷体" w:cs="Times New Roman"/>
          <w:i/>
          <w:color w:val="000000"/>
          <w:sz w:val="24"/>
          <w:szCs w:val="24"/>
          <w:vertAlign w:val="superscript"/>
        </w:rPr>
        <w:t>a</w:t>
      </w:r>
      <w:r>
        <w:rPr>
          <w:rFonts w:ascii="Times New Roman" w:hAnsi="Times New Roman" w:eastAsia="等线" w:cs="Times New Roman"/>
          <w:i/>
          <w:iCs/>
          <w:color w:val="000000"/>
          <w:kern w:val="0"/>
          <w:sz w:val="24"/>
          <w:szCs w:val="24"/>
          <w:vertAlign w:val="superscript"/>
          <w:lang w:eastAsia="en-US"/>
        </w:rPr>
        <w:t xml:space="preserve"> </w:t>
      </w:r>
      <w:r>
        <w:rPr>
          <w:rFonts w:ascii="Times New Roman" w:hAnsi="Times New Roman" w:eastAsia="等线" w:cs="Times New Roman"/>
          <w:i/>
          <w:iCs/>
          <w:color w:val="000000"/>
          <w:kern w:val="0"/>
          <w:sz w:val="24"/>
          <w:lang w:eastAsia="en-US"/>
        </w:rPr>
        <w:t>Center of Ionic Liquids and Green Energy</w:t>
      </w:r>
      <w:r>
        <w:rPr>
          <w:rFonts w:hint="eastAsia" w:ascii="Times New Roman" w:hAnsi="Times New Roman" w:eastAsia="等线" w:cs="Times New Roman"/>
          <w:i/>
          <w:iCs/>
          <w:color w:val="000000"/>
          <w:kern w:val="0"/>
          <w:sz w:val="24"/>
        </w:rPr>
        <w:t xml:space="preserve">, </w:t>
      </w:r>
      <w:r>
        <w:rPr>
          <w:rFonts w:ascii="Times New Roman" w:hAnsi="Times New Roman" w:eastAsia="等线" w:cs="Times New Roman"/>
          <w:i/>
          <w:iCs/>
          <w:color w:val="000000"/>
          <w:kern w:val="0"/>
          <w:sz w:val="24"/>
          <w:lang w:eastAsia="en-US"/>
        </w:rPr>
        <w:t>Beijing Key Laboratory of Solid State Battery and Energy Storage Process</w:t>
      </w:r>
      <w:r>
        <w:rPr>
          <w:rFonts w:hint="eastAsia" w:ascii="Times New Roman" w:hAnsi="Times New Roman" w:eastAsia="等线" w:cs="Times New Roman"/>
          <w:i/>
          <w:iCs/>
          <w:color w:val="000000"/>
          <w:kern w:val="0"/>
          <w:sz w:val="24"/>
        </w:rPr>
        <w:t xml:space="preserve">, </w:t>
      </w:r>
      <w:r>
        <w:rPr>
          <w:rFonts w:ascii="Times New Roman" w:hAnsi="Times New Roman" w:eastAsia="等线" w:cs="Times New Roman"/>
          <w:i/>
          <w:iCs/>
          <w:color w:val="000000"/>
          <w:kern w:val="0"/>
          <w:sz w:val="24"/>
        </w:rPr>
        <w:t>State Key Laboratory of Mesoscience and Engineering</w:t>
      </w:r>
      <w:r>
        <w:rPr>
          <w:rFonts w:hint="eastAsia" w:ascii="Times New Roman" w:hAnsi="Times New Roman" w:eastAsia="等线" w:cs="Times New Roman"/>
          <w:i/>
          <w:iCs/>
          <w:color w:val="000000"/>
          <w:kern w:val="0"/>
          <w:sz w:val="24"/>
        </w:rPr>
        <w:t>,</w:t>
      </w:r>
      <w:r>
        <w:rPr>
          <w:rFonts w:ascii="Times New Roman" w:hAnsi="Times New Roman" w:eastAsia="等线" w:cs="Times New Roman"/>
          <w:i/>
          <w:iCs/>
          <w:color w:val="000000"/>
          <w:kern w:val="0"/>
          <w:sz w:val="24"/>
        </w:rPr>
        <w:t xml:space="preserve"> </w:t>
      </w:r>
      <w:r>
        <w:rPr>
          <w:rFonts w:ascii="Times New Roman" w:hAnsi="Times New Roman" w:eastAsia="等线" w:cs="Times New Roman"/>
          <w:i/>
          <w:iCs/>
          <w:color w:val="000000"/>
          <w:kern w:val="0"/>
          <w:sz w:val="24"/>
          <w:lang w:eastAsia="en-US"/>
        </w:rPr>
        <w:t>Institute of Process Engineering, Chinese Academy of Sciences</w:t>
      </w:r>
      <w:r>
        <w:rPr>
          <w:rFonts w:hint="eastAsia" w:ascii="Times New Roman" w:hAnsi="Times New Roman" w:eastAsia="等线" w:cs="Times New Roman"/>
          <w:i/>
          <w:iCs/>
          <w:color w:val="000000"/>
          <w:kern w:val="0"/>
          <w:sz w:val="24"/>
        </w:rPr>
        <w:t xml:space="preserve">, </w:t>
      </w:r>
      <w:r>
        <w:rPr>
          <w:rFonts w:ascii="Times New Roman" w:hAnsi="Times New Roman" w:eastAsia="等线" w:cs="Times New Roman"/>
          <w:i/>
          <w:iCs/>
          <w:color w:val="000000"/>
          <w:kern w:val="0"/>
          <w:sz w:val="24"/>
          <w:lang w:eastAsia="en-US"/>
        </w:rPr>
        <w:t>Beijing 100190, China</w:t>
      </w:r>
    </w:p>
    <w:p w14:paraId="3E999ABC">
      <w:pPr>
        <w:widowControl/>
        <w:spacing w:line="360" w:lineRule="auto"/>
        <w:rPr>
          <w:rFonts w:ascii="Times New Roman" w:hAnsi="Times New Roman" w:eastAsia="楷体" w:cs="Times New Roman"/>
          <w:i/>
          <w:iCs/>
          <w:color w:val="000000"/>
          <w:kern w:val="0"/>
          <w:sz w:val="24"/>
          <w:szCs w:val="24"/>
          <w:vertAlign w:val="superscript"/>
        </w:rPr>
      </w:pPr>
      <w:r>
        <w:rPr>
          <w:rFonts w:hint="eastAsia" w:ascii="Times New Roman" w:hAnsi="Times New Roman" w:eastAsia="楷体" w:cs="Times New Roman"/>
          <w:i/>
          <w:color w:val="000000"/>
          <w:sz w:val="24"/>
          <w:szCs w:val="24"/>
          <w:vertAlign w:val="superscript"/>
        </w:rPr>
        <w:t>b</w:t>
      </w:r>
      <w:r>
        <w:rPr>
          <w:rFonts w:ascii="Times New Roman" w:hAnsi="Times New Roman" w:eastAsia="楷体" w:cs="Times New Roman"/>
          <w:i/>
          <w:color w:val="000000"/>
          <w:sz w:val="24"/>
          <w:szCs w:val="24"/>
        </w:rPr>
        <w:t xml:space="preserve"> </w:t>
      </w:r>
      <w:r>
        <w:rPr>
          <w:rFonts w:hint="eastAsia" w:ascii="Times New Roman" w:hAnsi="Times New Roman" w:eastAsia="楷体" w:cs="Times New Roman"/>
          <w:i/>
          <w:color w:val="000000"/>
          <w:sz w:val="24"/>
          <w:szCs w:val="24"/>
        </w:rPr>
        <w:t>School of Chemical Engineering, University of Chinese Academy of Sciences, Beijing 100049, China</w:t>
      </w:r>
    </w:p>
    <w:p w14:paraId="25D1E149">
      <w:pPr>
        <w:spacing w:line="360" w:lineRule="auto"/>
        <w:rPr>
          <w:rFonts w:ascii="Times New Roman" w:hAnsi="Times New Roman" w:eastAsia="等线" w:cs="Times New Roman"/>
          <w:i/>
          <w:iCs/>
          <w:color w:val="000000"/>
          <w:sz w:val="24"/>
          <w:szCs w:val="24"/>
        </w:rPr>
      </w:pPr>
      <w:bookmarkStart w:id="4" w:name="OLE_LINK76"/>
      <w:r>
        <w:rPr>
          <w:rFonts w:ascii="Times New Roman" w:hAnsi="Times New Roman" w:eastAsia="等线" w:cs="Times New Roman"/>
          <w:i/>
          <w:iCs/>
          <w:color w:val="000000"/>
          <w:sz w:val="24"/>
          <w:szCs w:val="24"/>
          <w:vertAlign w:val="superscript"/>
        </w:rPr>
        <w:t>c</w:t>
      </w:r>
      <w:r>
        <w:rPr>
          <w:rFonts w:ascii="Times New Roman" w:hAnsi="Times New Roman" w:eastAsia="等线" w:cs="Times New Roman"/>
          <w:i/>
          <w:iCs/>
          <w:color w:val="000000"/>
          <w:sz w:val="24"/>
          <w:szCs w:val="24"/>
        </w:rPr>
        <w:t xml:space="preserve"> Longzihu New Energy Laboratory, State Key Laboratory of Green Chemical Synthesis and Conversion, Henan University, Zhengzhou 4500</w:t>
      </w:r>
      <w:bookmarkEnd w:id="4"/>
      <w:r>
        <w:rPr>
          <w:rFonts w:ascii="Times New Roman" w:hAnsi="Times New Roman" w:eastAsia="等线" w:cs="Times New Roman"/>
          <w:i/>
          <w:iCs/>
          <w:color w:val="000000"/>
          <w:sz w:val="24"/>
          <w:szCs w:val="24"/>
        </w:rPr>
        <w:t>00, P. R. China</w:t>
      </w:r>
    </w:p>
    <w:p w14:paraId="7FBC6FD4">
      <w:pPr>
        <w:spacing w:line="360" w:lineRule="auto"/>
        <w:rPr>
          <w:rFonts w:ascii="Times New Roman" w:hAnsi="Times New Roman" w:eastAsia="等线" w:cs="Times New Roman"/>
          <w:i/>
          <w:iCs/>
          <w:color w:val="000000"/>
          <w:sz w:val="24"/>
          <w:szCs w:val="24"/>
        </w:rPr>
      </w:pPr>
      <w:r>
        <w:rPr>
          <w:rFonts w:hint="eastAsia" w:ascii="Times New Roman" w:hAnsi="Times New Roman" w:eastAsia="等线" w:cs="Times New Roman"/>
          <w:i/>
          <w:iCs/>
          <w:color w:val="000000"/>
          <w:sz w:val="24"/>
          <w:szCs w:val="24"/>
          <w:vertAlign w:val="superscript"/>
        </w:rPr>
        <w:t>d</w:t>
      </w:r>
      <w:r>
        <w:rPr>
          <w:rFonts w:ascii="Times New Roman" w:hAnsi="Times New Roman" w:eastAsia="等线" w:cs="Times New Roman"/>
          <w:i/>
          <w:iCs/>
          <w:color w:val="000000"/>
          <w:sz w:val="24"/>
          <w:szCs w:val="24"/>
        </w:rPr>
        <w:t xml:space="preserve"> </w:t>
      </w:r>
      <w:r>
        <w:rPr>
          <w:rFonts w:hint="eastAsia" w:ascii="Times New Roman" w:hAnsi="Times New Roman" w:eastAsia="等线" w:cs="Times New Roman"/>
          <w:i/>
          <w:iCs/>
          <w:color w:val="000000"/>
          <w:sz w:val="24"/>
          <w:szCs w:val="24"/>
        </w:rPr>
        <w:t>Key Laboratory of Low Carbon Energy and Chemical Engineering, Shandong University of Science and Technology, Qingdao 266590, China</w:t>
      </w:r>
    </w:p>
    <w:p w14:paraId="7B1B0EB3">
      <w:pPr>
        <w:rPr>
          <w:rFonts w:ascii="Times New Roman" w:hAnsi="Times New Roman" w:eastAsia="宋体" w:cs="Times New Roman"/>
        </w:rPr>
      </w:pPr>
      <w:r>
        <w:rPr>
          <w:rFonts w:ascii="Times New Roman" w:hAnsi="Times New Roman" w:eastAsia="等线" w:cs="Times New Roman"/>
          <w:color w:val="000000"/>
          <w:sz w:val="24"/>
          <w:szCs w:val="24"/>
        </w:rPr>
        <w:t>*</w:t>
      </w:r>
      <w:r>
        <w:rPr>
          <w:rFonts w:hint="eastAsia"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Corresponding author</w:t>
      </w:r>
      <w:r>
        <w:rPr>
          <w:rFonts w:ascii="Times New Roman" w:hAnsi="Times New Roman" w:eastAsia="等线" w:cs="Times New Roman"/>
          <w:color w:val="000000"/>
          <w:sz w:val="24"/>
          <w:szCs w:val="24"/>
        </w:rPr>
        <w:t xml:space="preserve">. E-mail address: </w:t>
      </w:r>
      <w:r>
        <w:rPr>
          <w:rFonts w:hint="eastAsia" w:ascii="Times New Roman" w:hAnsi="Times New Roman" w:eastAsia="等线" w:cs="Times New Roman"/>
          <w:color w:val="000000"/>
          <w:sz w:val="24"/>
          <w:szCs w:val="24"/>
        </w:rPr>
        <w:t>huangjielin2021</w:t>
      </w:r>
      <w:r>
        <w:rPr>
          <w:rFonts w:ascii="Times New Roman" w:hAnsi="Times New Roman" w:eastAsia="等线" w:cs="Times New Roman"/>
          <w:color w:val="000000"/>
          <w:sz w:val="24"/>
          <w:szCs w:val="24"/>
        </w:rPr>
        <w:t>@</w:t>
      </w:r>
      <w:r>
        <w:rPr>
          <w:rFonts w:hint="eastAsia" w:ascii="Times New Roman" w:hAnsi="Times New Roman" w:eastAsia="等线" w:cs="Times New Roman"/>
          <w:color w:val="000000"/>
          <w:sz w:val="24"/>
          <w:szCs w:val="24"/>
        </w:rPr>
        <w:t>ipe</w:t>
      </w:r>
      <w:r>
        <w:rPr>
          <w:rFonts w:ascii="Times New Roman" w:hAnsi="Times New Roman" w:eastAsia="等线" w:cs="Times New Roman"/>
          <w:color w:val="000000"/>
          <w:sz w:val="24"/>
          <w:szCs w:val="24"/>
        </w:rPr>
        <w:t>.</w:t>
      </w:r>
      <w:r>
        <w:rPr>
          <w:rFonts w:hint="eastAsia" w:ascii="Times New Roman" w:hAnsi="Times New Roman" w:eastAsia="等线" w:cs="Times New Roman"/>
          <w:color w:val="000000"/>
          <w:sz w:val="24"/>
          <w:szCs w:val="24"/>
        </w:rPr>
        <w:t>ac</w:t>
      </w:r>
      <w:r>
        <w:rPr>
          <w:rFonts w:ascii="Times New Roman" w:hAnsi="Times New Roman" w:eastAsia="等线" w:cs="Times New Roman"/>
          <w:color w:val="000000"/>
          <w:sz w:val="24"/>
          <w:szCs w:val="24"/>
        </w:rPr>
        <w:t>.cn (</w:t>
      </w:r>
      <w:r>
        <w:rPr>
          <w:rFonts w:hint="eastAsia" w:ascii="Times New Roman" w:hAnsi="Times New Roman" w:eastAsia="等线" w:cs="Times New Roman"/>
          <w:color w:val="000000"/>
          <w:sz w:val="24"/>
          <w:szCs w:val="24"/>
        </w:rPr>
        <w:t>J</w:t>
      </w:r>
      <w:r>
        <w:rPr>
          <w:rFonts w:ascii="Times New Roman" w:hAnsi="Times New Roman" w:eastAsia="等线" w:cs="Times New Roman"/>
          <w:color w:val="000000"/>
          <w:sz w:val="24"/>
          <w:szCs w:val="24"/>
        </w:rPr>
        <w:t xml:space="preserve">. </w:t>
      </w:r>
      <w:r>
        <w:rPr>
          <w:rFonts w:hint="eastAsia" w:ascii="Times New Roman" w:hAnsi="Times New Roman" w:eastAsia="等线" w:cs="Times New Roman"/>
          <w:color w:val="000000"/>
          <w:sz w:val="24"/>
          <w:szCs w:val="24"/>
        </w:rPr>
        <w:t>Hu</w:t>
      </w:r>
      <w:r>
        <w:rPr>
          <w:rFonts w:ascii="Times New Roman" w:hAnsi="Times New Roman" w:eastAsia="等线" w:cs="Times New Roman"/>
          <w:color w:val="000000"/>
          <w:sz w:val="24"/>
          <w:szCs w:val="24"/>
        </w:rPr>
        <w:t>ang)</w:t>
      </w:r>
      <w:r>
        <w:rPr>
          <w:rFonts w:hint="eastAsia" w:ascii="Times New Roman" w:hAnsi="Times New Roman" w:eastAsia="等线" w:cs="Times New Roman"/>
          <w:color w:val="000000"/>
          <w:sz w:val="24"/>
          <w:szCs w:val="24"/>
          <w:lang w:val="en-US" w:eastAsia="zh-CN"/>
        </w:rPr>
        <w:t>;</w:t>
      </w:r>
      <w:r>
        <w:rPr>
          <w:rFonts w:ascii="Times New Roman" w:hAnsi="Times New Roman" w:eastAsia="等线" w:cs="Times New Roman"/>
          <w:color w:val="000000"/>
          <w:sz w:val="24"/>
          <w:szCs w:val="24"/>
        </w:rPr>
        <w:t xml:space="preserve"> ldong@ipe.ac.cn (L. Dong)</w:t>
      </w:r>
      <w:r>
        <w:rPr>
          <w:rFonts w:hint="eastAsia" w:ascii="Times New Roman" w:hAnsi="Times New Roman" w:eastAsia="等线" w:cs="Times New Roman"/>
          <w:color w:val="000000"/>
          <w:sz w:val="24"/>
          <w:szCs w:val="24"/>
          <w:lang w:val="en-US" w:eastAsia="zh-CN"/>
        </w:rPr>
        <w:t>;</w:t>
      </w:r>
      <w:r>
        <w:rPr>
          <w:rFonts w:ascii="Times New Roman" w:hAnsi="Times New Roman" w:eastAsia="等线" w:cs="Times New Roman"/>
          <w:color w:val="FF0000"/>
          <w:sz w:val="24"/>
          <w:szCs w:val="24"/>
        </w:rPr>
        <w:t xml:space="preserve"> </w:t>
      </w:r>
      <w:r>
        <w:fldChar w:fldCharType="begin"/>
      </w:r>
      <w:r>
        <w:instrText xml:space="preserve"> HYPERLINK "mailto:zhangtf@sdust.edu.cn" </w:instrText>
      </w:r>
      <w:r>
        <w:fldChar w:fldCharType="separate"/>
      </w:r>
      <w:r>
        <w:rPr>
          <w:rFonts w:hint="eastAsia" w:ascii="Times New Roman" w:hAnsi="Times New Roman" w:eastAsia="等线" w:cs="Times New Roman"/>
          <w:color w:val="000000"/>
          <w:sz w:val="24"/>
          <w:szCs w:val="24"/>
        </w:rPr>
        <w:t>zhangtf@sdust.edu.cn</w:t>
      </w:r>
      <w:r>
        <w:rPr>
          <w:rFonts w:hint="eastAsia" w:ascii="Times New Roman" w:hAnsi="Times New Roman" w:eastAsia="等线" w:cs="Times New Roman"/>
          <w:color w:val="000000"/>
          <w:sz w:val="24"/>
          <w:szCs w:val="24"/>
        </w:rPr>
        <w:fldChar w:fldCharType="end"/>
      </w:r>
      <w:r>
        <w:rPr>
          <w:rFonts w:hint="eastAsia" w:ascii="Times New Roman" w:hAnsi="Times New Roman" w:eastAsia="等线" w:cs="Times New Roman"/>
          <w:color w:val="000000"/>
          <w:sz w:val="24"/>
          <w:szCs w:val="24"/>
        </w:rPr>
        <w:t xml:space="preserve"> (T. Zhang)</w:t>
      </w:r>
      <w:r>
        <w:rPr>
          <w:rFonts w:hint="eastAsia" w:ascii="Times New Roman" w:hAnsi="Times New Roman" w:eastAsia="等线" w:cs="Times New Roman"/>
          <w:color w:val="000000"/>
          <w:sz w:val="24"/>
          <w:szCs w:val="24"/>
          <w:lang w:val="en-US" w:eastAsia="zh-CN"/>
        </w:rPr>
        <w:t>;</w:t>
      </w:r>
      <w:r>
        <w:rPr>
          <w:rFonts w:hint="eastAsia" w:ascii="Times New Roman" w:hAnsi="Times New Roman" w:eastAsia="等线" w:cs="Times New Roman"/>
          <w:color w:val="FF0000"/>
          <w:sz w:val="24"/>
          <w:szCs w:val="24"/>
        </w:rPr>
        <w:t xml:space="preserve"> </w:t>
      </w:r>
      <w:r>
        <w:rPr>
          <w:rFonts w:hint="eastAsia" w:ascii="Times New Roman" w:hAnsi="Times New Roman" w:eastAsia="等线" w:cs="Times New Roman"/>
          <w:iCs/>
          <w:color w:val="000000"/>
          <w:kern w:val="0"/>
          <w:sz w:val="24"/>
          <w:szCs w:val="24"/>
        </w:rPr>
        <w:t>sjzhang@ipe.ac.cn</w:t>
      </w:r>
      <w:r>
        <w:rPr>
          <w:rFonts w:ascii="Times New Roman" w:hAnsi="Times New Roman" w:eastAsia="等线" w:cs="Times New Roman"/>
          <w:color w:val="000000"/>
          <w:sz w:val="24"/>
          <w:szCs w:val="24"/>
        </w:rPr>
        <w:t xml:space="preserve"> (</w:t>
      </w:r>
      <w:r>
        <w:rPr>
          <w:rFonts w:hint="eastAsia" w:ascii="Times New Roman" w:hAnsi="Times New Roman" w:eastAsia="等线" w:cs="Times New Roman"/>
          <w:color w:val="000000"/>
          <w:sz w:val="24"/>
          <w:szCs w:val="24"/>
        </w:rPr>
        <w:t>S</w:t>
      </w:r>
      <w:r>
        <w:rPr>
          <w:rFonts w:ascii="Times New Roman" w:hAnsi="Times New Roman" w:eastAsia="等线" w:cs="Times New Roman"/>
          <w:color w:val="000000"/>
          <w:sz w:val="24"/>
          <w:szCs w:val="24"/>
        </w:rPr>
        <w:t>. Zh</w:t>
      </w:r>
      <w:r>
        <w:rPr>
          <w:rFonts w:hint="eastAsia" w:ascii="Times New Roman" w:hAnsi="Times New Roman" w:eastAsia="等线" w:cs="Times New Roman"/>
          <w:color w:val="000000"/>
          <w:sz w:val="24"/>
          <w:szCs w:val="24"/>
        </w:rPr>
        <w:t>a</w:t>
      </w:r>
      <w:r>
        <w:rPr>
          <w:rFonts w:ascii="Times New Roman" w:hAnsi="Times New Roman" w:eastAsia="等线" w:cs="Times New Roman"/>
          <w:color w:val="000000"/>
          <w:sz w:val="24"/>
          <w:szCs w:val="24"/>
        </w:rPr>
        <w:t>ng)</w:t>
      </w:r>
      <w:bookmarkEnd w:id="0"/>
      <w:r>
        <w:rPr>
          <w:rFonts w:hint="eastAsia" w:ascii="Times New Roman" w:hAnsi="Times New Roman" w:eastAsia="等线" w:cs="Times New Roman"/>
          <w:color w:val="000000"/>
          <w:sz w:val="24"/>
          <w:szCs w:val="24"/>
        </w:rPr>
        <w:t>.</w:t>
      </w:r>
      <w:bookmarkEnd w:id="1"/>
    </w:p>
    <w:bookmarkEnd w:id="2"/>
    <w:p w14:paraId="63D839D9">
      <w:pPr>
        <w:spacing w:line="360" w:lineRule="auto"/>
        <w:rPr>
          <w:rFonts w:ascii="Times New Roman" w:hAnsi="Times New Roman" w:eastAsia="宋体" w:cs="Times New Roman"/>
          <w:sz w:val="24"/>
          <w:szCs w:val="24"/>
        </w:rPr>
      </w:pPr>
    </w:p>
    <w:p w14:paraId="79301C0F">
      <w:pPr>
        <w:spacing w:line="360" w:lineRule="auto"/>
        <w:rPr>
          <w:rFonts w:ascii="Times New Roman" w:hAnsi="Times New Roman" w:eastAsia="宋体" w:cs="Times New Roman"/>
          <w:sz w:val="24"/>
          <w:szCs w:val="24"/>
        </w:rPr>
      </w:pPr>
    </w:p>
    <w:p w14:paraId="45B170A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433C4ED3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Supplementary Methods</w:t>
      </w:r>
    </w:p>
    <w:p w14:paraId="7BA8D468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</w:rPr>
        <w:t>Theoretical calculations</w:t>
      </w:r>
    </w:p>
    <w:p w14:paraId="16E99F3B">
      <w:pPr>
        <w:pStyle w:val="39"/>
        <w:adjustRightInd w:val="0"/>
        <w:snapToGrid w:val="0"/>
        <w:spacing w:line="360" w:lineRule="auto"/>
        <w:ind w:firstLine="480" w:firstLineChars="200"/>
        <w:rPr>
          <w:rFonts w:ascii="Times New Roman" w:hAnsi="Times New Roman" w:eastAsia="宋体"/>
          <w:szCs w:val="24"/>
        </w:rPr>
      </w:pPr>
      <w:r>
        <w:rPr>
          <w:rFonts w:ascii="Times New Roman" w:hAnsi="Times New Roman"/>
          <w:szCs w:val="24"/>
        </w:rPr>
        <w:t>All calculations were performed using the density functional theory (DFT) technique using the Vienna ab initio simulation package (VASP). Spin-polarized calculations were performed using the generalized gradient approximation (GGA) combined with the Perdew</w:t>
      </w:r>
      <w:r>
        <w:rPr>
          <w:rFonts w:hint="eastAsia" w:ascii="Times New Roman" w:hAnsi="Times New Roman"/>
          <w:szCs w:val="24"/>
          <w:lang w:eastAsia="zh-CN"/>
        </w:rPr>
        <w:t>-</w:t>
      </w:r>
      <w:r>
        <w:rPr>
          <w:rFonts w:ascii="Times New Roman" w:hAnsi="Times New Roman"/>
          <w:szCs w:val="24"/>
        </w:rPr>
        <w:t>Burke</w:t>
      </w:r>
      <w:r>
        <w:rPr>
          <w:rFonts w:hint="eastAsia" w:ascii="Times New Roman" w:hAnsi="Times New Roman"/>
          <w:szCs w:val="24"/>
          <w:lang w:eastAsia="zh-CN"/>
        </w:rPr>
        <w:t>-</w:t>
      </w:r>
      <w:r>
        <w:rPr>
          <w:rFonts w:ascii="Times New Roman" w:hAnsi="Times New Roman"/>
          <w:szCs w:val="24"/>
        </w:rPr>
        <w:t>Ernzerhof (PBE) method to determine the exchange and correlation energies. The projector-augmented wave (PAW) method was used to represent the core–valence electron interactions.</w:t>
      </w:r>
      <w:r>
        <w:rPr>
          <w:rFonts w:ascii="Times New Roman" w:hAnsi="Times New Roman"/>
          <w:szCs w:val="24"/>
          <w:lang w:eastAsia="zh-CN"/>
        </w:rPr>
        <w:t xml:space="preserve"> </w:t>
      </w:r>
      <w:r>
        <w:rPr>
          <w:rFonts w:ascii="Times New Roman" w:hAnsi="Times New Roman"/>
          <w:szCs w:val="24"/>
        </w:rPr>
        <w:t>For geometry optimization calculations, forces were converged below 0.03 eV/Å. The SCF convergence energy was 1 × 10</w:t>
      </w:r>
      <w:r>
        <w:rPr>
          <w:rFonts w:hint="eastAsia" w:ascii="Times New Roman" w:hAnsi="Times New Roman"/>
          <w:szCs w:val="24"/>
          <w:vertAlign w:val="superscript"/>
          <w:lang w:eastAsia="zh-CN"/>
        </w:rPr>
        <w:t>-4</w:t>
      </w:r>
      <w:r>
        <w:rPr>
          <w:rFonts w:ascii="Times New Roman" w:hAnsi="Times New Roman"/>
          <w:szCs w:val="24"/>
          <w:lang w:eastAsia="zh-CN"/>
        </w:rPr>
        <w:t>eV</w:t>
      </w:r>
      <w:r>
        <w:rPr>
          <w:rFonts w:ascii="Times New Roman" w:hAnsi="Times New Roman"/>
          <w:szCs w:val="24"/>
        </w:rPr>
        <w:t xml:space="preserve">. A </w:t>
      </w:r>
      <w:r>
        <w:rPr>
          <w:rFonts w:ascii="Times New Roman" w:hAnsi="Times New Roman"/>
          <w:szCs w:val="24"/>
          <w:lang w:eastAsia="zh-CN"/>
        </w:rPr>
        <w:t>2</w:t>
      </w:r>
      <w:r>
        <w:rPr>
          <w:rFonts w:ascii="Times New Roman" w:hAnsi="Times New Roman"/>
          <w:szCs w:val="24"/>
        </w:rPr>
        <w:t xml:space="preserve"> × </w:t>
      </w:r>
      <w:r>
        <w:rPr>
          <w:rFonts w:ascii="Times New Roman" w:hAnsi="Times New Roman"/>
          <w:szCs w:val="24"/>
          <w:lang w:eastAsia="zh-CN"/>
        </w:rPr>
        <w:t>2</w:t>
      </w:r>
      <w:r>
        <w:rPr>
          <w:rFonts w:ascii="Times New Roman" w:hAnsi="Times New Roman"/>
          <w:szCs w:val="24"/>
        </w:rPr>
        <w:t xml:space="preserve"> × 1 k-point mesh was used to perform all the calculations.</w:t>
      </w:r>
    </w:p>
    <w:p w14:paraId="1B8E613E">
      <w:pPr>
        <w:pStyle w:val="39"/>
        <w:adjustRightInd w:val="0"/>
        <w:snapToGrid w:val="0"/>
        <w:spacing w:line="360" w:lineRule="auto"/>
        <w:ind w:firstLine="480" w:firstLineChars="200"/>
        <w:rPr>
          <w:rFonts w:ascii="Times New Roman" w:hAnsi="Times New Roman" w:eastAsia="宋体"/>
          <w:szCs w:val="24"/>
          <w:lang w:eastAsia="zh-CN"/>
        </w:rPr>
      </w:pPr>
      <w:r>
        <w:rPr>
          <w:rFonts w:ascii="Times New Roman" w:hAnsi="Times New Roman" w:eastAsia="宋体"/>
          <w:szCs w:val="24"/>
          <w:lang w:eastAsia="zh-CN"/>
        </w:rPr>
        <w:t xml:space="preserve">One layer graphene was constructed </w:t>
      </w:r>
      <w:r>
        <w:rPr>
          <w:rFonts w:ascii="Times New Roman" w:hAnsi="Times New Roman"/>
          <w:szCs w:val="24"/>
          <w:lang w:eastAsia="zh-CN"/>
        </w:rPr>
        <w:t xml:space="preserve">for </w:t>
      </w:r>
      <w:r>
        <w:rPr>
          <w:rFonts w:ascii="Times New Roman" w:hAnsi="Times New Roman"/>
          <w:szCs w:val="24"/>
        </w:rPr>
        <w:t>calculat</w:t>
      </w:r>
      <w:r>
        <w:rPr>
          <w:rFonts w:ascii="Times New Roman" w:hAnsi="Times New Roman"/>
          <w:szCs w:val="24"/>
          <w:lang w:eastAsia="zh-CN"/>
        </w:rPr>
        <w:t>ing</w:t>
      </w:r>
      <w:r>
        <w:rPr>
          <w:rFonts w:ascii="Times New Roman" w:hAnsi="Times New Roman"/>
          <w:szCs w:val="24"/>
        </w:rPr>
        <w:t xml:space="preserve"> the adsorption energies and Gibbs free energies.</w:t>
      </w:r>
      <w:r>
        <w:rPr>
          <w:rFonts w:ascii="Times New Roman" w:hAnsi="Times New Roman"/>
          <w:szCs w:val="24"/>
          <w:lang w:eastAsia="zh-CN"/>
        </w:rPr>
        <w:t xml:space="preserve"> A small LaO structure with two La atoms and two O atoms were placed on the surface of graphene for building the La</w:t>
      </w:r>
      <w:r>
        <w:rPr>
          <w:rFonts w:hint="eastAsia" w:ascii="Times New Roman" w:hAnsi="Times New Roman"/>
          <w:szCs w:val="24"/>
          <w:lang w:eastAsia="zh-CN"/>
        </w:rPr>
        <w:t>-</w:t>
      </w:r>
      <w:r>
        <w:rPr>
          <w:rFonts w:ascii="Times New Roman" w:hAnsi="Times New Roman"/>
          <w:szCs w:val="24"/>
          <w:lang w:eastAsia="zh-CN"/>
        </w:rPr>
        <w:t>CN sample. As a comparison, 21 N atoms was moved out from the graphene to build the La</w:t>
      </w:r>
      <w:r>
        <w:rPr>
          <w:rFonts w:hint="eastAsia" w:ascii="Times New Roman" w:hAnsi="Times New Roman"/>
          <w:szCs w:val="24"/>
          <w:lang w:eastAsia="zh-CN"/>
        </w:rPr>
        <w:t>-</w:t>
      </w:r>
      <w:r>
        <w:rPr>
          <w:rFonts w:ascii="Times New Roman" w:hAnsi="Times New Roman"/>
          <w:szCs w:val="24"/>
          <w:lang w:eastAsia="zh-CN"/>
        </w:rPr>
        <w:t>CN</w:t>
      </w:r>
      <w:r>
        <w:rPr>
          <w:rFonts w:hint="eastAsia" w:ascii="Times New Roman" w:hAnsi="Times New Roman"/>
          <w:szCs w:val="24"/>
          <w:lang w:eastAsia="zh-CN"/>
        </w:rPr>
        <w:t>-2IL</w:t>
      </w:r>
      <w:r>
        <w:rPr>
          <w:rFonts w:ascii="Times New Roman" w:hAnsi="Times New Roman"/>
          <w:szCs w:val="24"/>
          <w:lang w:eastAsia="zh-CN"/>
        </w:rPr>
        <w:t xml:space="preserve"> structure, in order to construct a </w:t>
      </w:r>
      <w:r>
        <w:rPr>
          <w:rFonts w:hint="eastAsia" w:ascii="Times New Roman" w:hAnsi="Times New Roman"/>
          <w:szCs w:val="24"/>
          <w:lang w:eastAsia="zh-CN"/>
        </w:rPr>
        <w:t>g-</w:t>
      </w:r>
      <w:r>
        <w:rPr>
          <w:rFonts w:ascii="Times New Roman" w:hAnsi="Times New Roman"/>
          <w:szCs w:val="24"/>
          <w:lang w:eastAsia="zh-CN"/>
        </w:rPr>
        <w:t>C</w:t>
      </w:r>
      <w:r>
        <w:rPr>
          <w:rFonts w:ascii="Times New Roman" w:hAnsi="Times New Roman"/>
          <w:szCs w:val="24"/>
          <w:vertAlign w:val="subscript"/>
          <w:lang w:eastAsia="zh-CN"/>
        </w:rPr>
        <w:t>3</w:t>
      </w:r>
      <w:r>
        <w:rPr>
          <w:rFonts w:ascii="Times New Roman" w:hAnsi="Times New Roman"/>
          <w:szCs w:val="24"/>
          <w:lang w:eastAsia="zh-CN"/>
        </w:rPr>
        <w:t>N</w:t>
      </w:r>
      <w:r>
        <w:rPr>
          <w:rFonts w:ascii="Times New Roman" w:hAnsi="Times New Roman"/>
          <w:szCs w:val="24"/>
          <w:vertAlign w:val="subscript"/>
          <w:lang w:eastAsia="zh-CN"/>
        </w:rPr>
        <w:t>4</w:t>
      </w:r>
      <w:r>
        <w:rPr>
          <w:rFonts w:ascii="Times New Roman" w:hAnsi="Times New Roman"/>
          <w:szCs w:val="24"/>
          <w:lang w:eastAsia="zh-CN"/>
        </w:rPr>
        <w:t xml:space="preserve"> structure that is more amorphous. Also, a small LaO structure with two La atoms and two O atoms were placed on the surface of graphene for building the La</w:t>
      </w:r>
      <w:r>
        <w:rPr>
          <w:rFonts w:hint="eastAsia" w:ascii="Times New Roman" w:hAnsi="Times New Roman"/>
          <w:szCs w:val="24"/>
          <w:lang w:eastAsia="zh-CN"/>
        </w:rPr>
        <w:t>-</w:t>
      </w:r>
      <w:r>
        <w:rPr>
          <w:rFonts w:ascii="Times New Roman" w:hAnsi="Times New Roman"/>
          <w:szCs w:val="24"/>
          <w:lang w:eastAsia="zh-CN"/>
        </w:rPr>
        <w:t>CN</w:t>
      </w:r>
      <w:r>
        <w:rPr>
          <w:rFonts w:hint="eastAsia" w:ascii="Times New Roman" w:hAnsi="Times New Roman"/>
          <w:szCs w:val="24"/>
          <w:lang w:eastAsia="zh-CN"/>
        </w:rPr>
        <w:t>-2IL</w:t>
      </w:r>
      <w:r>
        <w:rPr>
          <w:rFonts w:ascii="Times New Roman" w:hAnsi="Times New Roman"/>
          <w:szCs w:val="24"/>
          <w:lang w:eastAsia="zh-CN"/>
        </w:rPr>
        <w:t xml:space="preserve"> sample. For each, a</w:t>
      </w:r>
      <w:r>
        <w:rPr>
          <w:rFonts w:ascii="Times New Roman" w:hAnsi="Times New Roman"/>
          <w:szCs w:val="24"/>
        </w:rPr>
        <w:t xml:space="preserve"> vacuum of 15</w:t>
      </w:r>
      <w:r>
        <w:rPr>
          <w:rFonts w:ascii="Times New Roman" w:hAnsi="Times New Roman" w:eastAsia="宋体"/>
          <w:szCs w:val="24"/>
        </w:rPr>
        <w:t xml:space="preserve"> Å was used to simulate the surface under periodic boundary conditions. </w:t>
      </w:r>
    </w:p>
    <w:p w14:paraId="0D046C77">
      <w:pPr>
        <w:pStyle w:val="39"/>
        <w:adjustRightInd w:val="0"/>
        <w:snapToGrid w:val="0"/>
        <w:spacing w:line="360" w:lineRule="auto"/>
        <w:ind w:firstLine="480" w:firstLineChars="200"/>
        <w:rPr>
          <w:rFonts w:ascii="Times New Roman" w:hAnsi="Times New Roman" w:eastAsia="宋体"/>
          <w:szCs w:val="24"/>
        </w:rPr>
      </w:pPr>
      <w:r>
        <w:rPr>
          <w:rFonts w:ascii="Times New Roman" w:hAnsi="Times New Roman" w:eastAsia="宋体"/>
          <w:szCs w:val="24"/>
        </w:rPr>
        <w:t>The adsorption energy (E</w:t>
      </w:r>
      <w:r>
        <w:rPr>
          <w:rFonts w:ascii="Times New Roman" w:hAnsi="Times New Roman" w:eastAsia="宋体"/>
          <w:szCs w:val="24"/>
          <w:vertAlign w:val="subscript"/>
        </w:rPr>
        <w:t>ads</w:t>
      </w:r>
      <w:r>
        <w:rPr>
          <w:rFonts w:ascii="Times New Roman" w:hAnsi="Times New Roman" w:eastAsia="宋体"/>
          <w:szCs w:val="24"/>
        </w:rPr>
        <w:t xml:space="preserve">) of the </w:t>
      </w:r>
      <w:r>
        <w:rPr>
          <w:rFonts w:ascii="Times New Roman" w:hAnsi="Times New Roman" w:eastAsia="宋体"/>
          <w:szCs w:val="24"/>
          <w:lang w:eastAsia="zh-CN"/>
        </w:rPr>
        <w:t>urea</w:t>
      </w:r>
      <w:r>
        <w:rPr>
          <w:rFonts w:ascii="Times New Roman" w:hAnsi="Times New Roman" w:eastAsia="宋体"/>
          <w:szCs w:val="24"/>
        </w:rPr>
        <w:t xml:space="preserve"> and the other molecule on the surface was calculated as follows (eq 1):</w:t>
      </w:r>
    </w:p>
    <w:p w14:paraId="58E2759B">
      <w:pPr>
        <w:pStyle w:val="39"/>
        <w:adjustRightInd w:val="0"/>
        <w:snapToGrid w:val="0"/>
        <w:spacing w:line="360" w:lineRule="auto"/>
        <w:ind w:firstLine="0"/>
        <w:jc w:val="center"/>
        <w:rPr>
          <w:rFonts w:ascii="Times New Roman" w:hAnsi="Times New Roman" w:eastAsia="宋体"/>
          <w:szCs w:val="24"/>
          <w:lang w:eastAsia="zh-CN"/>
        </w:rPr>
      </w:pPr>
      <w:r>
        <w:rPr>
          <w:rFonts w:hint="eastAsia" w:ascii="Times New Roman" w:hAnsi="Times New Roman" w:eastAsia="宋体"/>
          <w:szCs w:val="24"/>
          <w:lang w:eastAsia="zh-CN"/>
        </w:rPr>
        <w:t xml:space="preserve">     </w:t>
      </w:r>
      <w:r>
        <w:rPr>
          <w:rFonts w:hint="eastAsia" w:ascii="Times New Roman" w:hAnsi="Times New Roman" w:eastAsia="宋体"/>
          <w:i/>
          <w:iCs/>
          <w:szCs w:val="24"/>
          <w:lang w:eastAsia="zh-CN"/>
        </w:rPr>
        <w:t>E</w:t>
      </w:r>
      <w:r>
        <w:rPr>
          <w:rFonts w:hint="eastAsia" w:ascii="Times New Roman" w:hAnsi="Times New Roman" w:eastAsia="宋体"/>
          <w:szCs w:val="24"/>
          <w:vertAlign w:val="subscript"/>
          <w:lang w:eastAsia="zh-CN"/>
        </w:rPr>
        <w:t>ads</w:t>
      </w:r>
      <w:r>
        <w:rPr>
          <w:rFonts w:hint="eastAsia" w:ascii="Times New Roman" w:hAnsi="Times New Roman" w:eastAsia="宋体"/>
          <w:szCs w:val="24"/>
          <w:lang w:eastAsia="zh-CN"/>
        </w:rPr>
        <w:t>=</w:t>
      </w:r>
      <w:r>
        <w:rPr>
          <w:rFonts w:hint="eastAsia" w:ascii="Times New Roman" w:hAnsi="Times New Roman" w:eastAsia="宋体"/>
          <w:i/>
          <w:iCs/>
          <w:szCs w:val="24"/>
          <w:lang w:eastAsia="zh-CN"/>
        </w:rPr>
        <w:t>E</w:t>
      </w:r>
      <w:r>
        <w:rPr>
          <w:rFonts w:hint="eastAsia" w:ascii="Times New Roman" w:hAnsi="Times New Roman" w:eastAsia="宋体"/>
          <w:szCs w:val="24"/>
          <w:vertAlign w:val="subscript"/>
          <w:lang w:eastAsia="zh-CN"/>
        </w:rPr>
        <w:t>adsorbate+surface</w:t>
      </w:r>
      <m:oMath>
        <m:r>
          <m:rPr>
            <m:sty m:val="p"/>
          </m:rPr>
          <w:rPr>
            <w:rFonts w:ascii="Cambria Math" w:hAnsi="Cambria Math"/>
            <w:szCs w:val="24"/>
          </w:rPr>
          <m:t>−</m:t>
        </m:r>
      </m:oMath>
      <w:r>
        <w:rPr>
          <w:rFonts w:hint="eastAsia" w:ascii="Times New Roman" w:hAnsi="Times New Roman" w:eastAsia="宋体"/>
          <w:i/>
          <w:iCs/>
          <w:szCs w:val="24"/>
          <w:lang w:eastAsia="zh-CN"/>
        </w:rPr>
        <w:t>E</w:t>
      </w:r>
      <w:r>
        <w:rPr>
          <w:rFonts w:hint="eastAsia" w:ascii="Times New Roman" w:hAnsi="Times New Roman" w:eastAsia="宋体"/>
          <w:szCs w:val="24"/>
          <w:vertAlign w:val="subscript"/>
          <w:lang w:eastAsia="zh-CN"/>
        </w:rPr>
        <w:t>surface</w:t>
      </w:r>
      <m:oMath>
        <m:r>
          <m:rPr>
            <m:sty m:val="p"/>
          </m:rPr>
          <w:rPr>
            <w:rFonts w:ascii="Cambria Math" w:hAnsi="Cambria Math"/>
            <w:szCs w:val="24"/>
          </w:rPr>
          <m:t>−</m:t>
        </m:r>
      </m:oMath>
      <w:r>
        <w:rPr>
          <w:rFonts w:hint="eastAsia" w:ascii="Times New Roman" w:hAnsi="Times New Roman" w:eastAsia="宋体"/>
          <w:i/>
          <w:iCs/>
          <w:szCs w:val="24"/>
          <w:lang w:eastAsia="zh-CN"/>
        </w:rPr>
        <w:t>E</w:t>
      </w:r>
      <w:r>
        <w:rPr>
          <w:rFonts w:hint="eastAsia" w:ascii="Times New Roman" w:hAnsi="Times New Roman" w:eastAsia="宋体"/>
          <w:szCs w:val="24"/>
          <w:vertAlign w:val="subscript"/>
          <w:lang w:eastAsia="zh-CN"/>
        </w:rPr>
        <w:t>gas</w:t>
      </w:r>
      <w:r>
        <w:rPr>
          <w:rFonts w:ascii="Times New Roman" w:hAnsi="Times New Roman" w:eastAsia="宋体"/>
          <w:szCs w:val="24"/>
          <w:vertAlign w:val="subscript"/>
          <w:lang w:eastAsia="zh-CN"/>
        </w:rPr>
        <w:t>’</w:t>
      </w:r>
      <w:r>
        <w:rPr>
          <w:rFonts w:hint="eastAsia" w:ascii="Times New Roman" w:hAnsi="Times New Roman" w:eastAsia="宋体"/>
          <w:szCs w:val="24"/>
          <w:vertAlign w:val="subscript"/>
          <w:lang w:eastAsia="zh-CN"/>
        </w:rPr>
        <w:t xml:space="preserve">                           </w:t>
      </w:r>
      <w:r>
        <w:rPr>
          <w:rFonts w:hint="eastAsia" w:ascii="Times New Roman" w:hAnsi="Times New Roman" w:eastAsia="宋体"/>
          <w:szCs w:val="24"/>
          <w:lang w:eastAsia="zh-CN"/>
        </w:rPr>
        <w:t>(1)</w:t>
      </w:r>
    </w:p>
    <w:p w14:paraId="02C69D78">
      <w:pPr>
        <w:adjustRightInd w:val="0"/>
        <w:snapToGrid w:val="0"/>
        <w:spacing w:line="360" w:lineRule="auto"/>
        <w:ind w:firstLine="480" w:firstLineChars="200"/>
        <w:rPr>
          <w:rFonts w:ascii="Times New Roman" w:hAnsi="Times New Roman" w:eastAsia="宋体" w:cs="Times New Roman"/>
          <w:color w:val="000000" w:themeColor="text1"/>
          <w:sz w:val="24"/>
          <w:szCs w:val="24"/>
          <w:lang w:val="en-GB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宋体" w:cs="Times New Roman"/>
          <w:color w:val="000000" w:themeColor="text1"/>
          <w:sz w:val="24"/>
          <w:szCs w:val="24"/>
          <w:lang w:val="en-GB"/>
          <w14:textFill>
            <w14:solidFill>
              <w14:schemeClr w14:val="tx1"/>
            </w14:solidFill>
          </w14:textFill>
        </w:rPr>
        <w:t>According to the definition of ΔG [1-3],</w:t>
      </w:r>
    </w:p>
    <w:p w14:paraId="1893B620">
      <w:pPr>
        <w:adjustRightInd w:val="0"/>
        <w:snapToGrid w:val="0"/>
        <w:spacing w:line="360" w:lineRule="auto"/>
        <w:ind w:firstLine="1560" w:firstLineChars="650"/>
        <w:rPr>
          <w:rFonts w:ascii="Times New Roman" w:hAnsi="Times New Roman" w:eastAsia="宋体" w:cs="Times New Roman"/>
          <w:color w:val="000000" w:themeColor="text1"/>
          <w:sz w:val="24"/>
          <w:szCs w:val="24"/>
          <w:lang w:val="en-GB"/>
          <w14:textFill>
            <w14:solidFill>
              <w14:schemeClr w14:val="tx1"/>
            </w14:solidFill>
          </w14:textFill>
        </w:rPr>
      </w:pPr>
      <w:r>
        <w:rPr>
          <w:rFonts w:ascii="Cambria Math" w:hAnsi="Cambria Math" w:eastAsia="宋体" w:cs="Times New Roman"/>
          <w:color w:val="000000" w:themeColor="text1"/>
          <w:sz w:val="24"/>
          <w:szCs w:val="24"/>
          <w:lang w:val="en-GB"/>
          <w14:textFill>
            <w14:solidFill>
              <w14:schemeClr w14:val="tx1"/>
            </w14:solidFill>
          </w14:textFill>
        </w:rPr>
        <w:t>∆</w:t>
      </w:r>
      <w:r>
        <w:rPr>
          <w:rFonts w:hint="eastAsia" w:ascii="Times New Roman" w:hAnsi="Times New Roman" w:eastAsia="宋体" w:cs="Times New Roman"/>
          <w:i/>
          <w:iCs/>
          <w:color w:val="000000" w:themeColor="text1"/>
          <w:sz w:val="24"/>
          <w:szCs w:val="24"/>
          <w:lang w:val="en-GB"/>
          <w14:textFill>
            <w14:solidFill>
              <w14:schemeClr w14:val="tx1"/>
            </w14:solidFill>
          </w14:textFill>
        </w:rPr>
        <w:t>G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lang w:val="en-GB"/>
          <w14:textFill>
            <w14:solidFill>
              <w14:schemeClr w14:val="tx1"/>
            </w14:solidFill>
          </w14:textFill>
        </w:rPr>
        <w:t>=</w:t>
      </w:r>
      <w:r>
        <w:rPr>
          <w:rFonts w:ascii="Cambria Math" w:hAnsi="Cambria Math" w:eastAsia="宋体" w:cs="Times New Roman"/>
          <w:color w:val="000000" w:themeColor="text1"/>
          <w:sz w:val="24"/>
          <w:szCs w:val="24"/>
          <w:lang w:val="en-GB"/>
          <w14:textFill>
            <w14:solidFill>
              <w14:schemeClr w14:val="tx1"/>
            </w14:solidFill>
          </w14:textFill>
        </w:rPr>
        <w:t>∆</w:t>
      </w:r>
      <w:r>
        <w:rPr>
          <w:rFonts w:hint="eastAsia" w:ascii="Times New Roman" w:hAnsi="Times New Roman" w:eastAsia="宋体" w:cs="Times New Roman"/>
          <w:i/>
          <w:iCs/>
          <w:color w:val="000000" w:themeColor="text1"/>
          <w:sz w:val="24"/>
          <w:szCs w:val="24"/>
          <w:lang w:val="en-GB"/>
          <w14:textFill>
            <w14:solidFill>
              <w14:schemeClr w14:val="tx1"/>
            </w14:solidFill>
          </w14:textFill>
        </w:rPr>
        <w:t xml:space="preserve">E 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lang w:val="en-GB"/>
          <w14:textFill>
            <w14:solidFill>
              <w14:schemeClr w14:val="tx1"/>
            </w14:solidFill>
          </w14:textFill>
        </w:rPr>
        <w:t>+</w:t>
      </w:r>
      <w:r>
        <w:rPr>
          <w:rFonts w:ascii="Cambria Math" w:hAnsi="Cambria Math" w:eastAsia="宋体" w:cs="Times New Roman"/>
          <w:color w:val="000000" w:themeColor="text1"/>
          <w:sz w:val="24"/>
          <w:szCs w:val="24"/>
          <w:lang w:val="en-GB"/>
          <w14:textFill>
            <w14:solidFill>
              <w14:schemeClr w14:val="tx1"/>
            </w14:solidFill>
          </w14:textFill>
        </w:rPr>
        <w:t>∆</w:t>
      </w:r>
      <w:r>
        <w:rPr>
          <w:rFonts w:hint="eastAsia" w:ascii="Times New Roman" w:hAnsi="Times New Roman" w:eastAsia="宋体" w:cs="Times New Roman"/>
          <w:i/>
          <w:iCs/>
          <w:color w:val="000000" w:themeColor="text1"/>
          <w:sz w:val="24"/>
          <w:szCs w:val="24"/>
          <w:lang w:val="en-GB"/>
          <w14:textFill>
            <w14:solidFill>
              <w14:schemeClr w14:val="tx1"/>
            </w14:solidFill>
          </w14:textFill>
        </w:rPr>
        <w:t>E</w:t>
      </w:r>
      <w:r>
        <w:rPr>
          <w:rFonts w:hint="eastAsia" w:ascii="Times New Roman" w:hAnsi="Times New Roman" w:eastAsia="宋体" w:cs="Times New Roman"/>
          <w:i/>
          <w:iCs/>
          <w:color w:val="000000" w:themeColor="text1"/>
          <w:sz w:val="24"/>
          <w:szCs w:val="24"/>
          <w:vertAlign w:val="subscript"/>
          <w:lang w:val="en-GB"/>
          <w14:textFill>
            <w14:solidFill>
              <w14:schemeClr w14:val="tx1"/>
            </w14:solidFill>
          </w14:textFill>
        </w:rPr>
        <w:t>ZPE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−</m:t>
        </m:r>
      </m:oMath>
      <w:r>
        <w:rPr>
          <w:rFonts w:hint="eastAsia" w:ascii="Times New Roman" w:hAnsi="Times New Roman" w:eastAsia="宋体" w:cs="Times New Roman"/>
          <w:i/>
          <w:sz w:val="24"/>
          <w:szCs w:val="24"/>
        </w:rPr>
        <w:t>T</w:t>
      </w:r>
      <w:r>
        <w:rPr>
          <w:rFonts w:ascii="Cambria Math" w:hAnsi="Cambria Math" w:eastAsia="宋体" w:cs="Times New Roman"/>
          <w:color w:val="000000" w:themeColor="text1"/>
          <w:sz w:val="24"/>
          <w:szCs w:val="24"/>
          <w:lang w:val="en-GB"/>
          <w14:textFill>
            <w14:solidFill>
              <w14:schemeClr w14:val="tx1"/>
            </w14:solidFill>
          </w14:textFill>
        </w:rPr>
        <w:t>∆</w:t>
      </w:r>
      <w:r>
        <w:rPr>
          <w:rFonts w:hint="eastAsia" w:ascii="Times New Roman" w:hAnsi="Times New Roman" w:eastAsia="宋体" w:cs="Times New Roman"/>
          <w:i/>
          <w:iCs/>
          <w:color w:val="000000" w:themeColor="text1"/>
          <w:sz w:val="24"/>
          <w:szCs w:val="24"/>
          <w:lang w:val="en-GB"/>
          <w14:textFill>
            <w14:solidFill>
              <w14:schemeClr w14:val="tx1"/>
            </w14:solidFill>
          </w14:textFill>
        </w:rPr>
        <w:t>S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lang w:val="en-GB"/>
          <w14:textFill>
            <w14:solidFill>
              <w14:schemeClr w14:val="tx1"/>
            </w14:solidFill>
          </w14:textFill>
        </w:rPr>
        <w:t>+</w:t>
      </w:r>
      <w:r>
        <w:rPr>
          <w:rFonts w:ascii="Cambria Math" w:hAnsi="Cambria Math" w:eastAsia="宋体" w:cs="Times New Roman"/>
          <w:color w:val="000000" w:themeColor="text1"/>
          <w:sz w:val="24"/>
          <w:szCs w:val="24"/>
          <w:lang w:val="en-GB"/>
          <w14:textFill>
            <w14:solidFill>
              <w14:schemeClr w14:val="tx1"/>
            </w14:solidFill>
          </w14:textFill>
        </w:rPr>
        <w:t>∆</w:t>
      </w:r>
      <w:r>
        <w:rPr>
          <w:rFonts w:hint="eastAsia" w:ascii="Times New Roman" w:hAnsi="Times New Roman" w:eastAsia="宋体" w:cs="Times New Roman"/>
          <w:i/>
          <w:iCs/>
          <w:color w:val="000000" w:themeColor="text1"/>
          <w:sz w:val="24"/>
          <w:szCs w:val="24"/>
          <w:lang w:val="en-GB"/>
          <w14:textFill>
            <w14:solidFill>
              <w14:schemeClr w14:val="tx1"/>
            </w14:solidFill>
          </w14:textFill>
        </w:rPr>
        <w:t>G</w:t>
      </w:r>
      <w:r>
        <w:rPr>
          <w:rFonts w:hint="eastAsia" w:ascii="Times New Roman" w:hAnsi="Times New Roman" w:eastAsia="宋体" w:cs="Times New Roman"/>
          <w:i/>
          <w:iCs/>
          <w:color w:val="000000" w:themeColor="text1"/>
          <w:sz w:val="24"/>
          <w:szCs w:val="24"/>
          <w:vertAlign w:val="subscript"/>
          <w:lang w:val="en-GB"/>
          <w14:textFill>
            <w14:solidFill>
              <w14:schemeClr w14:val="tx1"/>
            </w14:solidFill>
          </w14:textFill>
        </w:rPr>
        <w:t>U</w:t>
      </w:r>
      <w:r>
        <w:rPr>
          <w:rFonts w:hint="eastAsia" w:ascii="Times New Roman" w:hAnsi="Times New Roman" w:eastAsia="宋体" w:cs="Times New Roman"/>
          <w:i/>
          <w:iCs/>
          <w:color w:val="000000" w:themeColor="text1"/>
          <w:sz w:val="24"/>
          <w:szCs w:val="24"/>
          <w:lang w:val="en-GB"/>
          <w14:textFill>
            <w14:solidFill>
              <w14:schemeClr w14:val="tx1"/>
            </w14:solidFill>
          </w14:textFill>
        </w:rPr>
        <w:t>+</w:t>
      </w:r>
      <w:r>
        <w:rPr>
          <w:rFonts w:ascii="Cambria Math" w:hAnsi="Cambria Math" w:eastAsia="宋体" w:cs="Times New Roman"/>
          <w:color w:val="000000" w:themeColor="text1"/>
          <w:sz w:val="24"/>
          <w:szCs w:val="24"/>
          <w:lang w:val="en-GB"/>
          <w14:textFill>
            <w14:solidFill>
              <w14:schemeClr w14:val="tx1"/>
            </w14:solidFill>
          </w14:textFill>
        </w:rPr>
        <w:t>∆</w:t>
      </w:r>
      <w:r>
        <w:rPr>
          <w:rFonts w:hint="eastAsia" w:ascii="Times New Roman" w:hAnsi="Times New Roman" w:eastAsia="宋体" w:cs="Times New Roman"/>
          <w:i/>
          <w:iCs/>
          <w:color w:val="000000" w:themeColor="text1"/>
          <w:sz w:val="24"/>
          <w:szCs w:val="24"/>
          <w:lang w:val="en-GB"/>
          <w14:textFill>
            <w14:solidFill>
              <w14:schemeClr w14:val="tx1"/>
            </w14:solidFill>
          </w14:textFill>
        </w:rPr>
        <w:t>G</w:t>
      </w:r>
      <w:r>
        <w:rPr>
          <w:rFonts w:hint="eastAsia" w:ascii="Times New Roman" w:hAnsi="Times New Roman" w:eastAsia="宋体" w:cs="Times New Roman"/>
          <w:i/>
          <w:iCs/>
          <w:color w:val="000000" w:themeColor="text1"/>
          <w:sz w:val="24"/>
          <w:szCs w:val="24"/>
          <w:vertAlign w:val="subscript"/>
          <w:lang w:val="en-GB"/>
          <w14:textFill>
            <w14:solidFill>
              <w14:schemeClr w14:val="tx1"/>
            </w14:solidFill>
          </w14:textFill>
        </w:rPr>
        <w:t>pH</w:t>
      </w:r>
      <w:r>
        <w:rPr>
          <w:rFonts w:hint="eastAsia" w:ascii="Times New Roman" w:hAnsi="Times New Roman" w:eastAsia="宋体" w:cs="Times New Roman"/>
          <w:i/>
          <w:iCs/>
          <w:color w:val="000000" w:themeColor="text1"/>
          <w:sz w:val="24"/>
          <w:szCs w:val="24"/>
          <w:lang w:val="en-GB"/>
          <w14:textFill>
            <w14:solidFill>
              <w14:schemeClr w14:val="tx1"/>
            </w14:solidFill>
          </w14:textFill>
        </w:rPr>
        <w:t>+</w:t>
      </w:r>
      <w:r>
        <w:rPr>
          <w:rFonts w:ascii="Cambria Math" w:hAnsi="Cambria Math" w:eastAsia="宋体" w:cs="Times New Roman"/>
          <w:color w:val="000000" w:themeColor="text1"/>
          <w:sz w:val="24"/>
          <w:szCs w:val="24"/>
          <w:lang w:val="en-GB"/>
          <w14:textFill>
            <w14:solidFill>
              <w14:schemeClr w14:val="tx1"/>
            </w14:solidFill>
          </w14:textFill>
        </w:rPr>
        <w:t>∆</w:t>
      </w:r>
      <w:r>
        <w:rPr>
          <w:rFonts w:hint="eastAsia" w:ascii="Times New Roman" w:hAnsi="Times New Roman" w:eastAsia="宋体" w:cs="Times New Roman"/>
          <w:i/>
          <w:iCs/>
          <w:color w:val="000000" w:themeColor="text1"/>
          <w:sz w:val="24"/>
          <w:szCs w:val="24"/>
          <w:lang w:val="en-GB"/>
          <w14:textFill>
            <w14:solidFill>
              <w14:schemeClr w14:val="tx1"/>
            </w14:solidFill>
          </w14:textFill>
        </w:rPr>
        <w:t>G</w:t>
      </w:r>
      <w:r>
        <w:rPr>
          <w:rFonts w:hint="eastAsia" w:ascii="Times New Roman" w:hAnsi="Times New Roman" w:eastAsia="宋体" w:cs="Times New Roman"/>
          <w:i/>
          <w:iCs/>
          <w:color w:val="000000" w:themeColor="text1"/>
          <w:sz w:val="24"/>
          <w:szCs w:val="24"/>
          <w:vertAlign w:val="subscript"/>
          <w:lang w:val="en-GB"/>
          <w14:textFill>
            <w14:solidFill>
              <w14:schemeClr w14:val="tx1"/>
            </w14:solidFill>
          </w14:textFill>
        </w:rPr>
        <w:t>field</w:t>
      </w:r>
      <w:r>
        <w:rPr>
          <w:rFonts w:ascii="Times New Roman" w:hAnsi="Times New Roman" w:eastAsia="宋体" w:cs="Times New Roman"/>
          <w:color w:val="000000" w:themeColor="text1"/>
          <w:sz w:val="24"/>
          <w:szCs w:val="24"/>
          <w:lang w:val="en-GB"/>
          <w14:textFill>
            <w14:solidFill>
              <w14:schemeClr w14:val="tx1"/>
            </w14:solidFill>
          </w14:textFill>
        </w:rPr>
        <w:t xml:space="preserve">                    </w:t>
      </w:r>
    </w:p>
    <w:p w14:paraId="75BE9F93">
      <w:pPr>
        <w:adjustRightInd w:val="0"/>
        <w:snapToGrid w:val="0"/>
        <w:spacing w:line="360" w:lineRule="auto"/>
        <w:ind w:firstLine="480" w:firstLineChars="200"/>
        <w:rPr>
          <w:rFonts w:ascii="Times New Roman" w:hAnsi="Times New Roman" w:eastAsia="宋体" w:cs="Times New Roman"/>
          <w:color w:val="000000" w:themeColor="text1"/>
          <w:sz w:val="24"/>
          <w:szCs w:val="24"/>
          <w:lang w:val="en-GB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宋体" w:cs="Times New Roman"/>
          <w:color w:val="000000" w:themeColor="text1"/>
          <w:sz w:val="24"/>
          <w:szCs w:val="24"/>
          <w:lang w:val="en-GB"/>
          <w14:textFill>
            <w14:solidFill>
              <w14:schemeClr w14:val="tx1"/>
            </w14:solidFill>
          </w14:textFill>
        </w:rPr>
        <w:t>ΔE is directly calculated by DFT.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lang w:val="en-GB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eastAsia="宋体" w:cs="Times New Roman"/>
          <w:color w:val="000000" w:themeColor="text1"/>
          <w:sz w:val="24"/>
          <w:szCs w:val="24"/>
          <w:lang w:val="en-GB"/>
          <w14:textFill>
            <w14:solidFill>
              <w14:schemeClr w14:val="tx1"/>
            </w14:solidFill>
          </w14:textFill>
        </w:rPr>
        <w:t>ΔE</w:t>
      </w:r>
      <w:r>
        <w:rPr>
          <w:rFonts w:ascii="Times New Roman" w:hAnsi="Times New Roman" w:eastAsia="宋体" w:cs="Times New Roman"/>
          <w:color w:val="000000" w:themeColor="text1"/>
          <w:sz w:val="24"/>
          <w:szCs w:val="24"/>
          <w:vertAlign w:val="subscript"/>
          <w:lang w:val="en-GB"/>
          <w14:textFill>
            <w14:solidFill>
              <w14:schemeClr w14:val="tx1"/>
            </w14:solidFill>
          </w14:textFill>
        </w:rPr>
        <w:t>ZPE</w:t>
      </w:r>
      <w:r>
        <w:rPr>
          <w:rFonts w:ascii="Times New Roman" w:hAnsi="Times New Roman" w:eastAsia="宋体" w:cs="Times New Roman"/>
          <w:color w:val="000000" w:themeColor="text1"/>
          <w:sz w:val="24"/>
          <w:szCs w:val="24"/>
          <w:lang w:val="en-GB"/>
          <w14:textFill>
            <w14:solidFill>
              <w14:schemeClr w14:val="tx1"/>
            </w14:solidFill>
          </w14:textFill>
        </w:rPr>
        <w:t xml:space="preserve"> is obtained by calculating the vibration frequency of the intermediate (the ZPE corrects for the vibration of adsorbate at 0 K). Due to the conservation of elements before and after each calculation step, in the calculation, ΔE</w:t>
      </w:r>
      <w:r>
        <w:rPr>
          <w:rFonts w:ascii="Times New Roman" w:hAnsi="Times New Roman" w:eastAsia="宋体" w:cs="Times New Roman"/>
          <w:color w:val="000000" w:themeColor="text1"/>
          <w:sz w:val="24"/>
          <w:szCs w:val="24"/>
          <w:vertAlign w:val="subscript"/>
          <w:lang w:val="en-GB"/>
          <w14:textFill>
            <w14:solidFill>
              <w14:schemeClr w14:val="tx1"/>
            </w14:solidFill>
          </w14:textFill>
        </w:rPr>
        <w:t>ZPE</w:t>
      </w:r>
      <w:r>
        <w:rPr>
          <w:rFonts w:ascii="Times New Roman" w:hAnsi="Times New Roman" w:eastAsia="宋体" w:cs="Times New Roman"/>
          <w:color w:val="000000" w:themeColor="text1"/>
          <w:sz w:val="24"/>
          <w:szCs w:val="24"/>
          <w:lang w:val="en-GB"/>
          <w14:textFill>
            <w14:solidFill>
              <w14:schemeClr w14:val="tx1"/>
            </w14:solidFill>
          </w14:textFill>
        </w:rPr>
        <w:t xml:space="preserve"> can be approximated as 0.</w:t>
      </w:r>
    </w:p>
    <w:p w14:paraId="2CFCB2DB">
      <w:pPr>
        <w:adjustRightInd w:val="0"/>
        <w:snapToGrid w:val="0"/>
        <w:spacing w:line="360" w:lineRule="auto"/>
        <w:ind w:firstLine="480" w:firstLineChars="200"/>
        <w:rPr>
          <w:rFonts w:ascii="Times New Roman" w:hAnsi="Times New Roman" w:eastAsia="宋体" w:cs="Times New Roman"/>
          <w:color w:val="000000" w:themeColor="text1"/>
          <w:sz w:val="24"/>
          <w:szCs w:val="24"/>
          <w:lang w:val="en-GB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宋体" w:cs="Times New Roman"/>
          <w:color w:val="000000" w:themeColor="text1"/>
          <w:sz w:val="24"/>
          <w:szCs w:val="24"/>
          <w:lang w:val="en-GB"/>
          <w14:textFill>
            <w14:solidFill>
              <w14:schemeClr w14:val="tx1"/>
            </w14:solidFill>
          </w14:textFill>
        </w:rPr>
        <w:t>Because of the temperature we defined as 0 K, TΔS = 0 [4].</w:t>
      </w:r>
    </w:p>
    <w:p w14:paraId="75663720">
      <w:pPr>
        <w:adjustRightInd w:val="0"/>
        <w:snapToGrid w:val="0"/>
        <w:spacing w:line="360" w:lineRule="auto"/>
        <w:ind w:firstLine="480" w:firstLineChars="200"/>
        <w:rPr>
          <w:rFonts w:ascii="Times New Roman" w:hAnsi="Times New Roman" w:eastAsia="宋体" w:cs="Times New Roman"/>
          <w:color w:val="000000" w:themeColor="text1"/>
          <w:sz w:val="24"/>
          <w:szCs w:val="24"/>
          <w:lang w:val="en-GB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宋体" w:cs="Times New Roman"/>
          <w:color w:val="000000" w:themeColor="text1"/>
          <w:sz w:val="24"/>
          <w:szCs w:val="24"/>
          <w:lang w:val="en-GB"/>
          <w14:textFill>
            <w14:solidFill>
              <w14:schemeClr w14:val="tx1"/>
            </w14:solidFill>
          </w14:textFill>
        </w:rPr>
        <w:t>ΔG</w:t>
      </w:r>
      <w:r>
        <w:rPr>
          <w:rFonts w:ascii="Times New Roman" w:hAnsi="Times New Roman" w:eastAsia="宋体" w:cs="Times New Roman"/>
          <w:color w:val="000000" w:themeColor="text1"/>
          <w:sz w:val="24"/>
          <w:szCs w:val="24"/>
          <w:vertAlign w:val="subscript"/>
          <w:lang w:val="en-GB"/>
          <w14:textFill>
            <w14:solidFill>
              <w14:schemeClr w14:val="tx1"/>
            </w14:solidFill>
          </w14:textFill>
        </w:rPr>
        <w:t>pH</w:t>
      </w:r>
      <w:r>
        <w:rPr>
          <w:rFonts w:ascii="Times New Roman" w:hAnsi="Times New Roman" w:eastAsia="宋体" w:cs="Times New Roman"/>
          <w:color w:val="000000" w:themeColor="text1"/>
          <w:sz w:val="24"/>
          <w:szCs w:val="24"/>
          <w:lang w:val="en-GB"/>
          <w14:textFill>
            <w14:solidFill>
              <w14:schemeClr w14:val="tx1"/>
            </w14:solidFill>
          </w14:textFill>
        </w:rPr>
        <w:t xml:space="preserve"> is the contribution of H</w:t>
      </w:r>
      <w:r>
        <w:rPr>
          <w:rFonts w:ascii="Times New Roman" w:hAnsi="Times New Roman" w:eastAsia="宋体" w:cs="Times New Roman"/>
          <w:color w:val="000000" w:themeColor="text1"/>
          <w:sz w:val="24"/>
          <w:szCs w:val="24"/>
          <w:vertAlign w:val="superscript"/>
          <w:lang w:val="en-GB"/>
          <w14:textFill>
            <w14:solidFill>
              <w14:schemeClr w14:val="tx1"/>
            </w14:solidFill>
          </w14:textFill>
        </w:rPr>
        <w:t>+</w:t>
      </w:r>
      <w:r>
        <w:rPr>
          <w:rFonts w:ascii="Times New Roman" w:hAnsi="Times New Roman" w:eastAsia="宋体" w:cs="Times New Roman"/>
          <w:color w:val="000000" w:themeColor="text1"/>
          <w:sz w:val="24"/>
          <w:szCs w:val="24"/>
          <w:lang w:val="en-GB"/>
          <w14:textFill>
            <w14:solidFill>
              <w14:schemeClr w14:val="tx1"/>
            </w14:solidFill>
          </w14:textFill>
        </w:rPr>
        <w:t xml:space="preserve"> concentration change to the Gibbs free energy. Due to the absence of pH changes in the gas-solid reaction, it can be ignored as 0 [5].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lang w:val="en-GB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eastAsia="宋体" w:cs="Times New Roman"/>
          <w:color w:val="000000" w:themeColor="text1"/>
          <w:sz w:val="24"/>
          <w:szCs w:val="24"/>
          <w:lang w:val="en-GB"/>
          <w14:textFill>
            <w14:solidFill>
              <w14:schemeClr w14:val="tx1"/>
            </w14:solidFill>
          </w14:textFill>
        </w:rPr>
        <w:t>ΔG</w:t>
      </w:r>
      <w:r>
        <w:rPr>
          <w:rFonts w:ascii="Times New Roman" w:hAnsi="Times New Roman" w:eastAsia="宋体" w:cs="Times New Roman"/>
          <w:color w:val="000000" w:themeColor="text1"/>
          <w:sz w:val="24"/>
          <w:szCs w:val="24"/>
          <w:vertAlign w:val="subscript"/>
          <w:lang w:val="en-GB"/>
          <w14:textFill>
            <w14:solidFill>
              <w14:schemeClr w14:val="tx1"/>
            </w14:solidFill>
          </w14:textFill>
        </w:rPr>
        <w:t>U</w:t>
      </w:r>
      <w:r>
        <w:rPr>
          <w:rFonts w:ascii="Times New Roman" w:hAnsi="Times New Roman" w:eastAsia="宋体" w:cs="Times New Roman"/>
          <w:color w:val="000000" w:themeColor="text1"/>
          <w:sz w:val="24"/>
          <w:szCs w:val="24"/>
          <w:lang w:val="en-GB"/>
          <w14:textFill>
            <w14:solidFill>
              <w14:schemeClr w14:val="tx1"/>
            </w14:solidFill>
          </w14:textFill>
        </w:rPr>
        <w:t xml:space="preserve"> is the contribution of free energy in electrode potential. Electrocatalysis is not involved in this experiment, so it is ignored.</w:t>
      </w:r>
    </w:p>
    <w:p w14:paraId="6D5DAFF9">
      <w:pPr>
        <w:adjustRightInd w:val="0"/>
        <w:snapToGrid w:val="0"/>
        <w:spacing w:line="360" w:lineRule="auto"/>
        <w:ind w:firstLine="480" w:firstLineChars="200"/>
        <w:rPr>
          <w:rFonts w:ascii="Times New Roman" w:hAnsi="Times New Roman" w:eastAsia="宋体" w:cs="Times New Roman"/>
          <w:color w:val="000000" w:themeColor="text1"/>
          <w:sz w:val="24"/>
          <w:szCs w:val="24"/>
          <w:lang w:val="en-GB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宋体" w:cs="Times New Roman"/>
          <w:color w:val="000000" w:themeColor="text1"/>
          <w:sz w:val="24"/>
          <w:szCs w:val="24"/>
          <w:lang w:val="en-GB"/>
          <w14:textFill>
            <w14:solidFill>
              <w14:schemeClr w14:val="tx1"/>
            </w14:solidFill>
          </w14:textFill>
        </w:rPr>
        <w:t>The correction term for electric double layer free energy, known as ΔG</w:t>
      </w:r>
      <w:r>
        <w:rPr>
          <w:rFonts w:ascii="Times New Roman" w:hAnsi="Times New Roman" w:eastAsia="宋体" w:cs="Times New Roman"/>
          <w:color w:val="000000" w:themeColor="text1"/>
          <w:sz w:val="24"/>
          <w:szCs w:val="24"/>
          <w:vertAlign w:val="subscript"/>
          <w:lang w:val="en-GB"/>
          <w14:textFill>
            <w14:solidFill>
              <w14:schemeClr w14:val="tx1"/>
            </w14:solidFill>
          </w14:textFill>
        </w:rPr>
        <w:t>field</w:t>
      </w:r>
      <w:r>
        <w:rPr>
          <w:rFonts w:ascii="Times New Roman" w:hAnsi="Times New Roman" w:eastAsia="宋体" w:cs="Times New Roman"/>
          <w:color w:val="000000" w:themeColor="text1"/>
          <w:sz w:val="24"/>
          <w:szCs w:val="24"/>
          <w:lang w:val="en-GB"/>
          <w14:textFill>
            <w14:solidFill>
              <w14:schemeClr w14:val="tx1"/>
            </w14:solidFill>
          </w14:textFill>
        </w:rPr>
        <w:t>,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lang w:val="en-GB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eastAsia="宋体" w:cs="Times New Roman"/>
          <w:color w:val="000000" w:themeColor="text1"/>
          <w:sz w:val="24"/>
          <w:szCs w:val="24"/>
          <w:lang w:val="en-GB"/>
          <w14:textFill>
            <w14:solidFill>
              <w14:schemeClr w14:val="tx1"/>
            </w14:solidFill>
          </w14:textFill>
        </w:rPr>
        <w:t>has negligible effect on overall free energy and can be ignored [3].</w:t>
      </w:r>
    </w:p>
    <w:p w14:paraId="3E34CC48">
      <w:pPr>
        <w:pStyle w:val="39"/>
        <w:adjustRightInd w:val="0"/>
        <w:snapToGrid w:val="0"/>
        <w:spacing w:line="360" w:lineRule="auto"/>
        <w:ind w:firstLine="480" w:firstLineChars="20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  <w:lang w:eastAsia="zh-CN"/>
        </w:rPr>
        <w:t>For model optimization and simulation of reactions under ER and LH mechanisms,</w:t>
      </w:r>
      <w:r>
        <w:rPr>
          <w:rFonts w:ascii="Times New Roman" w:hAnsi="Times New Roman"/>
          <w:szCs w:val="24"/>
        </w:rPr>
        <w:t xml:space="preserve"> the calculations are performed at 0 K at a fixed cell volume, the differences in the Gibbs free energy should equal the differences in the total energy.</w:t>
      </w:r>
      <w:r>
        <w:rPr>
          <w:rFonts w:ascii="Times New Roman" w:hAnsi="Times New Roman"/>
          <w:szCs w:val="24"/>
          <w:lang w:eastAsia="zh-CN"/>
        </w:rPr>
        <w:t xml:space="preserve"> However, the MvK mechanism was acquired under high temperature, the calculated temperature was set as 800 K.</w:t>
      </w:r>
      <w:r>
        <w:rPr>
          <w:rFonts w:ascii="Times New Roman" w:hAnsi="Times New Roman"/>
          <w:szCs w:val="24"/>
        </w:rPr>
        <w:t xml:space="preserve"> By this definition, a negative value of E</w:t>
      </w:r>
      <w:r>
        <w:rPr>
          <w:rFonts w:ascii="Times New Roman" w:hAnsi="Times New Roman"/>
          <w:szCs w:val="24"/>
          <w:vertAlign w:val="subscript"/>
        </w:rPr>
        <w:t>ads</w:t>
      </w:r>
      <w:r>
        <w:rPr>
          <w:rFonts w:ascii="Times New Roman" w:hAnsi="Times New Roman"/>
          <w:szCs w:val="24"/>
        </w:rPr>
        <w:t xml:space="preserve"> corresponds to exothermic and spontaneous adsorption processes.</w:t>
      </w:r>
    </w:p>
    <w:p w14:paraId="0A8DC47F">
      <w:pPr>
        <w:pStyle w:val="39"/>
        <w:adjustRightInd w:val="0"/>
        <w:snapToGrid w:val="0"/>
        <w:spacing w:line="360" w:lineRule="auto"/>
        <w:ind w:firstLine="480" w:firstLineChars="20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  <w:lang w:eastAsia="zh-CN"/>
        </w:rPr>
        <w:t>For CO</w:t>
      </w:r>
      <w:r>
        <w:rPr>
          <w:rFonts w:ascii="Times New Roman" w:hAnsi="Times New Roman"/>
          <w:szCs w:val="24"/>
          <w:vertAlign w:val="subscript"/>
          <w:lang w:eastAsia="zh-CN"/>
        </w:rPr>
        <w:t>2</w:t>
      </w:r>
      <w:r>
        <w:rPr>
          <w:rFonts w:ascii="Times New Roman" w:hAnsi="Times New Roman"/>
          <w:szCs w:val="24"/>
          <w:lang w:eastAsia="zh-CN"/>
        </w:rPr>
        <w:t>RR, t</w:t>
      </w:r>
      <w:r>
        <w:rPr>
          <w:rFonts w:ascii="Times New Roman" w:hAnsi="Times New Roman"/>
          <w:szCs w:val="24"/>
        </w:rPr>
        <w:t xml:space="preserve">he </w:t>
      </w:r>
      <w:r>
        <w:rPr>
          <w:rFonts w:ascii="Times New Roman" w:hAnsi="Times New Roman"/>
          <w:szCs w:val="24"/>
          <w:lang w:eastAsia="zh-CN"/>
        </w:rPr>
        <w:t>ba</w:t>
      </w:r>
      <w:r>
        <w:rPr>
          <w:rFonts w:ascii="Times New Roman" w:hAnsi="Times New Roman"/>
          <w:szCs w:val="24"/>
        </w:rPr>
        <w:t xml:space="preserve">rrier energy, </w:t>
      </w:r>
      <w:r>
        <w:rPr>
          <w:rFonts w:ascii="Times New Roman" w:hAnsi="Times New Roman"/>
          <w:szCs w:val="24"/>
          <w:lang w:eastAsia="zh-CN"/>
        </w:rPr>
        <w:t>Δ</w:t>
      </w:r>
      <w:r>
        <w:rPr>
          <w:rFonts w:ascii="Times New Roman" w:hAnsi="Times New Roman"/>
          <w:szCs w:val="24"/>
        </w:rPr>
        <w:t>E, for a difference between transition state energy difference and standard product formation enthalpy is defined as follows. The energy barrier calculation of *-</w:t>
      </w:r>
      <w:r>
        <w:rPr>
          <w:rFonts w:ascii="Times New Roman" w:hAnsi="Times New Roman"/>
          <w:szCs w:val="24"/>
          <w:lang w:eastAsia="zh-CN"/>
        </w:rPr>
        <w:t>IS</w:t>
      </w:r>
      <w:r>
        <w:rPr>
          <w:rFonts w:ascii="Times New Roman" w:hAnsi="Times New Roman"/>
          <w:szCs w:val="24"/>
          <w:vertAlign w:val="subscript"/>
          <w:lang w:eastAsia="zh-CN"/>
        </w:rPr>
        <w:t>1</w:t>
      </w:r>
      <w:r>
        <w:rPr>
          <w:rFonts w:ascii="Times New Roman" w:hAnsi="Times New Roman"/>
          <w:szCs w:val="24"/>
        </w:rPr>
        <w:t xml:space="preserve"> to *</w:t>
      </w:r>
      <w:r>
        <w:rPr>
          <w:rFonts w:ascii="Times New Roman" w:hAnsi="Times New Roman"/>
          <w:szCs w:val="24"/>
          <w:lang w:eastAsia="zh-CN"/>
        </w:rPr>
        <w:t>IS</w:t>
      </w:r>
      <w:r>
        <w:rPr>
          <w:rFonts w:ascii="Times New Roman" w:hAnsi="Times New Roman"/>
          <w:szCs w:val="24"/>
          <w:vertAlign w:val="subscript"/>
          <w:lang w:eastAsia="zh-CN"/>
        </w:rPr>
        <w:t>2</w:t>
      </w:r>
      <w:r>
        <w:rPr>
          <w:rFonts w:ascii="Times New Roman" w:hAnsi="Times New Roman"/>
          <w:szCs w:val="24"/>
        </w:rPr>
        <w:t xml:space="preserve"> on </w:t>
      </w:r>
      <w:r>
        <w:rPr>
          <w:rFonts w:ascii="Times New Roman" w:hAnsi="Times New Roman"/>
          <w:szCs w:val="24"/>
          <w:lang w:eastAsia="zh-CN"/>
        </w:rPr>
        <w:t>La/C</w:t>
      </w:r>
      <w:r>
        <w:rPr>
          <w:rFonts w:ascii="Times New Roman" w:hAnsi="Times New Roman"/>
          <w:szCs w:val="24"/>
          <w:vertAlign w:val="subscript"/>
          <w:lang w:eastAsia="zh-CN"/>
        </w:rPr>
        <w:t>3</w:t>
      </w:r>
      <w:r>
        <w:rPr>
          <w:rFonts w:ascii="Times New Roman" w:hAnsi="Times New Roman"/>
          <w:szCs w:val="24"/>
          <w:lang w:eastAsia="zh-CN"/>
        </w:rPr>
        <w:t>N</w:t>
      </w:r>
      <w:r>
        <w:rPr>
          <w:rFonts w:ascii="Times New Roman" w:hAnsi="Times New Roman"/>
          <w:szCs w:val="24"/>
          <w:vertAlign w:val="subscript"/>
          <w:lang w:eastAsia="zh-CN"/>
        </w:rPr>
        <w:t>4</w:t>
      </w:r>
      <w:r>
        <w:rPr>
          <w:rFonts w:ascii="Times New Roman" w:hAnsi="Times New Roman"/>
          <w:szCs w:val="24"/>
        </w:rPr>
        <w:t xml:space="preserve"> as an example (eq 2):</w:t>
      </w:r>
    </w:p>
    <w:p w14:paraId="6A955282">
      <w:pPr>
        <w:adjustRightInd w:val="0"/>
        <w:snapToGri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Cambria Math" w:hAnsi="Cambria Math" w:eastAsia="宋体" w:cs="Times New Roman"/>
          <w:color w:val="000000" w:themeColor="text1"/>
          <w:sz w:val="24"/>
          <w:szCs w:val="24"/>
          <w:lang w:val="en-GB"/>
          <w14:textFill>
            <w14:solidFill>
              <w14:schemeClr w14:val="tx1"/>
            </w14:solidFill>
          </w14:textFill>
        </w:rPr>
        <w:t>∆</w:t>
      </w:r>
      <w:r>
        <w:rPr>
          <w:rFonts w:hint="eastAsia" w:ascii="Times New Roman" w:hAnsi="Times New Roman" w:eastAsia="宋体" w:cs="Times New Roman"/>
          <w:i/>
          <w:iCs/>
          <w:color w:val="000000" w:themeColor="text1"/>
          <w:sz w:val="24"/>
          <w:szCs w:val="24"/>
          <w:lang w:val="en-GB"/>
          <w14:textFill>
            <w14:solidFill>
              <w14:schemeClr w14:val="tx1"/>
            </w14:solidFill>
          </w14:textFill>
        </w:rPr>
        <w:t>E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lang w:val="en-GB"/>
          <w14:textFill>
            <w14:solidFill>
              <w14:schemeClr w14:val="tx1"/>
            </w14:solidFill>
          </w14:textFill>
        </w:rPr>
        <w:t>=(</w:t>
      </w:r>
      <w:bookmarkStart w:id="5" w:name="_Hlk233841534"/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lang w:val="en-GB"/>
          <w14:textFill>
            <w14:solidFill>
              <w14:schemeClr w14:val="tx1"/>
            </w14:solidFill>
          </w14:textFill>
        </w:rPr>
        <w:t>E</w:t>
      </w:r>
      <w:r>
        <w:rPr>
          <w:rFonts w:hint="eastAsia" w:ascii="Times New Roman" w:hAnsi="Times New Roman" w:eastAsia="宋体" w:cs="Times New Roman"/>
          <w:i/>
          <w:iCs/>
          <w:color w:val="000000" w:themeColor="text1"/>
          <w:sz w:val="24"/>
          <w:szCs w:val="24"/>
          <w:vertAlign w:val="subscript"/>
          <w:lang w:val="en-GB"/>
          <w14:textFill>
            <w14:solidFill>
              <w14:schemeClr w14:val="tx1"/>
            </w14:solidFill>
          </w14:textFill>
        </w:rPr>
        <w:t>IS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vertAlign w:val="subscript"/>
          <w:lang w:val="en-GB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Times New Roman" w:hAnsi="Times New Roman" w:eastAsia="宋体" w:cs="Times New Roman"/>
          <w:i/>
          <w:iCs/>
          <w:color w:val="000000" w:themeColor="text1"/>
          <w:sz w:val="24"/>
          <w:szCs w:val="24"/>
          <w:vertAlign w:val="subscript"/>
          <w:lang w:val="en-GB"/>
          <w14:textFill>
            <w14:solidFill>
              <w14:schemeClr w14:val="tx1"/>
            </w14:solidFill>
          </w14:textFill>
        </w:rPr>
        <w:t>-La/C3N4</w:t>
      </w:r>
      <w:bookmarkEnd w:id="5"/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−</m:t>
        </m:r>
      </m:oMath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lang w:val="en-GB"/>
          <w14:textFill>
            <w14:solidFill>
              <w14:schemeClr w14:val="tx1"/>
            </w14:solidFill>
          </w14:textFill>
        </w:rPr>
        <w:t>E</w:t>
      </w:r>
      <w:r>
        <w:rPr>
          <w:rFonts w:hint="eastAsia" w:ascii="Times New Roman" w:hAnsi="Times New Roman" w:eastAsia="宋体" w:cs="Times New Roman"/>
          <w:i/>
          <w:iCs/>
          <w:color w:val="000000" w:themeColor="text1"/>
          <w:sz w:val="24"/>
          <w:szCs w:val="24"/>
          <w:vertAlign w:val="subscript"/>
          <w:lang w:val="en-GB"/>
          <w14:textFill>
            <w14:solidFill>
              <w14:schemeClr w14:val="tx1"/>
            </w14:solidFill>
          </w14:textFill>
        </w:rPr>
        <w:t>stab-La/C3N4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lang w:val="en-GB"/>
          <w14:textFill>
            <w14:solidFill>
              <w14:schemeClr w14:val="tx1"/>
            </w14:solidFill>
          </w14:textFill>
        </w:rPr>
        <w:t>)</w:t>
      </w:r>
      <w:r>
        <w:rPr>
          <w:rFonts w:ascii="Cambria Math" w:hAnsi="Cambria Math" w:cs="Times New Roman"/>
          <w:sz w:val="24"/>
          <w:szCs w:val="24"/>
        </w:rPr>
        <w:t xml:space="preserve"> 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−</m:t>
        </m:r>
      </m:oMath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lang w:val="en-GB"/>
          <w14:textFill>
            <w14:solidFill>
              <w14:schemeClr w14:val="tx1"/>
            </w14:solidFill>
          </w14:textFill>
        </w:rPr>
        <w:t>(E</w:t>
      </w:r>
      <w:r>
        <w:rPr>
          <w:rFonts w:hint="eastAsia" w:ascii="Times New Roman" w:hAnsi="Times New Roman" w:eastAsia="宋体" w:cs="Times New Roman"/>
          <w:i/>
          <w:iCs/>
          <w:color w:val="000000" w:themeColor="text1"/>
          <w:sz w:val="24"/>
          <w:szCs w:val="24"/>
          <w:vertAlign w:val="subscript"/>
          <w:lang w:val="en-GB"/>
          <w14:textFill>
            <w14:solidFill>
              <w14:schemeClr w14:val="tx1"/>
            </w14:solidFill>
          </w14:textFill>
        </w:rPr>
        <w:t>IS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vertAlign w:val="subscript"/>
          <w:lang w:val="en-GB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Times New Roman" w:hAnsi="Times New Roman" w:eastAsia="宋体" w:cs="Times New Roman"/>
          <w:i/>
          <w:iCs/>
          <w:color w:val="000000" w:themeColor="text1"/>
          <w:sz w:val="24"/>
          <w:szCs w:val="24"/>
          <w:vertAlign w:val="subscript"/>
          <w:lang w:val="en-GB"/>
          <w14:textFill>
            <w14:solidFill>
              <w14:schemeClr w14:val="tx1"/>
            </w14:solidFill>
          </w14:textFill>
        </w:rPr>
        <w:t>-La/C3N4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−</m:t>
        </m:r>
      </m:oMath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lang w:val="en-GB"/>
          <w14:textFill>
            <w14:solidFill>
              <w14:schemeClr w14:val="tx1"/>
            </w14:solidFill>
          </w14:textFill>
        </w:rPr>
        <w:t>E</w:t>
      </w:r>
      <w:r>
        <w:rPr>
          <w:rFonts w:hint="eastAsia" w:ascii="Times New Roman" w:hAnsi="Times New Roman" w:eastAsia="宋体" w:cs="Times New Roman"/>
          <w:i/>
          <w:iCs/>
          <w:color w:val="000000" w:themeColor="text1"/>
          <w:sz w:val="24"/>
          <w:szCs w:val="24"/>
          <w:vertAlign w:val="subscript"/>
          <w:lang w:val="en-GB"/>
          <w14:textFill>
            <w14:solidFill>
              <w14:schemeClr w14:val="tx1"/>
            </w14:solidFill>
          </w14:textFill>
        </w:rPr>
        <w:t>stab-La/C3N4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lang w:val="en-GB"/>
          <w14:textFill>
            <w14:solidFill>
              <w14:schemeClr w14:val="tx1"/>
            </w14:solidFill>
          </w14:textFill>
        </w:rPr>
        <w:t>)                   (2)</w:t>
      </w:r>
    </w:p>
    <w:p w14:paraId="58A16087">
      <w:pPr>
        <w:pStyle w:val="39"/>
        <w:adjustRightInd w:val="0"/>
        <w:snapToGrid w:val="0"/>
        <w:spacing w:line="360" w:lineRule="auto"/>
        <w:ind w:firstLine="480" w:firstLineChars="20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where E</w:t>
      </w:r>
      <w:r>
        <w:rPr>
          <w:rFonts w:ascii="Times New Roman" w:hAnsi="Times New Roman"/>
          <w:szCs w:val="24"/>
          <w:vertAlign w:val="subscript"/>
          <w:lang w:eastAsia="zh-CN"/>
        </w:rPr>
        <w:t>IS1-La/C3N4</w:t>
      </w:r>
      <w:r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  <w:lang w:eastAsia="zh-CN"/>
        </w:rPr>
        <w:t xml:space="preserve">and </w:t>
      </w:r>
      <w:r>
        <w:rPr>
          <w:rFonts w:ascii="Times New Roman" w:hAnsi="Times New Roman"/>
          <w:szCs w:val="24"/>
        </w:rPr>
        <w:t>E</w:t>
      </w:r>
      <w:r>
        <w:rPr>
          <w:rFonts w:ascii="Times New Roman" w:hAnsi="Times New Roman"/>
          <w:szCs w:val="24"/>
          <w:vertAlign w:val="subscript"/>
          <w:lang w:eastAsia="zh-CN"/>
        </w:rPr>
        <w:t>IS2</w:t>
      </w:r>
      <w:r>
        <w:rPr>
          <w:rFonts w:ascii="Times New Roman" w:hAnsi="Times New Roman"/>
          <w:szCs w:val="24"/>
          <w:vertAlign w:val="subscript"/>
        </w:rPr>
        <w:t xml:space="preserve"> -</w:t>
      </w:r>
      <w:r>
        <w:rPr>
          <w:rFonts w:ascii="Times New Roman" w:hAnsi="Times New Roman"/>
          <w:szCs w:val="24"/>
          <w:vertAlign w:val="subscript"/>
          <w:lang w:eastAsia="zh-CN"/>
        </w:rPr>
        <w:t>La/C3N4</w:t>
      </w:r>
      <w:r>
        <w:rPr>
          <w:rFonts w:ascii="Times New Roman" w:hAnsi="Times New Roman"/>
          <w:szCs w:val="24"/>
        </w:rPr>
        <w:t xml:space="preserve"> are the energies of the </w:t>
      </w:r>
      <w:r>
        <w:rPr>
          <w:rFonts w:ascii="Times New Roman" w:hAnsi="Times New Roman"/>
          <w:szCs w:val="24"/>
          <w:lang w:eastAsia="zh-CN"/>
        </w:rPr>
        <w:t>IS</w:t>
      </w:r>
      <w:r>
        <w:rPr>
          <w:rFonts w:ascii="Times New Roman" w:hAnsi="Times New Roman"/>
          <w:szCs w:val="24"/>
          <w:vertAlign w:val="subscript"/>
          <w:lang w:eastAsia="zh-CN"/>
        </w:rPr>
        <w:t>1</w:t>
      </w:r>
      <w:r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  <w:lang w:eastAsia="zh-CN"/>
        </w:rPr>
        <w:t>and</w:t>
      </w:r>
      <w:r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  <w:lang w:eastAsia="zh-CN"/>
        </w:rPr>
        <w:t>IS</w:t>
      </w:r>
      <w:r>
        <w:rPr>
          <w:rFonts w:ascii="Times New Roman" w:hAnsi="Times New Roman"/>
          <w:szCs w:val="24"/>
          <w:vertAlign w:val="subscript"/>
          <w:lang w:eastAsia="zh-CN"/>
        </w:rPr>
        <w:t>2</w:t>
      </w:r>
      <w:r>
        <w:rPr>
          <w:rFonts w:ascii="Times New Roman" w:hAnsi="Times New Roman"/>
          <w:szCs w:val="24"/>
        </w:rPr>
        <w:t xml:space="preserve"> on </w:t>
      </w:r>
      <w:r>
        <w:rPr>
          <w:rFonts w:ascii="Times New Roman" w:hAnsi="Times New Roman"/>
          <w:szCs w:val="24"/>
          <w:lang w:eastAsia="zh-CN"/>
        </w:rPr>
        <w:t>La/C</w:t>
      </w:r>
      <w:r>
        <w:rPr>
          <w:rFonts w:ascii="Times New Roman" w:hAnsi="Times New Roman"/>
          <w:szCs w:val="24"/>
          <w:vertAlign w:val="subscript"/>
          <w:lang w:eastAsia="zh-CN"/>
        </w:rPr>
        <w:t>3</w:t>
      </w:r>
      <w:r>
        <w:rPr>
          <w:rFonts w:ascii="Times New Roman" w:hAnsi="Times New Roman"/>
          <w:szCs w:val="24"/>
          <w:lang w:eastAsia="zh-CN"/>
        </w:rPr>
        <w:t>N</w:t>
      </w:r>
      <w:r>
        <w:rPr>
          <w:rFonts w:ascii="Times New Roman" w:hAnsi="Times New Roman"/>
          <w:szCs w:val="24"/>
          <w:vertAlign w:val="subscript"/>
          <w:lang w:eastAsia="zh-CN"/>
        </w:rPr>
        <w:t>4</w:t>
      </w:r>
      <w:r>
        <w:rPr>
          <w:rFonts w:ascii="Times New Roman" w:hAnsi="Times New Roman"/>
          <w:szCs w:val="24"/>
        </w:rPr>
        <w:t>, E</w:t>
      </w:r>
      <w:r>
        <w:rPr>
          <w:rFonts w:ascii="Times New Roman" w:hAnsi="Times New Roman"/>
          <w:szCs w:val="24"/>
          <w:vertAlign w:val="subscript"/>
        </w:rPr>
        <w:t>stab</w:t>
      </w:r>
      <w:r>
        <w:rPr>
          <w:rFonts w:ascii="Times New Roman" w:hAnsi="Times New Roman"/>
          <w:szCs w:val="24"/>
          <w:vertAlign w:val="subscript"/>
          <w:lang w:eastAsia="zh-CN"/>
        </w:rPr>
        <w:t>-La/C3N4</w:t>
      </w:r>
      <w:r>
        <w:rPr>
          <w:rFonts w:ascii="Times New Roman" w:hAnsi="Times New Roman"/>
          <w:szCs w:val="24"/>
        </w:rPr>
        <w:t xml:space="preserve"> is the energy of the </w:t>
      </w:r>
      <w:r>
        <w:rPr>
          <w:rFonts w:ascii="Times New Roman" w:hAnsi="Times New Roman"/>
          <w:szCs w:val="24"/>
          <w:lang w:eastAsia="zh-CN"/>
        </w:rPr>
        <w:t>La/C</w:t>
      </w:r>
      <w:r>
        <w:rPr>
          <w:rFonts w:ascii="Times New Roman" w:hAnsi="Times New Roman"/>
          <w:szCs w:val="24"/>
          <w:vertAlign w:val="subscript"/>
          <w:lang w:eastAsia="zh-CN"/>
        </w:rPr>
        <w:t>3</w:t>
      </w:r>
      <w:r>
        <w:rPr>
          <w:rFonts w:ascii="Times New Roman" w:hAnsi="Times New Roman"/>
          <w:szCs w:val="24"/>
          <w:lang w:eastAsia="zh-CN"/>
        </w:rPr>
        <w:t>N</w:t>
      </w:r>
      <w:r>
        <w:rPr>
          <w:rFonts w:ascii="Times New Roman" w:hAnsi="Times New Roman"/>
          <w:szCs w:val="24"/>
          <w:vertAlign w:val="subscript"/>
          <w:lang w:eastAsia="zh-CN"/>
        </w:rPr>
        <w:t>4</w:t>
      </w:r>
      <w:r>
        <w:rPr>
          <w:rFonts w:ascii="Times New Roman" w:hAnsi="Times New Roman"/>
          <w:szCs w:val="24"/>
          <w:lang w:eastAsia="zh-CN"/>
        </w:rPr>
        <w:t xml:space="preserve"> </w:t>
      </w:r>
      <w:r>
        <w:rPr>
          <w:rFonts w:ascii="Times New Roman" w:hAnsi="Times New Roman"/>
          <w:szCs w:val="24"/>
        </w:rPr>
        <w:t xml:space="preserve">surface slab. </w:t>
      </w:r>
    </w:p>
    <w:p w14:paraId="4200FFD2">
      <w:pPr>
        <w:pStyle w:val="39"/>
        <w:adjustRightInd w:val="0"/>
        <w:snapToGrid w:val="0"/>
        <w:spacing w:line="360" w:lineRule="auto"/>
        <w:ind w:firstLine="480" w:firstLineChars="200"/>
        <w:rPr>
          <w:rFonts w:ascii="Times New Roman" w:hAnsi="Times New Roman"/>
          <w:szCs w:val="24"/>
          <w:lang w:eastAsia="zh-CN"/>
        </w:rPr>
      </w:pPr>
      <w:r>
        <w:rPr>
          <w:rFonts w:ascii="Times New Roman" w:hAnsi="Times New Roman"/>
          <w:szCs w:val="24"/>
          <w:lang w:eastAsia="zh-CN"/>
        </w:rPr>
        <w:t>T</w:t>
      </w:r>
      <w:r>
        <w:rPr>
          <w:rFonts w:ascii="Times New Roman" w:hAnsi="Times New Roman"/>
          <w:szCs w:val="24"/>
        </w:rPr>
        <w:t xml:space="preserve">he differences in the Gibbs free energy should equal the differences in the total energy. By this definition, the lower the </w:t>
      </w:r>
      <w:r>
        <w:rPr>
          <w:rFonts w:ascii="Times New Roman" w:hAnsi="Times New Roman"/>
          <w:szCs w:val="24"/>
          <w:lang w:eastAsia="zh-CN"/>
        </w:rPr>
        <w:t>Δ</w:t>
      </w:r>
      <w:r>
        <w:rPr>
          <w:rFonts w:ascii="Times New Roman" w:hAnsi="Times New Roman"/>
          <w:szCs w:val="24"/>
        </w:rPr>
        <w:t xml:space="preserve">E is, the easier it is to </w:t>
      </w:r>
      <w:r>
        <w:rPr>
          <w:rFonts w:ascii="Times New Roman" w:hAnsi="Times New Roman"/>
          <w:szCs w:val="24"/>
          <w:lang w:eastAsia="zh-CN"/>
        </w:rPr>
        <w:t>react</w:t>
      </w:r>
      <w:r>
        <w:rPr>
          <w:rFonts w:ascii="Times New Roman" w:hAnsi="Times New Roman"/>
          <w:szCs w:val="24"/>
        </w:rPr>
        <w:t>.</w:t>
      </w:r>
    </w:p>
    <w:p w14:paraId="3B6300E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[1] W. Song, C. Li, P. Ma, X. Liu, Y. Guo, M. Jia, W. Zhang, C. He, Computational screening of transition metal atom doped C</w:t>
      </w:r>
      <w:r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</w:rPr>
        <w:t>N as electrocatalysts for nitrogen fixation, Mol. Catal. 535 (2023) 112888.</w:t>
      </w:r>
    </w:p>
    <w:p w14:paraId="6026105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[2] X. Mao, Z. Gu, C. Yan, A. Du, Unlocking the potential of ruthenium catalysts for nitrogen fixation with subsurface oxygen, J. Mater. Chem. A 9 (2021) 6575-6582.</w:t>
      </w:r>
    </w:p>
    <w:p w14:paraId="2F4E519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[3] X. Liao, R. Lu, L. Xia, Q. Liu, H. Wang, K. Zhao, Z. Wang, Y. Zhao, Density functional theory for electrocatalysis, Energy Environ. Mater. 5 (2021) 157-185.</w:t>
      </w:r>
    </w:p>
    <w:p w14:paraId="6A9DFD1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[4] W. Kong, J. Xu, Y. Tong, Y. Ding, J. Wang, B. Li, X. Wei, L. Zhao, Construction of dual active sites for efficient alkaline hydrogen evolution: single-metal-atoms supported on BC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N monolayers, Phys. Chem. Chem. Phys., 24 (2022) 29141-29150.</w:t>
      </w:r>
    </w:p>
    <w:p w14:paraId="4A02CA9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[5] Z. Wu, M. Karamad, X. Yong, Q. Huang, D. Cullen, P. Zhu, C. Xia, Q. Xiao, M. Shakouri, F. Chen, J. Kim, Y. Xia, K. Heck, Y. Hu, M. Wong, Q. Li, I. Gates, S. Siahrostami, H. Wang, Electrochemical ammonia synthesis via nitrate reduction on Fe single atom catalyst, Nat. Commun. 12 (2021) 2870.</w:t>
      </w:r>
    </w:p>
    <w:p w14:paraId="682228DD">
      <w:pPr>
        <w:pStyle w:val="39"/>
        <w:spacing w:line="360" w:lineRule="auto"/>
        <w:ind w:firstLine="0"/>
        <w:rPr>
          <w:rFonts w:ascii="Times New Roman" w:hAnsi="Times New Roman"/>
          <w:szCs w:val="24"/>
          <w:lang w:eastAsia="zh-CN"/>
        </w:rPr>
      </w:pPr>
    </w:p>
    <w:p w14:paraId="0186A0B9">
      <w:pPr>
        <w:pStyle w:val="39"/>
        <w:spacing w:line="360" w:lineRule="auto"/>
        <w:ind w:firstLine="0"/>
        <w:rPr>
          <w:rFonts w:ascii="Times New Roman" w:hAnsi="Times New Roman"/>
          <w:szCs w:val="24"/>
          <w:lang w:eastAsia="zh-CN"/>
        </w:rPr>
      </w:pPr>
    </w:p>
    <w:p w14:paraId="24D0850B">
      <w:pPr>
        <w:pStyle w:val="39"/>
        <w:spacing w:line="360" w:lineRule="auto"/>
        <w:ind w:firstLine="0"/>
        <w:jc w:val="center"/>
        <w:rPr>
          <w:rFonts w:ascii="Times New Roman" w:hAnsi="Times New Roman"/>
          <w:szCs w:val="24"/>
          <w:lang w:eastAsia="zh-CN"/>
        </w:rPr>
      </w:pPr>
      <w:r>
        <w:rPr>
          <w:rFonts w:ascii="Times New Roman" w:hAnsi="Times New Roman"/>
        </w:rPr>
        <w:drawing>
          <wp:inline distT="0" distB="0" distL="0" distR="0">
            <wp:extent cx="2879725" cy="2542540"/>
            <wp:effectExtent l="0" t="0" r="0" b="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2542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77AAA2">
      <w:pPr>
        <w:pStyle w:val="39"/>
        <w:spacing w:line="360" w:lineRule="auto"/>
        <w:ind w:firstLine="0"/>
        <w:rPr>
          <w:rFonts w:ascii="Times New Roman" w:hAnsi="Times New Roman"/>
          <w:szCs w:val="24"/>
          <w:lang w:eastAsia="zh-CN"/>
        </w:rPr>
      </w:pPr>
      <w:r>
        <w:rPr>
          <w:rFonts w:ascii="Times New Roman" w:hAnsi="Times New Roman"/>
          <w:b/>
          <w:bCs/>
          <w:szCs w:val="24"/>
          <w:lang w:eastAsia="zh-CN"/>
        </w:rPr>
        <w:t>Supplementary Figure 1. FTIR spectra of La</w:t>
      </w:r>
      <w:r>
        <w:rPr>
          <w:rFonts w:hint="eastAsia" w:ascii="Times New Roman" w:hAnsi="Times New Roman"/>
          <w:b/>
          <w:bCs/>
          <w:szCs w:val="24"/>
          <w:lang w:eastAsia="zh-CN"/>
        </w:rPr>
        <w:t>-</w:t>
      </w:r>
      <w:r>
        <w:rPr>
          <w:rFonts w:ascii="Times New Roman" w:hAnsi="Times New Roman"/>
          <w:b/>
          <w:bCs/>
          <w:szCs w:val="24"/>
          <w:lang w:eastAsia="zh-CN"/>
        </w:rPr>
        <w:t>CN, La</w:t>
      </w:r>
      <w:r>
        <w:rPr>
          <w:rFonts w:hint="eastAsia" w:ascii="Times New Roman" w:hAnsi="Times New Roman"/>
          <w:b/>
          <w:bCs/>
          <w:szCs w:val="24"/>
          <w:lang w:eastAsia="zh-CN"/>
        </w:rPr>
        <w:t>-</w:t>
      </w:r>
      <w:r>
        <w:rPr>
          <w:rFonts w:ascii="Times New Roman" w:hAnsi="Times New Roman"/>
          <w:b/>
          <w:bCs/>
          <w:szCs w:val="24"/>
          <w:lang w:eastAsia="zh-CN"/>
        </w:rPr>
        <w:t>CN-1IL, La</w:t>
      </w:r>
      <w:r>
        <w:rPr>
          <w:rFonts w:hint="eastAsia" w:ascii="Times New Roman" w:hAnsi="Times New Roman"/>
          <w:b/>
          <w:bCs/>
          <w:szCs w:val="24"/>
          <w:lang w:eastAsia="zh-CN"/>
        </w:rPr>
        <w:t>-</w:t>
      </w:r>
      <w:r>
        <w:rPr>
          <w:rFonts w:ascii="Times New Roman" w:hAnsi="Times New Roman"/>
          <w:b/>
          <w:bCs/>
          <w:szCs w:val="24"/>
          <w:lang w:eastAsia="zh-CN"/>
        </w:rPr>
        <w:t>CN-2IL and La</w:t>
      </w:r>
      <w:r>
        <w:rPr>
          <w:rFonts w:hint="eastAsia" w:ascii="Times New Roman" w:hAnsi="Times New Roman"/>
          <w:b/>
          <w:bCs/>
          <w:szCs w:val="24"/>
          <w:lang w:eastAsia="zh-CN"/>
        </w:rPr>
        <w:t>-</w:t>
      </w:r>
      <w:r>
        <w:rPr>
          <w:rFonts w:ascii="Times New Roman" w:hAnsi="Times New Roman"/>
          <w:b/>
          <w:bCs/>
          <w:szCs w:val="24"/>
          <w:lang w:eastAsia="zh-CN"/>
        </w:rPr>
        <w:t xml:space="preserve">CN-3IL. </w:t>
      </w:r>
      <w:r>
        <w:rPr>
          <w:rFonts w:ascii="Times New Roman" w:hAnsi="Times New Roman"/>
          <w:szCs w:val="24"/>
          <w:lang w:eastAsia="zh-CN"/>
        </w:rPr>
        <w:t xml:space="preserve">The spectra are vertically offset for clarity. </w:t>
      </w:r>
    </w:p>
    <w:p w14:paraId="6E8CB470">
      <w:pPr>
        <w:pStyle w:val="39"/>
        <w:spacing w:line="360" w:lineRule="auto"/>
        <w:ind w:firstLine="0"/>
        <w:rPr>
          <w:rFonts w:ascii="Times New Roman" w:hAnsi="Times New Roman"/>
          <w:szCs w:val="24"/>
          <w:lang w:eastAsia="zh-CN"/>
        </w:rPr>
      </w:pPr>
      <w:r>
        <w:rPr>
          <w:rFonts w:ascii="Times New Roman" w:hAnsi="Times New Roman"/>
          <w:szCs w:val="24"/>
          <w:lang w:eastAsia="zh-CN"/>
        </w:rPr>
        <w:t>All samples exhibit characteristic absorption bands of g-C</w:t>
      </w:r>
      <w:r>
        <w:rPr>
          <w:rFonts w:hint="eastAsia" w:ascii="Times New Roman" w:hAnsi="Times New Roman"/>
          <w:szCs w:val="24"/>
          <w:vertAlign w:val="subscript"/>
          <w:lang w:eastAsia="zh-CN"/>
        </w:rPr>
        <w:t>3</w:t>
      </w:r>
      <w:r>
        <w:rPr>
          <w:rFonts w:ascii="Times New Roman" w:hAnsi="Times New Roman"/>
          <w:szCs w:val="24"/>
          <w:lang w:eastAsia="zh-CN"/>
        </w:rPr>
        <w:t>N</w:t>
      </w:r>
      <w:r>
        <w:rPr>
          <w:rFonts w:hint="eastAsia" w:ascii="Times New Roman" w:hAnsi="Times New Roman"/>
          <w:szCs w:val="24"/>
          <w:vertAlign w:val="subscript"/>
          <w:lang w:eastAsia="zh-CN"/>
        </w:rPr>
        <w:t>4</w:t>
      </w:r>
      <w:r>
        <w:rPr>
          <w:rFonts w:ascii="Times New Roman" w:hAnsi="Times New Roman"/>
          <w:szCs w:val="24"/>
          <w:lang w:eastAsia="zh-CN"/>
        </w:rPr>
        <w:t xml:space="preserve"> in the 1200</w:t>
      </w:r>
      <w:r>
        <w:rPr>
          <w:rFonts w:hint="eastAsia" w:ascii="Times New Roman" w:hAnsi="Times New Roman"/>
          <w:szCs w:val="24"/>
          <w:lang w:eastAsia="zh-CN"/>
        </w:rPr>
        <w:t>-</w:t>
      </w:r>
      <w:r>
        <w:rPr>
          <w:rFonts w:ascii="Times New Roman" w:hAnsi="Times New Roman"/>
          <w:szCs w:val="24"/>
          <w:lang w:eastAsia="zh-CN"/>
        </w:rPr>
        <w:t>1700 cm</w:t>
      </w:r>
      <w:r>
        <w:rPr>
          <w:rFonts w:hint="eastAsia" w:ascii="Times New Roman" w:hAnsi="Times New Roman"/>
          <w:szCs w:val="24"/>
          <w:vertAlign w:val="superscript"/>
          <w:lang w:eastAsia="zh-CN"/>
        </w:rPr>
        <w:t>-1</w:t>
      </w:r>
      <w:r>
        <w:rPr>
          <w:rFonts w:ascii="Times New Roman" w:hAnsi="Times New Roman"/>
          <w:szCs w:val="24"/>
          <w:lang w:eastAsia="zh-CN"/>
        </w:rPr>
        <w:t xml:space="preserve"> region, attributed to C</w:t>
      </w:r>
      <w:r>
        <w:rPr>
          <w:rFonts w:hint="eastAsia" w:ascii="Times New Roman" w:hAnsi="Times New Roman"/>
          <w:szCs w:val="24"/>
          <w:lang w:eastAsia="zh-CN"/>
        </w:rPr>
        <w:t>-</w:t>
      </w:r>
      <w:r>
        <w:rPr>
          <w:rFonts w:ascii="Times New Roman" w:hAnsi="Times New Roman"/>
          <w:szCs w:val="24"/>
          <w:lang w:eastAsia="zh-CN"/>
        </w:rPr>
        <w:t>N/C=N stretching vibrations of the heptazine framework, and a band at approximately 800 cm</w:t>
      </w:r>
      <w:r>
        <w:rPr>
          <w:rFonts w:hint="eastAsia" w:ascii="Times New Roman" w:hAnsi="Times New Roman"/>
          <w:szCs w:val="24"/>
          <w:vertAlign w:val="superscript"/>
          <w:lang w:eastAsia="zh-CN"/>
        </w:rPr>
        <w:t>-1</w:t>
      </w:r>
      <w:r>
        <w:rPr>
          <w:rFonts w:ascii="Times New Roman" w:hAnsi="Times New Roman"/>
          <w:szCs w:val="24"/>
          <w:lang w:eastAsia="zh-CN"/>
        </w:rPr>
        <w:t>, corresponding to the breathing vibration of the triazine units. With increasing IL loading from La</w:t>
      </w:r>
      <w:r>
        <w:rPr>
          <w:rFonts w:hint="eastAsia" w:ascii="Times New Roman" w:hAnsi="Times New Roman"/>
          <w:szCs w:val="24"/>
          <w:lang w:eastAsia="zh-CN"/>
        </w:rPr>
        <w:t>-</w:t>
      </w:r>
      <w:r>
        <w:rPr>
          <w:rFonts w:ascii="Times New Roman" w:hAnsi="Times New Roman"/>
          <w:szCs w:val="24"/>
          <w:lang w:eastAsia="zh-CN"/>
        </w:rPr>
        <w:t>CN to La</w:t>
      </w:r>
      <w:r>
        <w:rPr>
          <w:rFonts w:hint="eastAsia" w:ascii="Times New Roman" w:hAnsi="Times New Roman"/>
          <w:szCs w:val="24"/>
          <w:lang w:eastAsia="zh-CN"/>
        </w:rPr>
        <w:t>-</w:t>
      </w:r>
      <w:r>
        <w:rPr>
          <w:rFonts w:ascii="Times New Roman" w:hAnsi="Times New Roman"/>
          <w:szCs w:val="24"/>
          <w:lang w:eastAsia="zh-CN"/>
        </w:rPr>
        <w:t>CN-3IL, no new peaks appear and no existing peaks disappear, but the absorption bands gradually broaden and the fine structure becomes less resolved, indicating that the g-C</w:t>
      </w:r>
      <w:r>
        <w:rPr>
          <w:rFonts w:hint="eastAsia" w:ascii="Times New Roman" w:hAnsi="Times New Roman"/>
          <w:szCs w:val="24"/>
          <w:vertAlign w:val="subscript"/>
          <w:lang w:eastAsia="zh-CN"/>
        </w:rPr>
        <w:t>3</w:t>
      </w:r>
      <w:r>
        <w:rPr>
          <w:rFonts w:ascii="Times New Roman" w:hAnsi="Times New Roman"/>
          <w:szCs w:val="24"/>
          <w:lang w:eastAsia="zh-CN"/>
        </w:rPr>
        <w:t>N</w:t>
      </w:r>
      <w:r>
        <w:rPr>
          <w:rFonts w:hint="eastAsia" w:ascii="Times New Roman" w:hAnsi="Times New Roman"/>
          <w:szCs w:val="24"/>
          <w:vertAlign w:val="subscript"/>
          <w:lang w:eastAsia="zh-CN"/>
        </w:rPr>
        <w:t>4</w:t>
      </w:r>
      <w:r>
        <w:rPr>
          <w:rFonts w:ascii="Times New Roman" w:hAnsi="Times New Roman"/>
          <w:szCs w:val="24"/>
          <w:lang w:eastAsia="zh-CN"/>
        </w:rPr>
        <w:t xml:space="preserve"> framework remains chemically intact while the structural disorder increases. The broad absorption bands in the 3000</w:t>
      </w:r>
      <w:r>
        <w:rPr>
          <w:rFonts w:hint="eastAsia" w:ascii="Times New Roman" w:hAnsi="Times New Roman"/>
          <w:szCs w:val="24"/>
          <w:lang w:eastAsia="zh-CN"/>
        </w:rPr>
        <w:t>-</w:t>
      </w:r>
      <w:r>
        <w:rPr>
          <w:rFonts w:ascii="Times New Roman" w:hAnsi="Times New Roman"/>
          <w:szCs w:val="24"/>
          <w:lang w:eastAsia="zh-CN"/>
        </w:rPr>
        <w:t>3750 cm</w:t>
      </w:r>
      <w:r>
        <w:rPr>
          <w:rFonts w:hint="eastAsia" w:ascii="Times New Roman" w:hAnsi="Times New Roman"/>
          <w:szCs w:val="24"/>
          <w:vertAlign w:val="superscript"/>
          <w:lang w:eastAsia="zh-CN"/>
        </w:rPr>
        <w:t>-1</w:t>
      </w:r>
      <w:r>
        <w:rPr>
          <w:rFonts w:ascii="Times New Roman" w:hAnsi="Times New Roman"/>
          <w:szCs w:val="24"/>
          <w:lang w:eastAsia="zh-CN"/>
        </w:rPr>
        <w:t xml:space="preserve"> region correspond to N</w:t>
      </w:r>
      <w:r>
        <w:rPr>
          <w:rFonts w:hint="eastAsia" w:ascii="Times New Roman" w:hAnsi="Times New Roman"/>
          <w:szCs w:val="24"/>
          <w:lang w:eastAsia="zh-CN"/>
        </w:rPr>
        <w:t>-</w:t>
      </w:r>
      <w:r>
        <w:rPr>
          <w:rFonts w:ascii="Times New Roman" w:hAnsi="Times New Roman"/>
          <w:szCs w:val="24"/>
          <w:lang w:eastAsia="zh-CN"/>
        </w:rPr>
        <w:t>H/O</w:t>
      </w:r>
      <w:r>
        <w:rPr>
          <w:rFonts w:hint="eastAsia" w:ascii="Times New Roman" w:hAnsi="Times New Roman"/>
          <w:szCs w:val="24"/>
          <w:lang w:eastAsia="zh-CN"/>
        </w:rPr>
        <w:t>-</w:t>
      </w:r>
      <w:r>
        <w:rPr>
          <w:rFonts w:ascii="Times New Roman" w:hAnsi="Times New Roman"/>
          <w:szCs w:val="24"/>
          <w:lang w:eastAsia="zh-CN"/>
        </w:rPr>
        <w:t>H stretching vibrations. The spectra were recorded using the KBr pellet method in the range of 750</w:t>
      </w:r>
      <w:r>
        <w:rPr>
          <w:rFonts w:hint="eastAsia" w:ascii="Times New Roman" w:hAnsi="Times New Roman"/>
          <w:szCs w:val="24"/>
          <w:lang w:eastAsia="zh-CN"/>
        </w:rPr>
        <w:t>-</w:t>
      </w:r>
      <w:r>
        <w:rPr>
          <w:rFonts w:ascii="Times New Roman" w:hAnsi="Times New Roman"/>
          <w:szCs w:val="24"/>
          <w:lang w:eastAsia="zh-CN"/>
        </w:rPr>
        <w:t>3750 cm</w:t>
      </w:r>
      <w:r>
        <w:rPr>
          <w:rFonts w:hint="eastAsia" w:ascii="Times New Roman" w:hAnsi="Times New Roman"/>
          <w:szCs w:val="24"/>
          <w:vertAlign w:val="superscript"/>
          <w:lang w:eastAsia="zh-CN"/>
        </w:rPr>
        <w:t>-1</w:t>
      </w:r>
      <w:r>
        <w:rPr>
          <w:rFonts w:ascii="Times New Roman" w:hAnsi="Times New Roman"/>
          <w:szCs w:val="24"/>
          <w:lang w:eastAsia="zh-CN"/>
        </w:rPr>
        <w:t xml:space="preserve"> with a resolution of 4 cm</w:t>
      </w:r>
      <w:r>
        <w:rPr>
          <w:rFonts w:hint="eastAsia" w:ascii="Times New Roman" w:hAnsi="Times New Roman"/>
          <w:szCs w:val="24"/>
          <w:vertAlign w:val="superscript"/>
          <w:lang w:eastAsia="zh-CN"/>
        </w:rPr>
        <w:t>-1</w:t>
      </w:r>
      <w:r>
        <w:rPr>
          <w:rFonts w:ascii="Times New Roman" w:hAnsi="Times New Roman"/>
          <w:szCs w:val="24"/>
          <w:lang w:eastAsia="zh-CN"/>
        </w:rPr>
        <w:t>.</w:t>
      </w:r>
    </w:p>
    <w:p w14:paraId="26F30FE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55B6FA99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4319905" cy="1654175"/>
            <wp:effectExtent l="0" t="0" r="0" b="3175"/>
            <wp:docPr id="192899188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8991880" name="图片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1654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C93AA1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Supplementary Figure 2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bCs/>
          <w:sz w:val="24"/>
          <w:szCs w:val="24"/>
        </w:rPr>
        <w:t>N</w:t>
      </w:r>
      <w:r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adsorption–desorption isotherms and pore size distributions of La</w:t>
      </w:r>
      <w:r>
        <w:rPr>
          <w:rFonts w:hint="eastAsia" w:ascii="Times New Roman" w:hAnsi="Times New Roman" w:cs="Times New Roman"/>
          <w:b/>
          <w:bCs/>
          <w:sz w:val="24"/>
          <w:szCs w:val="24"/>
        </w:rPr>
        <w:t>-</w:t>
      </w:r>
      <w:r>
        <w:rPr>
          <w:rFonts w:ascii="Times New Roman" w:hAnsi="Times New Roman" w:cs="Times New Roman"/>
          <w:b/>
          <w:bCs/>
          <w:sz w:val="24"/>
          <w:szCs w:val="24"/>
        </w:rPr>
        <w:t>CN, La</w:t>
      </w:r>
      <w:r>
        <w:rPr>
          <w:rFonts w:hint="eastAsia" w:ascii="Times New Roman" w:hAnsi="Times New Roman" w:cs="Times New Roman"/>
          <w:b/>
          <w:bCs/>
          <w:sz w:val="24"/>
          <w:szCs w:val="24"/>
        </w:rPr>
        <w:t>-</w:t>
      </w:r>
      <w:r>
        <w:rPr>
          <w:rFonts w:ascii="Times New Roman" w:hAnsi="Times New Roman" w:cs="Times New Roman"/>
          <w:b/>
          <w:bCs/>
          <w:sz w:val="24"/>
          <w:szCs w:val="24"/>
        </w:rPr>
        <w:t>CN-1IL, La</w:t>
      </w:r>
      <w:r>
        <w:rPr>
          <w:rFonts w:hint="eastAsia" w:ascii="Times New Roman" w:hAnsi="Times New Roman" w:cs="Times New Roman"/>
          <w:b/>
          <w:bCs/>
          <w:sz w:val="24"/>
          <w:szCs w:val="24"/>
        </w:rPr>
        <w:t>-</w:t>
      </w:r>
      <w:r>
        <w:rPr>
          <w:rFonts w:ascii="Times New Roman" w:hAnsi="Times New Roman" w:cs="Times New Roman"/>
          <w:b/>
          <w:bCs/>
          <w:sz w:val="24"/>
          <w:szCs w:val="24"/>
        </w:rPr>
        <w:t>CN-2IL and La</w:t>
      </w:r>
      <w:r>
        <w:rPr>
          <w:rFonts w:hint="eastAsia" w:ascii="Times New Roman" w:hAnsi="Times New Roman" w:cs="Times New Roman"/>
          <w:b/>
          <w:bCs/>
          <w:sz w:val="24"/>
          <w:szCs w:val="24"/>
        </w:rPr>
        <w:t>-</w:t>
      </w:r>
      <w:r>
        <w:rPr>
          <w:rFonts w:ascii="Times New Roman" w:hAnsi="Times New Roman" w:cs="Times New Roman"/>
          <w:b/>
          <w:bCs/>
          <w:sz w:val="24"/>
          <w:szCs w:val="24"/>
        </w:rPr>
        <w:t>CN-3IL.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N</w:t>
      </w:r>
      <w:r>
        <w:rPr>
          <w:rFonts w:hint="eastAsia"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adsorption</w:t>
      </w:r>
      <w:r>
        <w:rPr>
          <w:rFonts w:hint="eastAsia"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desorption isotherms measured at 77 K. </w:t>
      </w:r>
      <w:r>
        <w:rPr>
          <w:rFonts w:ascii="Times New Roman" w:hAnsi="Times New Roman" w:cs="Times New Roman"/>
          <w:b/>
          <w:bCs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 xml:space="preserve"> Barr</w:t>
      </w:r>
      <w:r>
        <w:rPr>
          <w:rFonts w:hint="eastAsia" w:ascii="Times New Roman" w:hAnsi="Times New Roman" w:cs="Times New Roman"/>
          <w:sz w:val="24"/>
          <w:szCs w:val="24"/>
        </w:rPr>
        <w:t>ett-Joyner-Halenda (BJH) pore size distributions derived from the desorption branches.</w:t>
      </w:r>
    </w:p>
    <w:p w14:paraId="67B890F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All samples exhibit type-IV isotherms with distinct capillary condensation steps at high relative pressures (P/P</w:t>
      </w:r>
      <w:r>
        <w:rPr>
          <w:rFonts w:hint="eastAsia" w:ascii="Times New Roman" w:hAnsi="Times New Roman" w:cs="Times New Roman"/>
          <w:sz w:val="24"/>
          <w:szCs w:val="24"/>
          <w:vertAlign w:val="subscript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&gt; 0.8), indicating the presence of mesopores. The adsorbed volume decreases monotonically with increasing IL loading, from approximately 85 cm</w:t>
      </w:r>
      <w:r>
        <w:rPr>
          <w:rFonts w:hint="eastAsia"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hint="eastAsia"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g</w:t>
      </w:r>
      <w:r>
        <w:rPr>
          <w:rFonts w:hint="eastAsia" w:ascii="Times New Roman" w:hAnsi="Times New Roman" w:cs="Times New Roman"/>
          <w:sz w:val="24"/>
          <w:szCs w:val="24"/>
          <w:vertAlign w:val="superscript"/>
        </w:rPr>
        <w:t>-1</w:t>
      </w:r>
      <w:r>
        <w:rPr>
          <w:rFonts w:ascii="Times New Roman" w:hAnsi="Times New Roman" w:cs="Times New Roman"/>
          <w:sz w:val="24"/>
          <w:szCs w:val="24"/>
        </w:rPr>
        <w:t xml:space="preserve"> for La</w:t>
      </w:r>
      <w:r>
        <w:rPr>
          <w:rFonts w:hint="eastAsia"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CN to 18 cm</w:t>
      </w:r>
      <w:r>
        <w:rPr>
          <w:rFonts w:hint="eastAsia"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hint="eastAsia"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g</w:t>
      </w:r>
      <w:r>
        <w:rPr>
          <w:rFonts w:hint="eastAsia" w:ascii="Times New Roman" w:hAnsi="Times New Roman" w:cs="Times New Roman"/>
          <w:sz w:val="24"/>
          <w:szCs w:val="24"/>
          <w:vertAlign w:val="superscript"/>
        </w:rPr>
        <w:t>-1</w:t>
      </w:r>
      <w:r>
        <w:rPr>
          <w:rFonts w:ascii="Times New Roman" w:hAnsi="Times New Roman" w:cs="Times New Roman"/>
          <w:sz w:val="24"/>
          <w:szCs w:val="24"/>
        </w:rPr>
        <w:t xml:space="preserve"> for La</w:t>
      </w:r>
      <w:r>
        <w:rPr>
          <w:rFonts w:hint="eastAsia"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CN-3IL at P/P</w:t>
      </w:r>
      <w:r>
        <w:rPr>
          <w:rFonts w:hint="eastAsia" w:ascii="Times New Roman" w:hAnsi="Times New Roman" w:cs="Times New Roman"/>
          <w:sz w:val="24"/>
          <w:szCs w:val="24"/>
          <w:vertAlign w:val="subscript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≈ 0.99.</w:t>
      </w:r>
      <w:r>
        <w:rPr>
          <w:rFonts w:hint="eastAsia" w:ascii="Times New Roman" w:hAnsi="Times New Roman" w:cs="Times New Roman"/>
          <w:sz w:val="24"/>
          <w:szCs w:val="24"/>
        </w:rPr>
        <w:t xml:space="preserve"> All samples show a single mesopore peak centered at approximately 2-3 nm. With increasing IL loading, the peak intensity increases progressively and the peak position shifts from approximately 2 nm (La-CN and La-CN-1IL) to approximately 2.5 nm (La-CN-2IL) and further to approximately 3 nm (La-CN-3IL), accompanied by peak broadening. The decrease in BET surface area (Supplementary Table 1) and the increase in mesopore peak</w:t>
      </w:r>
      <w:r>
        <w:rPr>
          <w:rFonts w:ascii="Times New Roman" w:hAnsi="Times New Roman" w:cs="Times New Roman"/>
          <w:sz w:val="24"/>
          <w:szCs w:val="24"/>
        </w:rPr>
        <w:t xml:space="preserve"> intensity together indicate that IL treatment transforms the g-C</w:t>
      </w:r>
      <w:r>
        <w:rPr>
          <w:rFonts w:hint="eastAsia"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hint="eastAsia" w:ascii="Times New Roman" w:hAnsi="Times New Roman" w:cs="Times New Roman"/>
          <w:sz w:val="24"/>
          <w:szCs w:val="24"/>
          <w:vertAlign w:val="subscript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nanosheets from tightly ordered stacking to loosely disordered stacking.</w:t>
      </w: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2E9DC485">
      <w:pPr>
        <w:rPr>
          <w:rFonts w:ascii="Times New Roman" w:hAnsi="Times New Roman" w:eastAsia="宋体" w:cs="Times New Roman"/>
          <w:b/>
          <w:kern w:val="0"/>
          <w:sz w:val="24"/>
        </w:rPr>
      </w:pPr>
      <w:r>
        <w:rPr>
          <w:rFonts w:hint="eastAsia" w:ascii="Times New Roman" w:hAnsi="Times New Roman" w:eastAsia="宋体" w:cs="Times New Roman"/>
          <w:b/>
          <w:kern w:val="0"/>
          <w:sz w:val="24"/>
        </w:rPr>
        <w:t>Supplementary Table 1.</w:t>
      </w:r>
      <w:r>
        <w:rPr>
          <w:rFonts w:ascii="Times New Roman" w:hAnsi="Times New Roman" w:eastAsia="宋体" w:cs="Times New Roman"/>
          <w:b/>
          <w:kern w:val="0"/>
          <w:sz w:val="24"/>
        </w:rPr>
        <w:t xml:space="preserve"> </w:t>
      </w:r>
      <w:r>
        <w:rPr>
          <w:rFonts w:ascii="Times New Roman" w:hAnsi="Times New Roman" w:eastAsia="宋体" w:cs="Times New Roman"/>
          <w:b/>
          <w:bCs/>
          <w:kern w:val="0"/>
          <w:sz w:val="24"/>
        </w:rPr>
        <w:t>Specific surface area and pore volume of </w:t>
      </w:r>
      <w:r>
        <w:rPr>
          <w:rFonts w:ascii="Times New Roman" w:hAnsi="Times New Roman" w:cs="Times New Roman"/>
          <w:b/>
          <w:bCs/>
          <w:sz w:val="24"/>
        </w:rPr>
        <w:t>La -CN</w:t>
      </w:r>
      <w:r>
        <w:rPr>
          <w:rFonts w:ascii="Times New Roman" w:hAnsi="Times New Roman" w:eastAsia="宋体" w:cs="Times New Roman"/>
          <w:b/>
          <w:bCs/>
          <w:kern w:val="0"/>
          <w:sz w:val="24"/>
        </w:rPr>
        <w:t xml:space="preserve"> samples.</w:t>
      </w:r>
    </w:p>
    <w:tbl>
      <w:tblPr>
        <w:tblStyle w:val="15"/>
        <w:tblW w:w="5000" w:type="pct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571"/>
        <w:gridCol w:w="2420"/>
        <w:gridCol w:w="2158"/>
        <w:gridCol w:w="2157"/>
      </w:tblGrid>
      <w:tr w14:paraId="1AC1C9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  <w:jc w:val="center"/>
        </w:trPr>
        <w:tc>
          <w:tcPr>
            <w:tcW w:w="946" w:type="pct"/>
            <w:tcBorders>
              <w:top w:val="single" w:color="000000" w:sz="8" w:space="0"/>
              <w:left w:val="single" w:color="FFFFFF" w:sz="8" w:space="0"/>
              <w:bottom w:val="single" w:color="000000" w:sz="8" w:space="0"/>
              <w:right w:val="single" w:color="FFFFFF" w:sz="8" w:space="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5890106"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bookmarkStart w:id="6" w:name="OLE_LINK40"/>
            <w:r>
              <w:rPr>
                <w:rFonts w:ascii="Times New Roman" w:hAnsi="Times New Roman" w:eastAsia="宋体" w:cs="Times New Roman"/>
                <w:bCs/>
                <w:sz w:val="24"/>
              </w:rPr>
              <w:t>Samples</w:t>
            </w:r>
          </w:p>
        </w:tc>
        <w:tc>
          <w:tcPr>
            <w:tcW w:w="1457" w:type="pct"/>
            <w:tcBorders>
              <w:top w:val="single" w:color="000000" w:sz="8" w:space="0"/>
              <w:left w:val="single" w:color="FFFFFF" w:sz="8" w:space="0"/>
              <w:bottom w:val="single" w:color="000000" w:sz="8" w:space="0"/>
              <w:right w:val="single" w:color="FFFFFF" w:sz="8" w:space="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3F933CD"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bCs/>
                <w:sz w:val="24"/>
              </w:rPr>
              <w:t xml:space="preserve">Surface area </w:t>
            </w:r>
            <w:r>
              <w:rPr>
                <w:rFonts w:ascii="Times New Roman" w:hAnsi="Times New Roman" w:eastAsia="宋体" w:cs="Times New Roman"/>
                <w:bCs/>
                <w:sz w:val="24"/>
                <w:vertAlign w:val="superscript"/>
              </w:rPr>
              <w:t>a</w:t>
            </w:r>
            <w:r>
              <w:rPr>
                <w:rFonts w:hint="eastAsia" w:ascii="Times New Roman" w:hAnsi="Times New Roman" w:eastAsia="宋体" w:cs="Times New Roman"/>
                <w:sz w:val="24"/>
              </w:rPr>
              <w:t xml:space="preserve"> </w:t>
            </w:r>
          </w:p>
          <w:p w14:paraId="2A44F340"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bCs/>
                <w:sz w:val="24"/>
              </w:rPr>
              <w:t>(m</w:t>
            </w:r>
            <w:r>
              <w:rPr>
                <w:rFonts w:ascii="Times New Roman" w:hAnsi="Times New Roman" w:eastAsia="宋体" w:cs="Times New Roman"/>
                <w:bCs/>
                <w:sz w:val="24"/>
                <w:vertAlign w:val="superscript"/>
              </w:rPr>
              <w:t>2</w:t>
            </w:r>
            <w:r>
              <w:rPr>
                <w:rFonts w:hint="eastAsia" w:ascii="Times New Roman" w:hAnsi="Times New Roman" w:eastAsia="宋体" w:cs="Times New Roman"/>
                <w:bCs/>
                <w:sz w:val="24"/>
              </w:rPr>
              <w:t xml:space="preserve"> </w:t>
            </w:r>
            <w:r>
              <w:rPr>
                <w:rFonts w:ascii="Times New Roman" w:hAnsi="Times New Roman" w:eastAsia="宋体" w:cs="Times New Roman"/>
                <w:bCs/>
                <w:sz w:val="24"/>
              </w:rPr>
              <w:t>g</w:t>
            </w:r>
            <w:r>
              <w:rPr>
                <w:rFonts w:ascii="Times New Roman" w:hAnsi="Times New Roman" w:eastAsia="宋体" w:cs="Times New Roman"/>
                <w:bCs/>
                <w:sz w:val="24"/>
                <w:vertAlign w:val="superscript"/>
              </w:rPr>
              <w:t>-1</w:t>
            </w:r>
            <w:r>
              <w:rPr>
                <w:rFonts w:ascii="Times New Roman" w:hAnsi="Times New Roman" w:eastAsia="宋体" w:cs="Times New Roman"/>
                <w:bCs/>
                <w:sz w:val="24"/>
              </w:rPr>
              <w:t>)</w:t>
            </w:r>
          </w:p>
        </w:tc>
        <w:tc>
          <w:tcPr>
            <w:tcW w:w="1299" w:type="pct"/>
            <w:tcBorders>
              <w:top w:val="single" w:color="000000" w:sz="8" w:space="0"/>
              <w:left w:val="single" w:color="FFFFFF" w:sz="8" w:space="0"/>
              <w:bottom w:val="single" w:color="000000" w:sz="8" w:space="0"/>
              <w:right w:val="single" w:color="FFFFFF" w:sz="8" w:space="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234A56F"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bCs/>
                <w:sz w:val="24"/>
              </w:rPr>
              <w:t xml:space="preserve">Pore diameter </w:t>
            </w:r>
            <w:r>
              <w:rPr>
                <w:rFonts w:hint="eastAsia" w:ascii="Times New Roman" w:hAnsi="Times New Roman" w:eastAsia="宋体" w:cs="Times New Roman"/>
                <w:bCs/>
                <w:sz w:val="24"/>
                <w:vertAlign w:val="superscript"/>
              </w:rPr>
              <w:t>b</w:t>
            </w:r>
            <w:r>
              <w:rPr>
                <w:rFonts w:hint="eastAsia" w:ascii="Times New Roman" w:hAnsi="Times New Roman" w:eastAsia="宋体" w:cs="Times New Roman"/>
                <w:bCs/>
                <w:sz w:val="24"/>
              </w:rPr>
              <w:t xml:space="preserve"> (nm)</w:t>
            </w:r>
          </w:p>
        </w:tc>
        <w:tc>
          <w:tcPr>
            <w:tcW w:w="1298" w:type="pct"/>
            <w:tcBorders>
              <w:top w:val="single" w:color="000000" w:sz="8" w:space="0"/>
              <w:left w:val="single" w:color="FFFFFF" w:sz="8" w:space="0"/>
              <w:bottom w:val="single" w:color="000000" w:sz="8" w:space="0"/>
              <w:right w:val="single" w:color="FFFFFF" w:sz="8" w:space="0"/>
            </w:tcBorders>
          </w:tcPr>
          <w:p w14:paraId="28BB5C3B">
            <w:pPr>
              <w:jc w:val="center"/>
              <w:rPr>
                <w:rFonts w:ascii="Times New Roman" w:hAnsi="Times New Roman" w:eastAsia="宋体" w:cs="Times New Roman"/>
                <w:bCs/>
                <w:sz w:val="24"/>
                <w:vertAlign w:val="superscript"/>
              </w:rPr>
            </w:pPr>
            <w:r>
              <w:rPr>
                <w:rFonts w:ascii="Times New Roman" w:hAnsi="Times New Roman" w:eastAsia="宋体" w:cs="Times New Roman"/>
                <w:bCs/>
                <w:sz w:val="24"/>
              </w:rPr>
              <w:t xml:space="preserve">Pore volume </w:t>
            </w:r>
            <w:r>
              <w:rPr>
                <w:rFonts w:hint="eastAsia" w:ascii="Times New Roman" w:hAnsi="Times New Roman" w:eastAsia="宋体" w:cs="Times New Roman"/>
                <w:bCs/>
                <w:sz w:val="24"/>
                <w:vertAlign w:val="superscript"/>
              </w:rPr>
              <w:t>c</w:t>
            </w:r>
          </w:p>
          <w:p w14:paraId="36CE1328">
            <w:pPr>
              <w:jc w:val="center"/>
              <w:rPr>
                <w:rFonts w:ascii="Times New Roman" w:hAnsi="Times New Roman" w:eastAsia="宋体" w:cs="Times New Roman"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Cs/>
                <w:sz w:val="24"/>
              </w:rPr>
              <w:t xml:space="preserve"> (cm</w:t>
            </w:r>
            <w:r>
              <w:rPr>
                <w:rFonts w:ascii="Times New Roman" w:hAnsi="Times New Roman" w:eastAsia="宋体" w:cs="Times New Roman"/>
                <w:bCs/>
                <w:sz w:val="24"/>
                <w:vertAlign w:val="superscript"/>
              </w:rPr>
              <w:t>3</w:t>
            </w:r>
            <w:r>
              <w:rPr>
                <w:rFonts w:hint="eastAsia" w:ascii="Times New Roman" w:hAnsi="Times New Roman" w:eastAsia="宋体" w:cs="Times New Roman"/>
                <w:bCs/>
                <w:sz w:val="24"/>
              </w:rPr>
              <w:t xml:space="preserve"> </w:t>
            </w:r>
            <w:r>
              <w:rPr>
                <w:rFonts w:ascii="Times New Roman" w:hAnsi="Times New Roman" w:eastAsia="宋体" w:cs="Times New Roman"/>
                <w:bCs/>
                <w:sz w:val="24"/>
              </w:rPr>
              <w:t>g</w:t>
            </w:r>
            <w:r>
              <w:rPr>
                <w:rFonts w:ascii="Times New Roman" w:hAnsi="Times New Roman" w:eastAsia="宋体" w:cs="Times New Roman"/>
                <w:bCs/>
                <w:sz w:val="24"/>
                <w:vertAlign w:val="superscript"/>
              </w:rPr>
              <w:t>-1</w:t>
            </w:r>
            <w:r>
              <w:rPr>
                <w:rFonts w:ascii="Times New Roman" w:hAnsi="Times New Roman" w:eastAsia="宋体" w:cs="Times New Roman"/>
                <w:bCs/>
                <w:sz w:val="24"/>
              </w:rPr>
              <w:t>)</w:t>
            </w:r>
          </w:p>
        </w:tc>
      </w:tr>
      <w:tr w14:paraId="13296F3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946" w:type="pct"/>
            <w:tcBorders>
              <w:top w:val="single" w:color="000000" w:sz="8" w:space="0"/>
              <w:left w:val="single" w:color="FFFFFF" w:sz="8" w:space="0"/>
              <w:right w:val="single" w:color="FFFFFF" w:sz="8" w:space="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75E5F99"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bookmarkStart w:id="7" w:name="_Hlk233021552"/>
            <w:r>
              <w:rPr>
                <w:rFonts w:ascii="Times New Roman" w:hAnsi="Times New Roman" w:cs="Times New Roman"/>
                <w:bCs/>
                <w:sz w:val="24"/>
              </w:rPr>
              <w:t>La -CN</w:t>
            </w:r>
          </w:p>
        </w:tc>
        <w:tc>
          <w:tcPr>
            <w:tcW w:w="1457" w:type="pct"/>
            <w:tcBorders>
              <w:top w:val="single" w:color="000000" w:sz="8" w:space="0"/>
              <w:left w:val="single" w:color="FFFFFF" w:sz="8" w:space="0"/>
              <w:right w:val="single" w:color="FFFFFF" w:sz="8" w:space="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A863299"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68.801</w:t>
            </w:r>
          </w:p>
        </w:tc>
        <w:tc>
          <w:tcPr>
            <w:tcW w:w="1299" w:type="pct"/>
            <w:tcBorders>
              <w:top w:val="single" w:color="000000" w:sz="8" w:space="0"/>
              <w:left w:val="single" w:color="FFFFFF" w:sz="8" w:space="0"/>
              <w:right w:val="single" w:color="FFFFFF" w:sz="8" w:space="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94FCC09"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3.845</w:t>
            </w:r>
          </w:p>
        </w:tc>
        <w:tc>
          <w:tcPr>
            <w:tcW w:w="1298" w:type="pct"/>
            <w:tcBorders>
              <w:top w:val="single" w:color="000000" w:sz="8" w:space="0"/>
              <w:left w:val="single" w:color="FFFFFF" w:sz="8" w:space="0"/>
              <w:right w:val="single" w:color="FFFFFF" w:sz="8" w:space="0"/>
            </w:tcBorders>
          </w:tcPr>
          <w:p w14:paraId="75532E70"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0.130</w:t>
            </w:r>
          </w:p>
        </w:tc>
      </w:tr>
      <w:tr w14:paraId="28B2ED6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946" w:type="pct"/>
            <w:tcBorders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79CFDAE">
            <w:pPr>
              <w:jc w:val="center"/>
              <w:rPr>
                <w:rFonts w:ascii="Times New Roman" w:hAnsi="Times New Roman" w:eastAsia="宋体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La-CN-</w:t>
            </w:r>
            <w:r>
              <w:rPr>
                <w:rFonts w:hint="eastAsia" w:ascii="Times New Roman" w:hAnsi="Times New Roman" w:cs="Times New Roman"/>
                <w:bCs/>
                <w:sz w:val="24"/>
              </w:rPr>
              <w:t>IL</w:t>
            </w:r>
          </w:p>
        </w:tc>
        <w:tc>
          <w:tcPr>
            <w:tcW w:w="1457" w:type="pct"/>
            <w:tcBorders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CBCCE7C"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44.035</w:t>
            </w:r>
          </w:p>
        </w:tc>
        <w:tc>
          <w:tcPr>
            <w:tcW w:w="1299" w:type="pct"/>
            <w:tcBorders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24A2F76"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3.812</w:t>
            </w:r>
          </w:p>
        </w:tc>
        <w:tc>
          <w:tcPr>
            <w:tcW w:w="1298" w:type="pct"/>
            <w:tcBorders>
              <w:left w:val="single" w:color="FFFFFF" w:sz="8" w:space="0"/>
              <w:bottom w:val="single" w:color="FFFFFF" w:sz="8" w:space="0"/>
              <w:right w:val="single" w:color="FFFFFF" w:sz="8" w:space="0"/>
            </w:tcBorders>
          </w:tcPr>
          <w:p w14:paraId="430B6F20"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0.134</w:t>
            </w:r>
          </w:p>
        </w:tc>
      </w:tr>
      <w:tr w14:paraId="248D1A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946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349520A"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La-CN-</w:t>
            </w:r>
            <w:r>
              <w:rPr>
                <w:rFonts w:hint="eastAsia" w:ascii="Times New Roman" w:hAnsi="Times New Roman" w:cs="Times New Roman"/>
                <w:bCs/>
                <w:sz w:val="24"/>
              </w:rPr>
              <w:t>2IL</w:t>
            </w:r>
          </w:p>
        </w:tc>
        <w:tc>
          <w:tcPr>
            <w:tcW w:w="1457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EDD457D"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41.937</w:t>
            </w:r>
          </w:p>
        </w:tc>
        <w:tc>
          <w:tcPr>
            <w:tcW w:w="1299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9BFAFFD"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3.801</w:t>
            </w:r>
          </w:p>
        </w:tc>
        <w:tc>
          <w:tcPr>
            <w:tcW w:w="1298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</w:tcPr>
          <w:p w14:paraId="79CF661B"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0.106</w:t>
            </w:r>
          </w:p>
        </w:tc>
      </w:tr>
      <w:tr w14:paraId="2F8D380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3" w:hRule="atLeast"/>
          <w:jc w:val="center"/>
        </w:trPr>
        <w:tc>
          <w:tcPr>
            <w:tcW w:w="946" w:type="pct"/>
            <w:tcBorders>
              <w:top w:val="single" w:color="FFFFFF" w:sz="8" w:space="0"/>
              <w:left w:val="single" w:color="FFFFFF" w:sz="8" w:space="0"/>
              <w:bottom w:val="single" w:color="000000" w:sz="8" w:space="0"/>
              <w:right w:val="single" w:color="FFFFFF" w:sz="8" w:space="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44E3549"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La-CN-</w:t>
            </w:r>
            <w:r>
              <w:rPr>
                <w:rFonts w:hint="eastAsia" w:ascii="Times New Roman" w:hAnsi="Times New Roman" w:cs="Times New Roman"/>
                <w:bCs/>
                <w:sz w:val="24"/>
              </w:rPr>
              <w:t>3IL</w:t>
            </w:r>
          </w:p>
        </w:tc>
        <w:tc>
          <w:tcPr>
            <w:tcW w:w="1457" w:type="pct"/>
            <w:tcBorders>
              <w:top w:val="single" w:color="FFFFFF" w:sz="8" w:space="0"/>
              <w:left w:val="single" w:color="FFFFFF" w:sz="8" w:space="0"/>
              <w:bottom w:val="single" w:color="000000" w:sz="8" w:space="0"/>
              <w:right w:val="single" w:color="FFFFFF" w:sz="8" w:space="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75F06C9"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34.487</w:t>
            </w:r>
          </w:p>
        </w:tc>
        <w:tc>
          <w:tcPr>
            <w:tcW w:w="1299" w:type="pct"/>
            <w:tcBorders>
              <w:top w:val="single" w:color="FFFFFF" w:sz="8" w:space="0"/>
              <w:left w:val="single" w:color="FFFFFF" w:sz="8" w:space="0"/>
              <w:bottom w:val="single" w:color="000000" w:sz="8" w:space="0"/>
              <w:right w:val="single" w:color="FFFFFF" w:sz="8" w:space="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39441FB"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3.794</w:t>
            </w:r>
          </w:p>
        </w:tc>
        <w:tc>
          <w:tcPr>
            <w:tcW w:w="1298" w:type="pct"/>
            <w:tcBorders>
              <w:top w:val="single" w:color="FFFFFF" w:sz="8" w:space="0"/>
              <w:left w:val="single" w:color="FFFFFF" w:sz="8" w:space="0"/>
              <w:bottom w:val="single" w:color="000000" w:sz="8" w:space="0"/>
              <w:right w:val="single" w:color="FFFFFF" w:sz="8" w:space="0"/>
            </w:tcBorders>
          </w:tcPr>
          <w:p w14:paraId="19B428C8"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0.103</w:t>
            </w:r>
          </w:p>
        </w:tc>
      </w:tr>
      <w:bookmarkEnd w:id="6"/>
      <w:bookmarkEnd w:id="7"/>
    </w:tbl>
    <w:p w14:paraId="57AB474C">
      <w:pPr>
        <w:rPr>
          <w:rFonts w:ascii="Times New Roman" w:hAnsi="Times New Roman" w:eastAsia="宋体" w:cs="Times New Roman"/>
          <w:bCs/>
          <w:kern w:val="0"/>
          <w:sz w:val="24"/>
          <w:vertAlign w:val="superscript"/>
        </w:rPr>
      </w:pPr>
      <w:r>
        <w:rPr>
          <w:rFonts w:hint="eastAsia" w:ascii="Times New Roman" w:hAnsi="Times New Roman" w:eastAsia="宋体" w:cs="Times New Roman"/>
          <w:bCs/>
          <w:kern w:val="0"/>
          <w:sz w:val="24"/>
          <w:vertAlign w:val="superscript"/>
        </w:rPr>
        <w:t xml:space="preserve">a Surface area derived from the BET equation; </w:t>
      </w:r>
    </w:p>
    <w:p w14:paraId="60DB17E2">
      <w:pPr>
        <w:rPr>
          <w:rFonts w:ascii="Times New Roman" w:hAnsi="Times New Roman" w:eastAsia="宋体" w:cs="Times New Roman"/>
          <w:bCs/>
          <w:kern w:val="0"/>
          <w:sz w:val="24"/>
          <w:vertAlign w:val="superscript"/>
        </w:rPr>
      </w:pPr>
      <w:r>
        <w:rPr>
          <w:rFonts w:hint="eastAsia" w:ascii="Times New Roman" w:hAnsi="Times New Roman" w:eastAsia="宋体" w:cs="Times New Roman"/>
          <w:bCs/>
          <w:kern w:val="0"/>
          <w:sz w:val="24"/>
          <w:vertAlign w:val="superscript"/>
        </w:rPr>
        <w:t xml:space="preserve">b Pore diameter, obtained from the BJH method desorption; </w:t>
      </w:r>
    </w:p>
    <w:p w14:paraId="50301ACF">
      <w:pPr>
        <w:rPr>
          <w:rFonts w:ascii="Times New Roman" w:hAnsi="Times New Roman" w:cs="Times New Roman"/>
        </w:rPr>
      </w:pPr>
      <w:r>
        <w:rPr>
          <w:rFonts w:hint="eastAsia" w:ascii="Times New Roman" w:hAnsi="Times New Roman" w:eastAsia="宋体" w:cs="Times New Roman"/>
          <w:bCs/>
          <w:kern w:val="0"/>
          <w:sz w:val="24"/>
          <w:vertAlign w:val="superscript"/>
        </w:rPr>
        <w:t>c Pore volume, obtained from the volume of nitrogen adsorbed at a relative pressure of 0.99.</w:t>
      </w:r>
    </w:p>
    <w:p w14:paraId="60814BA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B3FC79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38D9C799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2879725" cy="2845435"/>
            <wp:effectExtent l="0" t="0" r="0" b="0"/>
            <wp:docPr id="131584573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5845730" name="图片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2845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5CB123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</w:rPr>
        <w:t>Supplementary Figure 3. TEM images of La-CN and La-CN-IL. a</w:t>
      </w:r>
      <w:r>
        <w:rPr>
          <w:rFonts w:hint="eastAsia" w:ascii="Times New Roman" w:hAnsi="Times New Roman" w:cs="Times New Roman"/>
          <w:sz w:val="24"/>
          <w:szCs w:val="24"/>
        </w:rPr>
        <w:t xml:space="preserve"> High-resolution TEM image of La-CN showing the typical amorphous contrast without discernible lattice fringes, indicating the absence of long-range crystalline order. The darker contrast in the lower-right region corresponds to stacked or folded sheet areas. </w:t>
      </w:r>
      <w:r>
        <w:rPr>
          <w:rFonts w:hint="eastAsia" w:ascii="Times New Roman" w:hAnsi="Times New Roman" w:cs="Times New Roman"/>
          <w:b/>
          <w:bCs/>
          <w:sz w:val="24"/>
          <w:szCs w:val="24"/>
        </w:rPr>
        <w:t>b</w:t>
      </w:r>
      <w:r>
        <w:rPr>
          <w:rFonts w:hint="eastAsia" w:ascii="Times New Roman" w:hAnsi="Times New Roman" w:cs="Times New Roman"/>
          <w:sz w:val="24"/>
          <w:szCs w:val="24"/>
        </w:rPr>
        <w:t xml:space="preserve"> High-resolution TEM image of La-CN-IL showing more uniform amorphous contrast with no observable lattice fringes or crystalline particles, suggesting a more homogeneous and flattened sheet structure compared with La-CN. </w:t>
      </w:r>
      <w:r>
        <w:rPr>
          <w:rFonts w:hint="eastAsia" w:ascii="Times New Roman" w:hAnsi="Times New Roman" w:cs="Times New Roman"/>
          <w:b/>
          <w:bCs/>
          <w:sz w:val="24"/>
          <w:szCs w:val="24"/>
        </w:rPr>
        <w:t>c</w:t>
      </w:r>
      <w:r>
        <w:rPr>
          <w:rFonts w:hint="eastAsia" w:ascii="Times New Roman" w:hAnsi="Times New Roman" w:cs="Times New Roman"/>
          <w:sz w:val="24"/>
          <w:szCs w:val="24"/>
        </w:rPr>
        <w:t xml:space="preserve"> Low-magnification TEM image of La-CN-IL showing a continuous two-dimensional sheet morphology with irregular, serrated edges and a uniform internal contrast. </w:t>
      </w:r>
      <w:r>
        <w:rPr>
          <w:rFonts w:hint="eastAsia" w:ascii="Times New Roman" w:hAnsi="Times New Roman" w:cs="Times New Roman"/>
          <w:b/>
          <w:bCs/>
          <w:sz w:val="24"/>
          <w:szCs w:val="24"/>
        </w:rPr>
        <w:t>d</w:t>
      </w:r>
      <w:r>
        <w:rPr>
          <w:rFonts w:hint="eastAsia" w:ascii="Times New Roman" w:hAnsi="Times New Roman" w:cs="Times New Roman"/>
          <w:sz w:val="24"/>
          <w:szCs w:val="24"/>
        </w:rPr>
        <w:t xml:space="preserve"> Dark-field TEM image showing the selected area for EDS elemental mapping, displaying an irregular, fluffy agglomerated morphology with bright regions corresponding to thinner areas of the sample. Scale bars: 10 nm (a,b), 200 nm (c), 300 nm (d).</w:t>
      </w: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2A85EB4C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drawing>
          <wp:inline distT="0" distB="0" distL="0" distR="0">
            <wp:extent cx="2879725" cy="2197735"/>
            <wp:effectExtent l="0" t="0" r="0" b="0"/>
            <wp:docPr id="22353089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3530891" name="图片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219777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EA081F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</w:rPr>
        <w:t>Supplementary Figure 4.</w:t>
      </w:r>
      <w:r>
        <w:rPr>
          <w:rFonts w:hint="eastAsia" w:ascii="Times New Roman" w:hAnsi="Times New Roman" w:cs="Times New Roman"/>
          <w:sz w:val="24"/>
          <w:szCs w:val="24"/>
        </w:rPr>
        <w:t xml:space="preserve"> </w:t>
      </w:r>
      <w:r>
        <w:rPr>
          <w:rFonts w:hint="eastAsia" w:ascii="Times New Roman" w:hAnsi="Times New Roman" w:cs="Times New Roman"/>
          <w:b/>
          <w:bCs/>
          <w:sz w:val="24"/>
          <w:szCs w:val="24"/>
        </w:rPr>
        <w:t>Low-magnification TEM images and EDS elemental mapping of La-CN and La-CN-IL. a</w:t>
      </w:r>
      <w:r>
        <w:rPr>
          <w:rFonts w:hint="eastAsia" w:ascii="Times New Roman" w:hAnsi="Times New Roman" w:cs="Times New Roman"/>
          <w:sz w:val="24"/>
          <w:szCs w:val="24"/>
        </w:rPr>
        <w:t xml:space="preserve"> Low-magnification TEM image of La-CN showing a micron-scale layered agglomerate with clearly discernible sheet wrinkles and folds, where bright regions correspond to thinner sheet areas and dark regions correspond to stacked or thickened sheets.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 xml:space="preserve">b </w:t>
      </w:r>
      <w:r>
        <w:rPr>
          <w:rFonts w:hint="eastAsia" w:ascii="Times New Roman" w:hAnsi="Times New Roman" w:cs="Times New Roman"/>
          <w:sz w:val="24"/>
          <w:szCs w:val="24"/>
        </w:rPr>
        <w:t xml:space="preserve">Low-magnification TEM image of La-CN-IL showing an irregular block-like agglomerate with significantly weakened layered features compared with La-CN, indicating that the ordered layered stacking is disrupted and transformed into a disordered, densely packed structure. </w:t>
      </w:r>
      <w:r>
        <w:rPr>
          <w:rFonts w:hint="eastAsia" w:ascii="Times New Roman" w:hAnsi="Times New Roman" w:cs="Times New Roman"/>
          <w:b/>
          <w:bCs/>
          <w:sz w:val="24"/>
          <w:szCs w:val="24"/>
        </w:rPr>
        <w:t>c-f</w:t>
      </w:r>
      <w:r>
        <w:rPr>
          <w:rFonts w:hint="eastAsia" w:ascii="Times New Roman" w:hAnsi="Times New Roman" w:cs="Times New Roman"/>
          <w:sz w:val="24"/>
          <w:szCs w:val="24"/>
        </w:rPr>
        <w:t xml:space="preserve"> EDS elemental mapping of La-CN-IL showing the distribution of La (yellow, c), N (red, d), O (blue, e) and C (green, f). All elements are </w:t>
      </w:r>
      <w:r>
        <w:rPr>
          <w:rFonts w:ascii="Times New Roman" w:hAnsi="Times New Roman" w:cs="Times New Roman"/>
          <w:sz w:val="24"/>
          <w:szCs w:val="24"/>
        </w:rPr>
        <w:t>homogeneously distributed over the entire scanned region, with no local enrichment or aggregation of La species detected, confirming the uniform dispersion of La</w:t>
      </w:r>
      <w:r>
        <w:rPr>
          <w:rFonts w:hint="eastAsia"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O subnanoclusters on the g-C</w:t>
      </w:r>
      <w:r>
        <w:rPr>
          <w:rFonts w:hint="eastAsia"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hint="eastAsia" w:ascii="Times New Roman" w:hAnsi="Times New Roman" w:cs="Times New Roman"/>
          <w:sz w:val="24"/>
          <w:szCs w:val="24"/>
          <w:vertAlign w:val="subscript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support. Scale bars: 5 nm (c,</w:t>
      </w:r>
      <w:r>
        <w:rPr>
          <w:rFonts w:hint="eastAsia"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f), 10 nm (d,</w:t>
      </w:r>
      <w:r>
        <w:rPr>
          <w:rFonts w:hint="eastAsia"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e).</w:t>
      </w: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1EA8071B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drawing>
          <wp:inline distT="0" distB="0" distL="0" distR="0">
            <wp:extent cx="2879725" cy="2847340"/>
            <wp:effectExtent l="0" t="0" r="0" b="0"/>
            <wp:docPr id="196180551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1805519" name="图片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284770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F2546D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</w:rPr>
        <w:t>Supplementary Figure 5</w:t>
      </w:r>
      <w:r>
        <w:rPr>
          <w:rFonts w:hint="eastAsia" w:ascii="Times New Roman" w:hAnsi="Times New Roman" w:cs="Times New Roman"/>
          <w:sz w:val="24"/>
          <w:szCs w:val="24"/>
        </w:rPr>
        <w:t xml:space="preserve">. </w:t>
      </w:r>
      <w:r>
        <w:rPr>
          <w:rFonts w:hint="eastAsia" w:ascii="Times New Roman" w:hAnsi="Times New Roman" w:cs="Times New Roman"/>
          <w:b/>
          <w:bCs/>
          <w:sz w:val="24"/>
          <w:szCs w:val="24"/>
        </w:rPr>
        <w:t>XPS spectra of La-CN and La-CN-2IL.</w:t>
      </w:r>
      <w:r>
        <w:rPr>
          <w:rFonts w:hint="eastAsia" w:ascii="Times New Roman" w:hAnsi="Times New Roman" w:cs="Times New Roman"/>
          <w:sz w:val="24"/>
          <w:szCs w:val="24"/>
        </w:rPr>
        <w:t xml:space="preserve"> </w:t>
      </w:r>
      <w:r>
        <w:rPr>
          <w:rFonts w:hint="eastAsia" w:ascii="Times New Roman" w:hAnsi="Times New Roman" w:cs="Times New Roman"/>
          <w:b/>
          <w:bCs/>
          <w:sz w:val="24"/>
          <w:szCs w:val="24"/>
        </w:rPr>
        <w:t>a</w:t>
      </w:r>
      <w:r>
        <w:rPr>
          <w:rFonts w:hint="eastAsia" w:ascii="Times New Roman" w:hAnsi="Times New Roman" w:cs="Times New Roman"/>
          <w:sz w:val="24"/>
          <w:szCs w:val="24"/>
        </w:rPr>
        <w:t xml:space="preserve"> Survey XPS spectra showing the presence of C 1s (~285 eV), N 1s (~400 eV), O 1s (~530 eV) and La 3d (~840 eV) in both samples, with no additional elements detected after IL treatment. </w:t>
      </w:r>
      <w:r>
        <w:rPr>
          <w:rFonts w:hint="eastAsia" w:ascii="Times New Roman" w:hAnsi="Times New Roman" w:cs="Times New Roman"/>
          <w:b/>
          <w:bCs/>
          <w:sz w:val="24"/>
          <w:szCs w:val="24"/>
        </w:rPr>
        <w:t>b</w:t>
      </w:r>
      <w:r>
        <w:rPr>
          <w:rFonts w:hint="eastAsia" w:ascii="Times New Roman" w:hAnsi="Times New Roman" w:cs="Times New Roman"/>
          <w:sz w:val="24"/>
          <w:szCs w:val="24"/>
        </w:rPr>
        <w:t xml:space="preserve"> High-resolution O 1s spectra deconvoluted into three components corresponding to metal-bonded oxygen (529.3 eV for La-CN; 528.5 eV for La-CN-2IL), surface hydroxyl/adsorbed oxygen (532.3 eV for La-CN; 530.5 eV for La-CN-2IL) and adsorbed water (535.4 eV for La-CN; 533.1 eV for La-CN-2IL). The O 1s peaks of La-CN-2IL exhibit an overall negative shift of approximately 0.75 eV relative to La-CN, indicating increased electron density around the O atoms and enhanced La-O interaction upon IL modification. </w:t>
      </w:r>
      <w:r>
        <w:rPr>
          <w:rFonts w:hint="eastAsia" w:ascii="Times New Roman" w:hAnsi="Times New Roman" w:cs="Times New Roman"/>
          <w:b/>
          <w:bCs/>
          <w:sz w:val="24"/>
          <w:szCs w:val="24"/>
        </w:rPr>
        <w:t>c</w:t>
      </w:r>
      <w:r>
        <w:rPr>
          <w:rFonts w:hint="eastAsia" w:ascii="Times New Roman" w:hAnsi="Times New Roman" w:cs="Times New Roman"/>
          <w:sz w:val="24"/>
          <w:szCs w:val="24"/>
        </w:rPr>
        <w:t xml:space="preserve"> High-resolution C 1s spectra of La-CN and La-CN-2IL. The peaks at 284.8 eV correspond to adventitious carbon used for charge correction. The com</w:t>
      </w:r>
      <w:r>
        <w:rPr>
          <w:rFonts w:ascii="Times New Roman" w:hAnsi="Times New Roman" w:cs="Times New Roman"/>
          <w:sz w:val="24"/>
          <w:szCs w:val="24"/>
        </w:rPr>
        <w:t>ponents show divergent shifts: the N-C=N framework carbon shifts from 287.1 eV to 286.3 eV, the π</w:t>
      </w:r>
      <w:r>
        <w:rPr>
          <w:rFonts w:hint="eastAsia"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π* satellite shif</w:t>
      </w:r>
      <w:r>
        <w:rPr>
          <w:rFonts w:hint="eastAsia" w:ascii="Times New Roman" w:hAnsi="Times New Roman" w:cs="Times New Roman"/>
          <w:sz w:val="24"/>
          <w:szCs w:val="24"/>
        </w:rPr>
        <w:t xml:space="preserve">ts from 290.2 eV to 289.9 eV (both towards lower binding energy), and the low-binding-energy component shifts from 281.7 eV to 282.1 eV (towards higher binding energy). </w:t>
      </w:r>
      <w:r>
        <w:rPr>
          <w:rFonts w:hint="eastAsia" w:ascii="Times New Roman" w:hAnsi="Times New Roman" w:cs="Times New Roman"/>
          <w:b/>
          <w:bCs/>
          <w:sz w:val="24"/>
          <w:szCs w:val="24"/>
        </w:rPr>
        <w:t>d</w:t>
      </w:r>
      <w:r>
        <w:rPr>
          <w:rFonts w:hint="eastAsia" w:ascii="Times New Roman" w:hAnsi="Times New Roman" w:cs="Times New Roman"/>
          <w:sz w:val="24"/>
          <w:szCs w:val="24"/>
        </w:rPr>
        <w:t xml:space="preserve"> High-resolution N 1s spectra showing the conjugated N peak shifting from 395.4 eV to 395.6 eV and the bridging N peak shifting from 397.6 eV to 398.0 eV. These shifts provide evidence for the introduction of nitrogen vacancies upon IL treatment. All binding energies were calibrated against the adventitious C 1s peak at 284.8 eV.</w:t>
      </w:r>
    </w:p>
    <w:p w14:paraId="441B6A2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AC3BE38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14:ligatures w14:val="none"/>
        </w:rPr>
        <w:drawing>
          <wp:inline distT="0" distB="0" distL="0" distR="0">
            <wp:extent cx="2879725" cy="2342515"/>
            <wp:effectExtent l="0" t="0" r="0" b="635"/>
            <wp:docPr id="13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2342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654DB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Supplementary Figure 6</w:t>
      </w:r>
      <w:r>
        <w:rPr>
          <w:rFonts w:hint="eastAsia"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bCs/>
          <w:sz w:val="24"/>
          <w:szCs w:val="24"/>
        </w:rPr>
        <w:t>K</w:t>
      </w:r>
      <w:r>
        <w:rPr>
          <w:rFonts w:hint="eastAsia" w:ascii="Times New Roman" w:hAnsi="Times New Roman" w:cs="Times New Roman"/>
          <w:b/>
          <w:bCs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b/>
          <w:bCs/>
          <w:sz w:val="24"/>
          <w:szCs w:val="24"/>
        </w:rPr>
        <w:t>-weighted EXAFS k-space spectra of La</w:t>
      </w:r>
      <w:r>
        <w:rPr>
          <w:rFonts w:hint="eastAsia" w:ascii="Times New Roman" w:hAnsi="Times New Roman" w:cs="Times New Roman"/>
          <w:b/>
          <w:bCs/>
          <w:sz w:val="24"/>
          <w:szCs w:val="24"/>
        </w:rPr>
        <w:t>-</w:t>
      </w:r>
      <w:r>
        <w:rPr>
          <w:rFonts w:ascii="Times New Roman" w:hAnsi="Times New Roman" w:cs="Times New Roman"/>
          <w:b/>
          <w:bCs/>
          <w:sz w:val="24"/>
          <w:szCs w:val="24"/>
        </w:rPr>
        <w:t>CN, La</w:t>
      </w:r>
      <w:r>
        <w:rPr>
          <w:rFonts w:hint="eastAsia" w:ascii="Times New Roman" w:hAnsi="Times New Roman" w:cs="Times New Roman"/>
          <w:b/>
          <w:bCs/>
          <w:sz w:val="24"/>
          <w:szCs w:val="24"/>
        </w:rPr>
        <w:t>-</w:t>
      </w:r>
      <w:r>
        <w:rPr>
          <w:rFonts w:ascii="Times New Roman" w:hAnsi="Times New Roman" w:cs="Times New Roman"/>
          <w:b/>
          <w:bCs/>
          <w:sz w:val="24"/>
          <w:szCs w:val="24"/>
        </w:rPr>
        <w:t>CN-2IL, La foil and La</w:t>
      </w:r>
      <w:r>
        <w:rPr>
          <w:rFonts w:hint="eastAsia" w:ascii="Times New Roman" w:hAnsi="Times New Roman" w:cs="Times New Roman"/>
          <w:b/>
          <w:bCs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b/>
          <w:bCs/>
          <w:sz w:val="24"/>
          <w:szCs w:val="24"/>
        </w:rPr>
        <w:t>O</w:t>
      </w:r>
      <w:r>
        <w:rPr>
          <w:rFonts w:hint="eastAsia" w:ascii="Times New Roman" w:hAnsi="Times New Roman" w:cs="Times New Roman"/>
          <w:b/>
          <w:bCs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references. </w:t>
      </w:r>
      <w:r>
        <w:rPr>
          <w:rFonts w:ascii="Times New Roman" w:hAnsi="Times New Roman" w:cs="Times New Roman"/>
          <w:sz w:val="24"/>
          <w:szCs w:val="24"/>
        </w:rPr>
        <w:t>The spectra show the oscillatory EXAFS signals at the La L</w:t>
      </w:r>
      <w:r>
        <w:rPr>
          <w:rFonts w:hint="eastAsia"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</w:rPr>
        <w:t>-edge. La foil exhibits low oscillation amplitudes across the entire k-range, while La</w:t>
      </w:r>
      <w:r>
        <w:rPr>
          <w:rFonts w:hint="eastAsia"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O</w:t>
      </w:r>
      <w:r>
        <w:rPr>
          <w:rFonts w:hint="eastAsia"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shows pronounced high-amplitude oscillations. The La</w:t>
      </w:r>
      <w:r>
        <w:rPr>
          <w:rFonts w:hint="eastAsia"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CN and La</w:t>
      </w:r>
      <w:r>
        <w:rPr>
          <w:rFonts w:hint="eastAsia"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CN-2IL samples display similar oscillation patterns with amplitudes lower than that of La</w:t>
      </w:r>
      <w:r>
        <w:rPr>
          <w:rFonts w:hint="eastAsia"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O</w:t>
      </w:r>
      <w:r>
        <w:rPr>
          <w:rFonts w:hint="eastAsia"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</w:rPr>
        <w:t>. Notably, the oscillation amplitude of La</w:t>
      </w:r>
      <w:r>
        <w:rPr>
          <w:rFonts w:hint="eastAsia"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CN-2IL is slightly lower than that of La</w:t>
      </w:r>
      <w:r>
        <w:rPr>
          <w:rFonts w:hint="eastAsia"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CN, suggesting</w:t>
      </w:r>
      <w:r>
        <w:rPr>
          <w:rFonts w:hint="eastAsia" w:ascii="Times New Roman" w:hAnsi="Times New Roman" w:cs="Times New Roman"/>
          <w:sz w:val="24"/>
          <w:szCs w:val="24"/>
        </w:rPr>
        <w:t xml:space="preserve"> a decrease in the average coordination number and/or an increase in structural disorder around the La species after IL modification, consistent with the EXAFS fitting results (Supplementary Table 2).</w:t>
      </w:r>
    </w:p>
    <w:p w14:paraId="3362A05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69AD50F7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drawing>
          <wp:inline distT="0" distB="0" distL="0" distR="0">
            <wp:extent cx="4319905" cy="3101340"/>
            <wp:effectExtent l="0" t="0" r="4445" b="3810"/>
            <wp:docPr id="27945629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9456290" name="图片 1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310172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907F22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</w:rPr>
        <w:t>Supplementary Figure 7</w:t>
      </w:r>
      <w:r>
        <w:rPr>
          <w:rFonts w:hint="eastAsia" w:ascii="Times New Roman" w:hAnsi="Times New Roman" w:cs="Times New Roman"/>
          <w:sz w:val="24"/>
          <w:szCs w:val="24"/>
        </w:rPr>
        <w:t xml:space="preserve">. </w:t>
      </w:r>
      <w:r>
        <w:rPr>
          <w:rFonts w:hint="eastAsia" w:ascii="Times New Roman" w:hAnsi="Times New Roman" w:cs="Times New Roman"/>
          <w:b/>
          <w:bCs/>
          <w:sz w:val="24"/>
          <w:szCs w:val="24"/>
        </w:rPr>
        <w:t>Wavelet-transform EXAFS (WT-EXAFS) contour plots of La-CN, La-CN-2IL and reference samples.</w:t>
      </w:r>
      <w:r>
        <w:rPr>
          <w:rFonts w:hint="eastAsia" w:ascii="Times New Roman" w:hAnsi="Times New Roman" w:cs="Times New Roman"/>
          <w:sz w:val="24"/>
          <w:szCs w:val="24"/>
        </w:rPr>
        <w:t xml:space="preserve"> </w:t>
      </w:r>
      <w:r>
        <w:rPr>
          <w:rFonts w:hint="eastAsia" w:ascii="Times New Roman" w:hAnsi="Times New Roman" w:cs="Times New Roman"/>
          <w:b/>
          <w:bCs/>
          <w:sz w:val="24"/>
          <w:szCs w:val="24"/>
        </w:rPr>
        <w:t>a</w:t>
      </w:r>
      <w:r>
        <w:rPr>
          <w:rFonts w:hint="eastAsia" w:ascii="Times New Roman" w:hAnsi="Times New Roman" w:cs="Times New Roman"/>
          <w:sz w:val="24"/>
          <w:szCs w:val="24"/>
        </w:rPr>
        <w:t xml:space="preserve"> WT-EXAFS of La-CN showing three distinct signal regions corresponding to La-O/N (R</w:t>
      </w:r>
      <w:r>
        <w:rPr>
          <w:rFonts w:ascii="Times New Roman" w:hAnsi="Times New Roman" w:cs="Times New Roman"/>
          <w:sz w:val="24"/>
          <w:szCs w:val="24"/>
        </w:rPr>
        <w:t xml:space="preserve"> ≈ </w:t>
      </w:r>
      <w:r>
        <w:rPr>
          <w:rFonts w:hint="eastAsia" w:ascii="Times New Roman" w:hAnsi="Times New Roman" w:cs="Times New Roman"/>
          <w:sz w:val="24"/>
          <w:szCs w:val="24"/>
        </w:rPr>
        <w:t>1-2 Å), La-C (R</w:t>
      </w:r>
      <w:r>
        <w:rPr>
          <w:rFonts w:ascii="Times New Roman" w:hAnsi="Times New Roman" w:cs="Times New Roman"/>
          <w:sz w:val="24"/>
          <w:szCs w:val="24"/>
        </w:rPr>
        <w:t xml:space="preserve"> ≈ </w:t>
      </w:r>
      <w:r>
        <w:rPr>
          <w:rFonts w:hint="eastAsia" w:ascii="Times New Roman" w:hAnsi="Times New Roman" w:cs="Times New Roman"/>
          <w:sz w:val="24"/>
          <w:szCs w:val="24"/>
        </w:rPr>
        <w:t xml:space="preserve">2-3 Å) and La-La (R </w:t>
      </w:r>
      <w:r>
        <w:rPr>
          <w:rFonts w:ascii="Times New Roman" w:hAnsi="Times New Roman" w:cs="Times New Roman"/>
          <w:sz w:val="24"/>
          <w:szCs w:val="24"/>
        </w:rPr>
        <w:t xml:space="preserve">≈ </w:t>
      </w:r>
      <w:r>
        <w:rPr>
          <w:rFonts w:hint="eastAsia" w:ascii="Times New Roman" w:hAnsi="Times New Roman" w:cs="Times New Roman"/>
          <w:sz w:val="24"/>
          <w:szCs w:val="24"/>
        </w:rPr>
        <w:t xml:space="preserve">3-4 Å) scattering paths, with a maximum intensity of 0.3450. </w:t>
      </w:r>
      <w:r>
        <w:rPr>
          <w:rFonts w:hint="eastAsia" w:ascii="Times New Roman" w:hAnsi="Times New Roman" w:cs="Times New Roman"/>
          <w:b/>
          <w:bCs/>
          <w:sz w:val="24"/>
          <w:szCs w:val="24"/>
        </w:rPr>
        <w:t>b</w:t>
      </w:r>
      <w:r>
        <w:rPr>
          <w:rFonts w:hint="eastAsia" w:ascii="Times New Roman" w:hAnsi="Times New Roman" w:cs="Times New Roman"/>
          <w:sz w:val="24"/>
          <w:szCs w:val="24"/>
        </w:rPr>
        <w:t xml:space="preserve"> WT-EXAFS of La-CN-2IL showing the same three signal regions as La-CN with similar distribution positions, but with a slightly decreased maximum intensity of 0.3370. </w:t>
      </w:r>
      <w:r>
        <w:rPr>
          <w:rFonts w:hint="eastAsia" w:ascii="Times New Roman" w:hAnsi="Times New Roman" w:cs="Times New Roman"/>
          <w:b/>
          <w:bCs/>
          <w:sz w:val="24"/>
          <w:szCs w:val="24"/>
        </w:rPr>
        <w:t>c</w:t>
      </w:r>
      <w:r>
        <w:rPr>
          <w:rFonts w:hint="eastAsia" w:ascii="Times New Roman" w:hAnsi="Times New Roman" w:cs="Times New Roman"/>
          <w:sz w:val="24"/>
          <w:szCs w:val="24"/>
        </w:rPr>
        <w:t xml:space="preserve"> WT-EXAFS of La foil showing only a </w:t>
      </w:r>
      <w:r>
        <w:rPr>
          <w:rFonts w:ascii="Times New Roman" w:hAnsi="Times New Roman" w:cs="Times New Roman"/>
          <w:sz w:val="24"/>
          <w:szCs w:val="24"/>
        </w:rPr>
        <w:t>strong La</w:t>
      </w:r>
      <w:r>
        <w:rPr>
          <w:rFonts w:hint="eastAsia"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La signal at approximately 3 Å, with no observable La</w:t>
      </w:r>
      <w:r>
        <w:rPr>
          <w:rFonts w:hint="eastAsia"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O/N or La</w:t>
      </w:r>
      <w:r>
        <w:rPr>
          <w:rFonts w:hint="eastAsia"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C signals and a low maximum intensity of 0.0328, consistent with the metallic La structure. </w:t>
      </w:r>
      <w:r>
        <w:rPr>
          <w:rFonts w:ascii="Times New Roman" w:hAnsi="Times New Roman" w:cs="Times New Roman"/>
          <w:b/>
          <w:bCs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 WT-EXAFS of La</w:t>
      </w:r>
      <w:r>
        <w:rPr>
          <w:rFonts w:hint="eastAsia"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O</w:t>
      </w:r>
      <w:r>
        <w:rPr>
          <w:rFonts w:hint="eastAsia"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showing a strong La</w:t>
      </w:r>
      <w:r>
        <w:rPr>
          <w:rFonts w:hint="eastAsia"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O signal at low R and La</w:t>
      </w:r>
      <w:r>
        <w:rPr>
          <w:rFonts w:hint="eastAsia"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La signals at higher R, </w:t>
      </w:r>
      <w:r>
        <w:rPr>
          <w:rFonts w:hint="eastAsia" w:ascii="Times New Roman" w:hAnsi="Times New Roman" w:cs="Times New Roman"/>
          <w:sz w:val="24"/>
          <w:szCs w:val="24"/>
        </w:rPr>
        <w:t>with a maximum intensity of 0.5220, reflecting the well-ordered crystalline oxide structure. The slightly reduced WT-EXAFS intensity of La-CN-2IL compared with La-CN further supports the increased local structural disorder around La species after IL modification.</w:t>
      </w:r>
    </w:p>
    <w:p w14:paraId="00E123D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582819D6">
      <w:pPr>
        <w:rPr>
          <w:rFonts w:ascii="Times New Roman" w:hAnsi="Times New Roman" w:eastAsia="宋体" w:cs="Times New Roman"/>
          <w:b/>
          <w:bCs/>
          <w:sz w:val="24"/>
        </w:rPr>
      </w:pPr>
      <w:r>
        <w:rPr>
          <w:rFonts w:hint="eastAsia" w:ascii="Times New Roman" w:hAnsi="Times New Roman" w:eastAsia="宋体" w:cs="Times New Roman"/>
          <w:b/>
          <w:kern w:val="0"/>
          <w:sz w:val="24"/>
        </w:rPr>
        <w:t xml:space="preserve">Supplementary Table </w:t>
      </w:r>
      <w:r>
        <w:rPr>
          <w:rFonts w:hint="eastAsia" w:ascii="Times New Roman" w:hAnsi="Times New Roman" w:eastAsia="宋体" w:cs="Times New Roman"/>
          <w:b/>
          <w:kern w:val="0"/>
          <w:sz w:val="24"/>
          <w:lang w:val="en-US" w:eastAsia="zh-CN"/>
        </w:rPr>
        <w:t>2</w:t>
      </w:r>
      <w:r>
        <w:rPr>
          <w:rFonts w:hint="eastAsia" w:ascii="Times New Roman" w:hAnsi="Times New Roman" w:eastAsia="宋体" w:cs="Times New Roman"/>
          <w:b/>
          <w:kern w:val="0"/>
          <w:sz w:val="24"/>
        </w:rPr>
        <w:t>.</w:t>
      </w:r>
      <w:r>
        <w:rPr>
          <w:rFonts w:ascii="Times New Roman" w:hAnsi="Times New Roman" w:eastAsia="宋体" w:cs="Times New Roman"/>
          <w:b/>
          <w:kern w:val="0"/>
          <w:sz w:val="24"/>
        </w:rPr>
        <w:t xml:space="preserve"> </w:t>
      </w:r>
      <w:r>
        <w:rPr>
          <w:rFonts w:ascii="Times New Roman" w:hAnsi="Times New Roman" w:eastAsia="宋体" w:cs="Times New Roman"/>
          <w:b/>
          <w:bCs/>
          <w:sz w:val="24"/>
        </w:rPr>
        <w:t xml:space="preserve">EXAFS fitting parameters at the La K-edge for various samples（set </w:t>
      </w:r>
      <w:r>
        <w:rPr>
          <w:rFonts w:ascii="Times New Roman" w:hAnsi="Times New Roman" w:eastAsia="宋体" w:cs="Times New Roman"/>
          <w:b/>
          <w:bCs/>
          <w:i/>
        </w:rPr>
        <w:t>Ѕ</w:t>
      </w:r>
      <w:r>
        <w:rPr>
          <w:rFonts w:ascii="Times New Roman" w:hAnsi="Times New Roman" w:eastAsia="宋体" w:cs="Times New Roman"/>
          <w:b/>
          <w:bCs/>
          <w:vertAlign w:val="subscript"/>
        </w:rPr>
        <w:t>0</w:t>
      </w:r>
      <w:r>
        <w:rPr>
          <w:rFonts w:ascii="Times New Roman" w:hAnsi="Times New Roman" w:eastAsia="宋体" w:cs="Times New Roman"/>
          <w:b/>
          <w:bCs/>
          <w:vertAlign w:val="superscript"/>
        </w:rPr>
        <w:t>2</w:t>
      </w:r>
      <w:r>
        <w:rPr>
          <w:rFonts w:ascii="Times New Roman" w:hAnsi="Times New Roman" w:eastAsia="宋体" w:cs="Times New Roman"/>
          <w:b/>
          <w:bCs/>
        </w:rPr>
        <w:t>=0.95</w:t>
      </w:r>
      <w:r>
        <w:rPr>
          <w:rFonts w:ascii="Times New Roman" w:hAnsi="Times New Roman" w:eastAsia="宋体" w:cs="Times New Roman"/>
          <w:b/>
          <w:bCs/>
          <w:sz w:val="24"/>
        </w:rPr>
        <w:t>）</w:t>
      </w:r>
    </w:p>
    <w:tbl>
      <w:tblPr>
        <w:tblStyle w:val="15"/>
        <w:tblpPr w:leftFromText="180" w:rightFromText="180" w:vertAnchor="text" w:horzAnchor="page" w:tblpXSpec="center" w:tblpY="212"/>
        <w:tblW w:w="0" w:type="auto"/>
        <w:jc w:val="center"/>
        <w:shd w:val="clear" w:color="auto" w:fill="FFFFFF" w:themeFill="background1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408"/>
        <w:gridCol w:w="1134"/>
        <w:gridCol w:w="1134"/>
        <w:gridCol w:w="1417"/>
        <w:gridCol w:w="1134"/>
        <w:gridCol w:w="1092"/>
        <w:gridCol w:w="967"/>
      </w:tblGrid>
      <w:tr w14:paraId="1AB86D1A">
        <w:tblPrEx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  <w:jc w:val="center"/>
        </w:trPr>
        <w:tc>
          <w:tcPr>
            <w:tcW w:w="1408" w:type="dxa"/>
            <w:tcBorders>
              <w:top w:val="single" w:color="auto" w:sz="4" w:space="0"/>
              <w:left w:val="single" w:color="FFFFFF" w:sz="8" w:space="0"/>
              <w:bottom w:val="single" w:color="auto" w:sz="4" w:space="0"/>
              <w:right w:val="single" w:color="FFFFFF" w:sz="8" w:space="0"/>
            </w:tcBorders>
            <w:shd w:val="clear" w:color="auto" w:fill="FFFFFF" w:themeFill="background1"/>
            <w:tcMar>
              <w:top w:w="72" w:type="dxa"/>
              <w:left w:w="108" w:type="dxa"/>
              <w:bottom w:w="72" w:type="dxa"/>
              <w:right w:w="108" w:type="dxa"/>
            </w:tcMar>
            <w:vAlign w:val="center"/>
          </w:tcPr>
          <w:p w14:paraId="15740B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FFFFFF" w:sz="8" w:space="0"/>
              <w:bottom w:val="single" w:color="auto" w:sz="4" w:space="0"/>
              <w:right w:val="single" w:color="FFFFFF" w:sz="8" w:space="0"/>
            </w:tcBorders>
            <w:shd w:val="clear" w:color="auto" w:fill="FFFFFF" w:themeFill="background1"/>
            <w:tcMar>
              <w:top w:w="72" w:type="dxa"/>
              <w:left w:w="108" w:type="dxa"/>
              <w:bottom w:w="72" w:type="dxa"/>
              <w:right w:w="108" w:type="dxa"/>
            </w:tcMar>
            <w:vAlign w:val="center"/>
          </w:tcPr>
          <w:p w14:paraId="1FF65D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shell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FFFFFF" w:sz="8" w:space="0"/>
              <w:bottom w:val="single" w:color="auto" w:sz="4" w:space="0"/>
              <w:right w:val="single" w:color="FFFFFF" w:sz="8" w:space="0"/>
            </w:tcBorders>
            <w:shd w:val="clear" w:color="auto" w:fill="FFFFFF" w:themeFill="background1"/>
            <w:tcMar>
              <w:top w:w="72" w:type="dxa"/>
              <w:left w:w="108" w:type="dxa"/>
              <w:bottom w:w="72" w:type="dxa"/>
              <w:right w:w="108" w:type="dxa"/>
            </w:tcMar>
            <w:vAlign w:val="center"/>
          </w:tcPr>
          <w:p w14:paraId="497BDA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CN</w:t>
            </w:r>
            <w:r>
              <w:rPr>
                <w:rFonts w:ascii="Times New Roman" w:hAnsi="Times New Roman" w:cs="Times New Roman"/>
                <w:vertAlign w:val="superscript"/>
              </w:rPr>
              <w:t>a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FFFFFF" w:sz="8" w:space="0"/>
              <w:bottom w:val="single" w:color="auto" w:sz="4" w:space="0"/>
              <w:right w:val="single" w:color="FFFFFF" w:sz="8" w:space="0"/>
            </w:tcBorders>
            <w:shd w:val="clear" w:color="auto" w:fill="FFFFFF" w:themeFill="background1"/>
            <w:tcMar>
              <w:top w:w="72" w:type="dxa"/>
              <w:left w:w="108" w:type="dxa"/>
              <w:bottom w:w="72" w:type="dxa"/>
              <w:right w:w="108" w:type="dxa"/>
            </w:tcMar>
            <w:vAlign w:val="center"/>
          </w:tcPr>
          <w:p w14:paraId="2F80EE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</w:t>
            </w:r>
            <w:r>
              <w:rPr>
                <w:rFonts w:ascii="Times New Roman" w:hAnsi="Times New Roman" w:cs="Times New Roman"/>
                <w:vertAlign w:val="superscript"/>
              </w:rPr>
              <w:t>b</w:t>
            </w:r>
            <w:r>
              <w:rPr>
                <w:rFonts w:ascii="Times New Roman" w:hAnsi="Times New Roman" w:cs="Times New Roman"/>
              </w:rPr>
              <w:t>(Å)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FFFFFF" w:sz="8" w:space="0"/>
              <w:bottom w:val="single" w:color="auto" w:sz="4" w:space="0"/>
              <w:right w:val="single" w:color="FFFFFF" w:sz="8" w:space="0"/>
            </w:tcBorders>
            <w:shd w:val="clear" w:color="auto" w:fill="FFFFFF" w:themeFill="background1"/>
            <w:tcMar>
              <w:top w:w="72" w:type="dxa"/>
              <w:left w:w="108" w:type="dxa"/>
              <w:bottom w:w="72" w:type="dxa"/>
              <w:right w:w="108" w:type="dxa"/>
            </w:tcMar>
            <w:vAlign w:val="center"/>
          </w:tcPr>
          <w:p w14:paraId="003EDB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l-GR"/>
              </w:rPr>
              <w:t>σ</w:t>
            </w:r>
            <w:r>
              <w:rPr>
                <w:rFonts w:ascii="Times New Roman" w:hAnsi="Times New Roman" w:cs="Times New Roman"/>
                <w:vertAlign w:val="superscript"/>
                <w:lang w:val="el-GR"/>
              </w:rPr>
              <w:t>2</w:t>
            </w:r>
            <w:r>
              <w:rPr>
                <w:rFonts w:ascii="Times New Roman" w:hAnsi="Times New Roman" w:cs="Times New Roman"/>
                <w:vertAlign w:val="superscript"/>
              </w:rPr>
              <w:t>c</w:t>
            </w:r>
            <w:r>
              <w:rPr>
                <w:rFonts w:ascii="Times New Roman" w:hAnsi="Times New Roman" w:cs="Times New Roman"/>
              </w:rPr>
              <w:t>(Å</w:t>
            </w:r>
            <w:r>
              <w:rPr>
                <w:rFonts w:ascii="Times New Roman" w:hAnsi="Times New Roman" w:cs="Times New Roman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092" w:type="dxa"/>
            <w:tcBorders>
              <w:top w:val="single" w:color="auto" w:sz="4" w:space="0"/>
              <w:left w:val="single" w:color="FFFFFF" w:sz="8" w:space="0"/>
              <w:bottom w:val="single" w:color="auto" w:sz="4" w:space="0"/>
              <w:right w:val="single" w:color="FFFFFF" w:sz="8" w:space="0"/>
            </w:tcBorders>
            <w:shd w:val="clear" w:color="auto" w:fill="FFFFFF" w:themeFill="background1"/>
            <w:tcMar>
              <w:top w:w="72" w:type="dxa"/>
              <w:left w:w="108" w:type="dxa"/>
              <w:bottom w:w="72" w:type="dxa"/>
              <w:right w:w="108" w:type="dxa"/>
            </w:tcMar>
            <w:vAlign w:val="center"/>
          </w:tcPr>
          <w:p w14:paraId="067FD6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l-GR"/>
              </w:rPr>
              <w:t>Δ</w:t>
            </w:r>
            <w:r>
              <w:rPr>
                <w:rFonts w:ascii="Times New Roman" w:hAnsi="Times New Roman" w:cs="Times New Roman"/>
              </w:rPr>
              <w:t>E</w:t>
            </w:r>
            <w:r>
              <w:rPr>
                <w:rFonts w:ascii="Times New Roman" w:hAnsi="Times New Roman" w:cs="Times New Roman"/>
                <w:vertAlign w:val="subscript"/>
              </w:rPr>
              <w:t>0</w:t>
            </w:r>
            <w:r>
              <w:rPr>
                <w:rFonts w:ascii="Times New Roman" w:hAnsi="Times New Roman" w:cs="Times New Roman"/>
                <w:vertAlign w:val="superscript"/>
              </w:rPr>
              <w:t>d</w:t>
            </w:r>
            <w:r>
              <w:rPr>
                <w:rFonts w:ascii="Times New Roman" w:hAnsi="Times New Roman" w:cs="Times New Roman"/>
              </w:rPr>
              <w:t>(eV)</w:t>
            </w:r>
          </w:p>
        </w:tc>
        <w:tc>
          <w:tcPr>
            <w:tcW w:w="967" w:type="dxa"/>
            <w:tcBorders>
              <w:top w:val="single" w:color="auto" w:sz="4" w:space="0"/>
              <w:left w:val="single" w:color="FFFFFF" w:sz="8" w:space="0"/>
              <w:bottom w:val="single" w:color="auto" w:sz="4" w:space="0"/>
              <w:right w:val="single" w:color="FFFFFF" w:sz="8" w:space="0"/>
            </w:tcBorders>
            <w:shd w:val="clear" w:color="auto" w:fill="FFFFFF" w:themeFill="background1"/>
            <w:tcMar>
              <w:top w:w="72" w:type="dxa"/>
              <w:left w:w="108" w:type="dxa"/>
              <w:bottom w:w="72" w:type="dxa"/>
              <w:right w:w="108" w:type="dxa"/>
            </w:tcMar>
            <w:vAlign w:val="center"/>
          </w:tcPr>
          <w:p w14:paraId="714FBA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 factor</w:t>
            </w:r>
          </w:p>
        </w:tc>
      </w:tr>
      <w:tr w14:paraId="4A97E7C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  <w:jc w:val="center"/>
        </w:trPr>
        <w:tc>
          <w:tcPr>
            <w:tcW w:w="1408" w:type="dxa"/>
            <w:tcBorders>
              <w:top w:val="single" w:color="auto" w:sz="4" w:space="0"/>
              <w:left w:val="single" w:color="FFFFFF" w:sz="8" w:space="0"/>
              <w:bottom w:val="single" w:color="auto" w:sz="4" w:space="0"/>
              <w:right w:val="single" w:color="FFFFFF" w:sz="8" w:space="0"/>
            </w:tcBorders>
            <w:shd w:val="clear" w:color="auto" w:fill="FFFFFF" w:themeFill="background1"/>
            <w:tcMar>
              <w:top w:w="72" w:type="dxa"/>
              <w:left w:w="108" w:type="dxa"/>
              <w:bottom w:w="72" w:type="dxa"/>
              <w:right w:w="108" w:type="dxa"/>
            </w:tcMar>
            <w:vAlign w:val="center"/>
          </w:tcPr>
          <w:p w14:paraId="303E36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La-foil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FFFFFF" w:sz="8" w:space="0"/>
              <w:bottom w:val="single" w:color="auto" w:sz="4" w:space="0"/>
              <w:right w:val="single" w:color="FFFFFF" w:sz="8" w:space="0"/>
            </w:tcBorders>
            <w:shd w:val="clear" w:color="auto" w:fill="FFFFFF" w:themeFill="background1"/>
            <w:tcMar>
              <w:top w:w="72" w:type="dxa"/>
              <w:left w:w="108" w:type="dxa"/>
              <w:bottom w:w="72" w:type="dxa"/>
              <w:right w:w="108" w:type="dxa"/>
            </w:tcMar>
            <w:vAlign w:val="center"/>
          </w:tcPr>
          <w:p w14:paraId="5DB4B4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La-La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FFFFFF" w:sz="8" w:space="0"/>
              <w:bottom w:val="single" w:color="auto" w:sz="4" w:space="0"/>
              <w:right w:val="single" w:color="FFFFFF" w:sz="8" w:space="0"/>
            </w:tcBorders>
            <w:shd w:val="clear" w:color="auto" w:fill="FFFFFF" w:themeFill="background1"/>
            <w:tcMar>
              <w:top w:w="72" w:type="dxa"/>
              <w:left w:w="108" w:type="dxa"/>
              <w:bottom w:w="72" w:type="dxa"/>
              <w:right w:w="108" w:type="dxa"/>
            </w:tcMar>
            <w:vAlign w:val="center"/>
          </w:tcPr>
          <w:p w14:paraId="788CF8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12*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FFFFFF" w:sz="8" w:space="0"/>
              <w:bottom w:val="single" w:color="auto" w:sz="4" w:space="0"/>
              <w:right w:val="single" w:color="FFFFFF" w:sz="8" w:space="0"/>
            </w:tcBorders>
            <w:shd w:val="clear" w:color="auto" w:fill="FFFFFF" w:themeFill="background1"/>
            <w:tcMar>
              <w:top w:w="72" w:type="dxa"/>
              <w:left w:w="108" w:type="dxa"/>
              <w:bottom w:w="72" w:type="dxa"/>
              <w:right w:w="108" w:type="dxa"/>
            </w:tcMar>
            <w:vAlign w:val="center"/>
          </w:tcPr>
          <w:p w14:paraId="5332C0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3.62±0.08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FFFFFF" w:sz="8" w:space="0"/>
              <w:bottom w:val="single" w:color="auto" w:sz="4" w:space="0"/>
              <w:right w:val="single" w:color="FFFFFF" w:sz="8" w:space="0"/>
            </w:tcBorders>
            <w:shd w:val="clear" w:color="auto" w:fill="FFFFFF" w:themeFill="background1"/>
            <w:tcMar>
              <w:top w:w="72" w:type="dxa"/>
              <w:left w:w="108" w:type="dxa"/>
              <w:bottom w:w="72" w:type="dxa"/>
              <w:right w:w="108" w:type="dxa"/>
            </w:tcMar>
            <w:vAlign w:val="center"/>
          </w:tcPr>
          <w:p w14:paraId="5D21CF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0.0117</w:t>
            </w:r>
          </w:p>
        </w:tc>
        <w:tc>
          <w:tcPr>
            <w:tcW w:w="1092" w:type="dxa"/>
            <w:tcBorders>
              <w:top w:val="single" w:color="auto" w:sz="4" w:space="0"/>
              <w:left w:val="single" w:color="FFFFFF" w:sz="8" w:space="0"/>
              <w:bottom w:val="single" w:color="auto" w:sz="4" w:space="0"/>
              <w:right w:val="single" w:color="FFFFFF" w:sz="8" w:space="0"/>
            </w:tcBorders>
            <w:shd w:val="clear" w:color="auto" w:fill="FFFFFF" w:themeFill="background1"/>
            <w:tcMar>
              <w:top w:w="72" w:type="dxa"/>
              <w:left w:w="108" w:type="dxa"/>
              <w:bottom w:w="72" w:type="dxa"/>
              <w:right w:w="108" w:type="dxa"/>
            </w:tcMar>
            <w:vAlign w:val="center"/>
          </w:tcPr>
          <w:p w14:paraId="753264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-1.1±0.7</w:t>
            </w:r>
          </w:p>
        </w:tc>
        <w:tc>
          <w:tcPr>
            <w:tcW w:w="967" w:type="dxa"/>
            <w:tcBorders>
              <w:top w:val="single" w:color="auto" w:sz="4" w:space="0"/>
              <w:left w:val="single" w:color="FFFFFF" w:sz="8" w:space="0"/>
              <w:bottom w:val="single" w:color="auto" w:sz="4" w:space="0"/>
              <w:right w:val="single" w:color="FFFFFF" w:sz="8" w:space="0"/>
            </w:tcBorders>
            <w:shd w:val="clear" w:color="auto" w:fill="FFFFFF" w:themeFill="background1"/>
            <w:tcMar>
              <w:top w:w="72" w:type="dxa"/>
              <w:left w:w="108" w:type="dxa"/>
              <w:bottom w:w="72" w:type="dxa"/>
              <w:right w:w="108" w:type="dxa"/>
            </w:tcMar>
            <w:vAlign w:val="center"/>
          </w:tcPr>
          <w:p w14:paraId="295205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0.009</w:t>
            </w:r>
          </w:p>
        </w:tc>
      </w:tr>
      <w:tr w14:paraId="00EF5932">
        <w:tblPrEx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  <w:jc w:val="center"/>
        </w:trPr>
        <w:tc>
          <w:tcPr>
            <w:tcW w:w="1408" w:type="dxa"/>
            <w:vMerge w:val="restart"/>
            <w:tcBorders>
              <w:top w:val="single" w:color="auto" w:sz="4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FFFFF" w:themeFill="background1"/>
            <w:tcMar>
              <w:top w:w="72" w:type="dxa"/>
              <w:left w:w="108" w:type="dxa"/>
              <w:bottom w:w="72" w:type="dxa"/>
              <w:right w:w="108" w:type="dxa"/>
            </w:tcMar>
            <w:vAlign w:val="center"/>
          </w:tcPr>
          <w:p w14:paraId="40A3E8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LaO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FFFFF" w:themeFill="background1"/>
            <w:tcMar>
              <w:top w:w="72" w:type="dxa"/>
              <w:left w:w="108" w:type="dxa"/>
              <w:bottom w:w="72" w:type="dxa"/>
              <w:right w:w="108" w:type="dxa"/>
            </w:tcMar>
            <w:vAlign w:val="center"/>
          </w:tcPr>
          <w:p w14:paraId="6B2418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La-O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FFFFF" w:themeFill="background1"/>
            <w:tcMar>
              <w:top w:w="72" w:type="dxa"/>
              <w:left w:w="108" w:type="dxa"/>
              <w:bottom w:w="72" w:type="dxa"/>
              <w:right w:w="108" w:type="dxa"/>
            </w:tcMar>
            <w:vAlign w:val="center"/>
          </w:tcPr>
          <w:p w14:paraId="62C0C3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6*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FFFFF" w:themeFill="background1"/>
            <w:tcMar>
              <w:top w:w="72" w:type="dxa"/>
              <w:left w:w="108" w:type="dxa"/>
              <w:bottom w:w="72" w:type="dxa"/>
              <w:right w:w="108" w:type="dxa"/>
            </w:tcMar>
            <w:vAlign w:val="center"/>
          </w:tcPr>
          <w:p w14:paraId="1818E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2.34±0.09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FFFFF" w:themeFill="background1"/>
            <w:tcMar>
              <w:top w:w="72" w:type="dxa"/>
              <w:left w:w="108" w:type="dxa"/>
              <w:bottom w:w="72" w:type="dxa"/>
              <w:right w:w="108" w:type="dxa"/>
            </w:tcMar>
            <w:vAlign w:val="center"/>
          </w:tcPr>
          <w:p w14:paraId="0F2B48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0.0079</w:t>
            </w:r>
          </w:p>
        </w:tc>
        <w:tc>
          <w:tcPr>
            <w:tcW w:w="1092" w:type="dxa"/>
            <w:vMerge w:val="restart"/>
            <w:tcBorders>
              <w:top w:val="single" w:color="auto" w:sz="4" w:space="0"/>
              <w:left w:val="single" w:color="FFFFFF" w:sz="8" w:space="0"/>
              <w:bottom w:val="single" w:color="auto" w:sz="4" w:space="0"/>
              <w:right w:val="single" w:color="FFFFFF" w:sz="8" w:space="0"/>
            </w:tcBorders>
            <w:shd w:val="clear" w:color="auto" w:fill="FFFFFF" w:themeFill="background1"/>
            <w:tcMar>
              <w:top w:w="72" w:type="dxa"/>
              <w:left w:w="108" w:type="dxa"/>
              <w:bottom w:w="72" w:type="dxa"/>
              <w:right w:w="108" w:type="dxa"/>
            </w:tcMar>
            <w:vAlign w:val="center"/>
          </w:tcPr>
          <w:p w14:paraId="0A7748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4.4±0.7</w:t>
            </w:r>
          </w:p>
        </w:tc>
        <w:tc>
          <w:tcPr>
            <w:tcW w:w="967" w:type="dxa"/>
            <w:vMerge w:val="restart"/>
            <w:tcBorders>
              <w:top w:val="single" w:color="auto" w:sz="4" w:space="0"/>
              <w:left w:val="single" w:color="FFFFFF" w:sz="8" w:space="0"/>
              <w:bottom w:val="single" w:color="auto" w:sz="4" w:space="0"/>
              <w:right w:val="single" w:color="FFFFFF" w:sz="8" w:space="0"/>
            </w:tcBorders>
            <w:shd w:val="clear" w:color="auto" w:fill="FFFFFF" w:themeFill="background1"/>
            <w:tcMar>
              <w:top w:w="72" w:type="dxa"/>
              <w:left w:w="108" w:type="dxa"/>
              <w:bottom w:w="72" w:type="dxa"/>
              <w:right w:w="108" w:type="dxa"/>
            </w:tcMar>
            <w:vAlign w:val="center"/>
          </w:tcPr>
          <w:p w14:paraId="1D2073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0.015</w:t>
            </w:r>
          </w:p>
        </w:tc>
      </w:tr>
      <w:tr w14:paraId="1D78D45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  <w:jc w:val="center"/>
        </w:trPr>
        <w:tc>
          <w:tcPr>
            <w:tcW w:w="1408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auto" w:sz="4" w:space="0"/>
              <w:right w:val="single" w:color="FFFFFF" w:sz="8" w:space="0"/>
            </w:tcBorders>
            <w:shd w:val="clear" w:color="auto" w:fill="FFFFFF" w:themeFill="background1"/>
            <w:vAlign w:val="center"/>
          </w:tcPr>
          <w:p w14:paraId="793D90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color="FFFFFF" w:sz="8" w:space="0"/>
              <w:left w:val="single" w:color="FFFFFF" w:sz="8" w:space="0"/>
              <w:bottom w:val="single" w:color="auto" w:sz="4" w:space="0"/>
              <w:right w:val="single" w:color="FFFFFF" w:sz="8" w:space="0"/>
            </w:tcBorders>
            <w:shd w:val="clear" w:color="auto" w:fill="FFFFFF" w:themeFill="background1"/>
            <w:tcMar>
              <w:top w:w="72" w:type="dxa"/>
              <w:left w:w="108" w:type="dxa"/>
              <w:bottom w:w="72" w:type="dxa"/>
              <w:right w:w="108" w:type="dxa"/>
            </w:tcMar>
            <w:vAlign w:val="center"/>
          </w:tcPr>
          <w:p w14:paraId="49DBA2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La-La</w:t>
            </w:r>
          </w:p>
        </w:tc>
        <w:tc>
          <w:tcPr>
            <w:tcW w:w="1134" w:type="dxa"/>
            <w:tcBorders>
              <w:top w:val="single" w:color="FFFFFF" w:sz="8" w:space="0"/>
              <w:left w:val="single" w:color="FFFFFF" w:sz="8" w:space="0"/>
              <w:bottom w:val="single" w:color="auto" w:sz="4" w:space="0"/>
              <w:right w:val="single" w:color="FFFFFF" w:sz="8" w:space="0"/>
            </w:tcBorders>
            <w:shd w:val="clear" w:color="auto" w:fill="FFFFFF" w:themeFill="background1"/>
            <w:tcMar>
              <w:top w:w="72" w:type="dxa"/>
              <w:left w:w="108" w:type="dxa"/>
              <w:bottom w:w="72" w:type="dxa"/>
              <w:right w:w="108" w:type="dxa"/>
            </w:tcMar>
            <w:vAlign w:val="center"/>
          </w:tcPr>
          <w:p w14:paraId="09EE92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12*</w:t>
            </w:r>
          </w:p>
        </w:tc>
        <w:tc>
          <w:tcPr>
            <w:tcW w:w="1417" w:type="dxa"/>
            <w:tcBorders>
              <w:top w:val="single" w:color="FFFFFF" w:sz="8" w:space="0"/>
              <w:left w:val="single" w:color="FFFFFF" w:sz="8" w:space="0"/>
              <w:bottom w:val="single" w:color="auto" w:sz="4" w:space="0"/>
              <w:right w:val="single" w:color="FFFFFF" w:sz="8" w:space="0"/>
            </w:tcBorders>
            <w:shd w:val="clear" w:color="auto" w:fill="FFFFFF" w:themeFill="background1"/>
            <w:tcMar>
              <w:top w:w="72" w:type="dxa"/>
              <w:left w:w="108" w:type="dxa"/>
              <w:bottom w:w="72" w:type="dxa"/>
              <w:right w:w="108" w:type="dxa"/>
            </w:tcMar>
            <w:vAlign w:val="center"/>
          </w:tcPr>
          <w:p w14:paraId="208793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3.90±0.05</w:t>
            </w:r>
          </w:p>
        </w:tc>
        <w:tc>
          <w:tcPr>
            <w:tcW w:w="1134" w:type="dxa"/>
            <w:tcBorders>
              <w:top w:val="single" w:color="FFFFFF" w:sz="8" w:space="0"/>
              <w:left w:val="single" w:color="FFFFFF" w:sz="8" w:space="0"/>
              <w:bottom w:val="single" w:color="auto" w:sz="4" w:space="0"/>
              <w:right w:val="single" w:color="FFFFFF" w:sz="8" w:space="0"/>
            </w:tcBorders>
            <w:shd w:val="clear" w:color="auto" w:fill="FFFFFF" w:themeFill="background1"/>
            <w:tcMar>
              <w:top w:w="72" w:type="dxa"/>
              <w:left w:w="108" w:type="dxa"/>
              <w:bottom w:w="72" w:type="dxa"/>
              <w:right w:w="108" w:type="dxa"/>
            </w:tcMar>
            <w:vAlign w:val="center"/>
          </w:tcPr>
          <w:p w14:paraId="0C2B88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0.0051</w:t>
            </w:r>
          </w:p>
        </w:tc>
        <w:tc>
          <w:tcPr>
            <w:tcW w:w="1092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auto" w:sz="4" w:space="0"/>
              <w:right w:val="single" w:color="FFFFFF" w:sz="8" w:space="0"/>
            </w:tcBorders>
            <w:shd w:val="clear" w:color="auto" w:fill="FFFFFF" w:themeFill="background1"/>
            <w:vAlign w:val="center"/>
          </w:tcPr>
          <w:p w14:paraId="7D32D7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 w:val="continue"/>
            <w:tcBorders>
              <w:top w:val="single" w:color="FFFFFF" w:sz="8" w:space="0"/>
              <w:left w:val="single" w:color="FFFFFF" w:sz="8" w:space="0"/>
              <w:bottom w:val="single" w:color="auto" w:sz="4" w:space="0"/>
              <w:right w:val="single" w:color="FFFFFF" w:sz="8" w:space="0"/>
            </w:tcBorders>
            <w:shd w:val="clear" w:color="auto" w:fill="FFFFFF" w:themeFill="background1"/>
            <w:vAlign w:val="center"/>
          </w:tcPr>
          <w:p w14:paraId="226F28B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14:paraId="5D3CE288">
        <w:tblPrEx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  <w:jc w:val="center"/>
        </w:trPr>
        <w:tc>
          <w:tcPr>
            <w:tcW w:w="1408" w:type="dxa"/>
            <w:vMerge w:val="restart"/>
            <w:tcBorders>
              <w:top w:val="single" w:color="auto" w:sz="4" w:space="0"/>
              <w:left w:val="single" w:color="FFFFFF" w:sz="8" w:space="0"/>
              <w:bottom w:val="single" w:color="auto" w:sz="4" w:space="0"/>
              <w:right w:val="single" w:color="FFFFFF" w:sz="8" w:space="0"/>
            </w:tcBorders>
            <w:shd w:val="clear" w:color="auto" w:fill="FFFFFF" w:themeFill="background1"/>
            <w:tcMar>
              <w:top w:w="72" w:type="dxa"/>
              <w:left w:w="108" w:type="dxa"/>
              <w:bottom w:w="72" w:type="dxa"/>
              <w:right w:w="108" w:type="dxa"/>
            </w:tcMar>
            <w:vAlign w:val="center"/>
          </w:tcPr>
          <w:p w14:paraId="3F77A0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La-CN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FFFFF" w:themeFill="background1"/>
            <w:tcMar>
              <w:top w:w="72" w:type="dxa"/>
              <w:left w:w="108" w:type="dxa"/>
              <w:bottom w:w="72" w:type="dxa"/>
              <w:right w:w="108" w:type="dxa"/>
            </w:tcMar>
            <w:vAlign w:val="center"/>
          </w:tcPr>
          <w:p w14:paraId="6B6432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La-O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FFFFF" w:themeFill="background1"/>
            <w:tcMar>
              <w:top w:w="72" w:type="dxa"/>
              <w:left w:w="108" w:type="dxa"/>
              <w:bottom w:w="72" w:type="dxa"/>
              <w:right w:w="108" w:type="dxa"/>
            </w:tcMar>
            <w:vAlign w:val="center"/>
          </w:tcPr>
          <w:p w14:paraId="7DDF2E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4.83±0.6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FFFFF" w:themeFill="background1"/>
            <w:tcMar>
              <w:top w:w="72" w:type="dxa"/>
              <w:left w:w="108" w:type="dxa"/>
              <w:bottom w:w="72" w:type="dxa"/>
              <w:right w:w="108" w:type="dxa"/>
            </w:tcMar>
            <w:vAlign w:val="center"/>
          </w:tcPr>
          <w:p w14:paraId="761236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2.46±0.09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FFFFF" w:themeFill="background1"/>
            <w:tcMar>
              <w:top w:w="72" w:type="dxa"/>
              <w:left w:w="108" w:type="dxa"/>
              <w:bottom w:w="72" w:type="dxa"/>
              <w:right w:w="108" w:type="dxa"/>
            </w:tcMar>
            <w:vAlign w:val="center"/>
          </w:tcPr>
          <w:p w14:paraId="33C84F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0.0077</w:t>
            </w:r>
          </w:p>
        </w:tc>
        <w:tc>
          <w:tcPr>
            <w:tcW w:w="1092" w:type="dxa"/>
            <w:vMerge w:val="restart"/>
            <w:tcBorders>
              <w:top w:val="single" w:color="auto" w:sz="4" w:space="0"/>
              <w:left w:val="single" w:color="FFFFFF" w:sz="8" w:space="0"/>
              <w:bottom w:val="single" w:color="auto" w:sz="4" w:space="0"/>
              <w:right w:val="single" w:color="FFFFFF" w:sz="8" w:space="0"/>
            </w:tcBorders>
            <w:shd w:val="clear" w:color="auto" w:fill="FFFFFF" w:themeFill="background1"/>
            <w:tcMar>
              <w:top w:w="72" w:type="dxa"/>
              <w:left w:w="108" w:type="dxa"/>
              <w:bottom w:w="72" w:type="dxa"/>
              <w:right w:w="108" w:type="dxa"/>
            </w:tcMar>
            <w:vAlign w:val="center"/>
          </w:tcPr>
          <w:p w14:paraId="268FAA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-9.9±0.1</w:t>
            </w:r>
          </w:p>
        </w:tc>
        <w:tc>
          <w:tcPr>
            <w:tcW w:w="967" w:type="dxa"/>
            <w:vMerge w:val="restart"/>
            <w:tcBorders>
              <w:top w:val="single" w:color="auto" w:sz="4" w:space="0"/>
              <w:left w:val="single" w:color="FFFFFF" w:sz="8" w:space="0"/>
              <w:bottom w:val="single" w:color="auto" w:sz="4" w:space="0"/>
              <w:right w:val="single" w:color="FFFFFF" w:sz="8" w:space="0"/>
            </w:tcBorders>
            <w:shd w:val="clear" w:color="auto" w:fill="FFFFFF" w:themeFill="background1"/>
            <w:tcMar>
              <w:top w:w="72" w:type="dxa"/>
              <w:left w:w="108" w:type="dxa"/>
              <w:bottom w:w="72" w:type="dxa"/>
              <w:right w:w="108" w:type="dxa"/>
            </w:tcMar>
            <w:vAlign w:val="center"/>
          </w:tcPr>
          <w:p w14:paraId="709D4A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0.005</w:t>
            </w:r>
          </w:p>
        </w:tc>
      </w:tr>
      <w:tr w14:paraId="6FFEFB57">
        <w:tblPrEx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  <w:jc w:val="center"/>
        </w:trPr>
        <w:tc>
          <w:tcPr>
            <w:tcW w:w="1408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auto" w:sz="4" w:space="0"/>
              <w:right w:val="single" w:color="FFFFFF" w:sz="8" w:space="0"/>
            </w:tcBorders>
            <w:shd w:val="clear" w:color="auto" w:fill="FFFFFF" w:themeFill="background1"/>
            <w:vAlign w:val="center"/>
          </w:tcPr>
          <w:p w14:paraId="03CB58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FFFFF" w:themeFill="background1"/>
            <w:tcMar>
              <w:top w:w="72" w:type="dxa"/>
              <w:left w:w="108" w:type="dxa"/>
              <w:bottom w:w="72" w:type="dxa"/>
              <w:right w:w="108" w:type="dxa"/>
            </w:tcMar>
            <w:vAlign w:val="center"/>
          </w:tcPr>
          <w:p w14:paraId="2B0ADE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La-N</w:t>
            </w:r>
          </w:p>
        </w:tc>
        <w:tc>
          <w:tcPr>
            <w:tcW w:w="1134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FFFFF" w:themeFill="background1"/>
            <w:tcMar>
              <w:top w:w="72" w:type="dxa"/>
              <w:left w:w="108" w:type="dxa"/>
              <w:bottom w:w="72" w:type="dxa"/>
              <w:right w:w="108" w:type="dxa"/>
            </w:tcMar>
            <w:vAlign w:val="center"/>
          </w:tcPr>
          <w:p w14:paraId="5AF85D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2.75±0.5</w:t>
            </w:r>
          </w:p>
        </w:tc>
        <w:tc>
          <w:tcPr>
            <w:tcW w:w="1417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FFFFF" w:themeFill="background1"/>
            <w:tcMar>
              <w:top w:w="72" w:type="dxa"/>
              <w:left w:w="108" w:type="dxa"/>
              <w:bottom w:w="72" w:type="dxa"/>
              <w:right w:w="108" w:type="dxa"/>
            </w:tcMar>
            <w:vAlign w:val="center"/>
          </w:tcPr>
          <w:p w14:paraId="053146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2.67±0.01</w:t>
            </w:r>
          </w:p>
        </w:tc>
        <w:tc>
          <w:tcPr>
            <w:tcW w:w="1134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FFFFF" w:themeFill="background1"/>
            <w:tcMar>
              <w:top w:w="72" w:type="dxa"/>
              <w:left w:w="108" w:type="dxa"/>
              <w:bottom w:w="72" w:type="dxa"/>
              <w:right w:w="108" w:type="dxa"/>
            </w:tcMar>
            <w:vAlign w:val="center"/>
          </w:tcPr>
          <w:p w14:paraId="4E6495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0.0078</w:t>
            </w:r>
          </w:p>
        </w:tc>
        <w:tc>
          <w:tcPr>
            <w:tcW w:w="1092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auto" w:sz="4" w:space="0"/>
              <w:right w:val="single" w:color="FFFFFF" w:sz="8" w:space="0"/>
            </w:tcBorders>
            <w:shd w:val="clear" w:color="auto" w:fill="FFFFFF" w:themeFill="background1"/>
            <w:vAlign w:val="center"/>
          </w:tcPr>
          <w:p w14:paraId="03CD1E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 w:val="continue"/>
            <w:tcBorders>
              <w:top w:val="single" w:color="FFFFFF" w:sz="8" w:space="0"/>
              <w:left w:val="single" w:color="FFFFFF" w:sz="8" w:space="0"/>
              <w:bottom w:val="single" w:color="auto" w:sz="4" w:space="0"/>
              <w:right w:val="single" w:color="FFFFFF" w:sz="8" w:space="0"/>
            </w:tcBorders>
            <w:shd w:val="clear" w:color="auto" w:fill="FFFFFF" w:themeFill="background1"/>
            <w:vAlign w:val="center"/>
          </w:tcPr>
          <w:p w14:paraId="6F1411E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14:paraId="3B01978B">
        <w:tblPrEx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  <w:jc w:val="center"/>
        </w:trPr>
        <w:tc>
          <w:tcPr>
            <w:tcW w:w="1408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auto" w:sz="4" w:space="0"/>
              <w:right w:val="single" w:color="FFFFFF" w:sz="8" w:space="0"/>
            </w:tcBorders>
            <w:shd w:val="clear" w:color="auto" w:fill="FFFFFF" w:themeFill="background1"/>
            <w:vAlign w:val="center"/>
          </w:tcPr>
          <w:p w14:paraId="23FD3CB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color="FFFFFF" w:sz="8" w:space="0"/>
              <w:left w:val="single" w:color="FFFFFF" w:sz="8" w:space="0"/>
              <w:bottom w:val="single" w:color="auto" w:sz="4" w:space="0"/>
              <w:right w:val="single" w:color="FFFFFF" w:sz="8" w:space="0"/>
            </w:tcBorders>
            <w:shd w:val="clear" w:color="auto" w:fill="FFFFFF" w:themeFill="background1"/>
            <w:tcMar>
              <w:top w:w="72" w:type="dxa"/>
              <w:left w:w="108" w:type="dxa"/>
              <w:bottom w:w="72" w:type="dxa"/>
              <w:right w:w="108" w:type="dxa"/>
            </w:tcMar>
            <w:vAlign w:val="center"/>
          </w:tcPr>
          <w:p w14:paraId="450EA8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La-La</w:t>
            </w:r>
          </w:p>
        </w:tc>
        <w:tc>
          <w:tcPr>
            <w:tcW w:w="1134" w:type="dxa"/>
            <w:tcBorders>
              <w:top w:val="single" w:color="FFFFFF" w:sz="8" w:space="0"/>
              <w:left w:val="single" w:color="FFFFFF" w:sz="8" w:space="0"/>
              <w:bottom w:val="single" w:color="auto" w:sz="4" w:space="0"/>
              <w:right w:val="single" w:color="FFFFFF" w:sz="8" w:space="0"/>
            </w:tcBorders>
            <w:shd w:val="clear" w:color="auto" w:fill="FFFFFF" w:themeFill="background1"/>
            <w:tcMar>
              <w:top w:w="72" w:type="dxa"/>
              <w:left w:w="108" w:type="dxa"/>
              <w:bottom w:w="72" w:type="dxa"/>
              <w:right w:w="108" w:type="dxa"/>
            </w:tcMar>
            <w:vAlign w:val="center"/>
          </w:tcPr>
          <w:p w14:paraId="5E585C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1.10±0.1</w:t>
            </w:r>
          </w:p>
        </w:tc>
        <w:tc>
          <w:tcPr>
            <w:tcW w:w="1417" w:type="dxa"/>
            <w:tcBorders>
              <w:top w:val="single" w:color="FFFFFF" w:sz="8" w:space="0"/>
              <w:left w:val="single" w:color="FFFFFF" w:sz="8" w:space="0"/>
              <w:bottom w:val="single" w:color="auto" w:sz="4" w:space="0"/>
              <w:right w:val="single" w:color="FFFFFF" w:sz="8" w:space="0"/>
            </w:tcBorders>
            <w:shd w:val="clear" w:color="auto" w:fill="FFFFFF" w:themeFill="background1"/>
            <w:tcMar>
              <w:top w:w="72" w:type="dxa"/>
              <w:left w:w="108" w:type="dxa"/>
              <w:bottom w:w="72" w:type="dxa"/>
              <w:right w:w="108" w:type="dxa"/>
            </w:tcMar>
            <w:vAlign w:val="center"/>
          </w:tcPr>
          <w:p w14:paraId="7EE4C4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3.84±0.05</w:t>
            </w:r>
          </w:p>
        </w:tc>
        <w:tc>
          <w:tcPr>
            <w:tcW w:w="1134" w:type="dxa"/>
            <w:tcBorders>
              <w:top w:val="single" w:color="FFFFFF" w:sz="8" w:space="0"/>
              <w:left w:val="single" w:color="FFFFFF" w:sz="8" w:space="0"/>
              <w:bottom w:val="single" w:color="auto" w:sz="4" w:space="0"/>
              <w:right w:val="single" w:color="FFFFFF" w:sz="8" w:space="0"/>
            </w:tcBorders>
            <w:shd w:val="clear" w:color="auto" w:fill="FFFFFF" w:themeFill="background1"/>
            <w:tcMar>
              <w:top w:w="72" w:type="dxa"/>
              <w:left w:w="108" w:type="dxa"/>
              <w:bottom w:w="72" w:type="dxa"/>
              <w:right w:w="108" w:type="dxa"/>
            </w:tcMar>
            <w:vAlign w:val="center"/>
          </w:tcPr>
          <w:p w14:paraId="294308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0.0073</w:t>
            </w:r>
          </w:p>
        </w:tc>
        <w:tc>
          <w:tcPr>
            <w:tcW w:w="1092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auto" w:sz="4" w:space="0"/>
              <w:right w:val="single" w:color="FFFFFF" w:sz="8" w:space="0"/>
            </w:tcBorders>
            <w:shd w:val="clear" w:color="auto" w:fill="FFFFFF" w:themeFill="background1"/>
            <w:vAlign w:val="center"/>
          </w:tcPr>
          <w:p w14:paraId="0B99FF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 w:val="continue"/>
            <w:tcBorders>
              <w:top w:val="single" w:color="FFFFFF" w:sz="8" w:space="0"/>
              <w:left w:val="single" w:color="FFFFFF" w:sz="8" w:space="0"/>
              <w:bottom w:val="single" w:color="auto" w:sz="4" w:space="0"/>
              <w:right w:val="single" w:color="FFFFFF" w:sz="8" w:space="0"/>
            </w:tcBorders>
            <w:shd w:val="clear" w:color="auto" w:fill="FFFFFF" w:themeFill="background1"/>
            <w:vAlign w:val="center"/>
          </w:tcPr>
          <w:p w14:paraId="2DDE0F6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14:paraId="501C00FF">
        <w:tblPrEx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  <w:jc w:val="center"/>
        </w:trPr>
        <w:tc>
          <w:tcPr>
            <w:tcW w:w="1408" w:type="dxa"/>
            <w:vMerge w:val="restart"/>
            <w:tcBorders>
              <w:top w:val="single" w:color="auto" w:sz="4" w:space="0"/>
              <w:left w:val="single" w:color="FFFFFF" w:sz="8" w:space="0"/>
              <w:bottom w:val="single" w:color="auto" w:sz="4" w:space="0"/>
              <w:right w:val="single" w:color="FFFFFF" w:sz="8" w:space="0"/>
            </w:tcBorders>
            <w:shd w:val="clear" w:color="auto" w:fill="FFFFFF" w:themeFill="background1"/>
            <w:tcMar>
              <w:top w:w="72" w:type="dxa"/>
              <w:left w:w="108" w:type="dxa"/>
              <w:bottom w:w="72" w:type="dxa"/>
              <w:right w:w="108" w:type="dxa"/>
            </w:tcMar>
            <w:vAlign w:val="center"/>
          </w:tcPr>
          <w:p w14:paraId="471F81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La-CN-2IL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FFFFF" w:themeFill="background1"/>
            <w:tcMar>
              <w:top w:w="72" w:type="dxa"/>
              <w:left w:w="108" w:type="dxa"/>
              <w:bottom w:w="72" w:type="dxa"/>
              <w:right w:w="108" w:type="dxa"/>
            </w:tcMar>
            <w:vAlign w:val="center"/>
          </w:tcPr>
          <w:p w14:paraId="1EA568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La-O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FFFFF" w:themeFill="background1"/>
            <w:tcMar>
              <w:top w:w="72" w:type="dxa"/>
              <w:left w:w="108" w:type="dxa"/>
              <w:bottom w:w="72" w:type="dxa"/>
              <w:right w:w="108" w:type="dxa"/>
            </w:tcMar>
            <w:vAlign w:val="center"/>
          </w:tcPr>
          <w:p w14:paraId="4A9DF5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5.03±0.4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FFFFF" w:themeFill="background1"/>
            <w:tcMar>
              <w:top w:w="72" w:type="dxa"/>
              <w:left w:w="108" w:type="dxa"/>
              <w:bottom w:w="72" w:type="dxa"/>
              <w:right w:w="108" w:type="dxa"/>
            </w:tcMar>
            <w:vAlign w:val="center"/>
          </w:tcPr>
          <w:p w14:paraId="28E153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2.49±0.09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FFFFF" w:themeFill="background1"/>
            <w:tcMar>
              <w:top w:w="72" w:type="dxa"/>
              <w:left w:w="108" w:type="dxa"/>
              <w:bottom w:w="72" w:type="dxa"/>
              <w:right w:w="108" w:type="dxa"/>
            </w:tcMar>
            <w:vAlign w:val="center"/>
          </w:tcPr>
          <w:p w14:paraId="6757A5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0.0128</w:t>
            </w:r>
          </w:p>
        </w:tc>
        <w:tc>
          <w:tcPr>
            <w:tcW w:w="1092" w:type="dxa"/>
            <w:vMerge w:val="restart"/>
            <w:tcBorders>
              <w:top w:val="single" w:color="auto" w:sz="4" w:space="0"/>
              <w:left w:val="single" w:color="FFFFFF" w:sz="8" w:space="0"/>
              <w:bottom w:val="single" w:color="auto" w:sz="4" w:space="0"/>
              <w:right w:val="single" w:color="FFFFFF" w:sz="8" w:space="0"/>
            </w:tcBorders>
            <w:shd w:val="clear" w:color="auto" w:fill="FFFFFF" w:themeFill="background1"/>
            <w:tcMar>
              <w:top w:w="72" w:type="dxa"/>
              <w:left w:w="108" w:type="dxa"/>
              <w:bottom w:w="72" w:type="dxa"/>
              <w:right w:w="108" w:type="dxa"/>
            </w:tcMar>
            <w:vAlign w:val="center"/>
          </w:tcPr>
          <w:p w14:paraId="28863F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-9.9±0.3</w:t>
            </w:r>
          </w:p>
        </w:tc>
        <w:tc>
          <w:tcPr>
            <w:tcW w:w="967" w:type="dxa"/>
            <w:vMerge w:val="restart"/>
            <w:tcBorders>
              <w:top w:val="single" w:color="auto" w:sz="4" w:space="0"/>
              <w:left w:val="single" w:color="FFFFFF" w:sz="8" w:space="0"/>
              <w:bottom w:val="single" w:color="auto" w:sz="4" w:space="0"/>
              <w:right w:val="single" w:color="FFFFFF" w:sz="8" w:space="0"/>
            </w:tcBorders>
            <w:shd w:val="clear" w:color="auto" w:fill="FFFFFF" w:themeFill="background1"/>
            <w:tcMar>
              <w:top w:w="72" w:type="dxa"/>
              <w:left w:w="108" w:type="dxa"/>
              <w:bottom w:w="72" w:type="dxa"/>
              <w:right w:w="108" w:type="dxa"/>
            </w:tcMar>
            <w:vAlign w:val="center"/>
          </w:tcPr>
          <w:p w14:paraId="412C00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0.004</w:t>
            </w:r>
          </w:p>
        </w:tc>
      </w:tr>
      <w:tr w14:paraId="15B0C328">
        <w:tblPrEx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  <w:jc w:val="center"/>
        </w:trPr>
        <w:tc>
          <w:tcPr>
            <w:tcW w:w="1408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auto" w:sz="4" w:space="0"/>
              <w:right w:val="single" w:color="FFFFFF" w:sz="8" w:space="0"/>
            </w:tcBorders>
            <w:shd w:val="clear" w:color="auto" w:fill="FFFFFF" w:themeFill="background1"/>
            <w:vAlign w:val="center"/>
          </w:tcPr>
          <w:p w14:paraId="5D5F0F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FFFFF" w:themeFill="background1"/>
            <w:tcMar>
              <w:top w:w="72" w:type="dxa"/>
              <w:left w:w="108" w:type="dxa"/>
              <w:bottom w:w="72" w:type="dxa"/>
              <w:right w:w="108" w:type="dxa"/>
            </w:tcMar>
            <w:vAlign w:val="center"/>
          </w:tcPr>
          <w:p w14:paraId="22F3CA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La-N</w:t>
            </w:r>
          </w:p>
        </w:tc>
        <w:tc>
          <w:tcPr>
            <w:tcW w:w="1134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FFFFF" w:themeFill="background1"/>
            <w:tcMar>
              <w:top w:w="72" w:type="dxa"/>
              <w:left w:w="108" w:type="dxa"/>
              <w:bottom w:w="72" w:type="dxa"/>
              <w:right w:w="108" w:type="dxa"/>
            </w:tcMar>
            <w:vAlign w:val="center"/>
          </w:tcPr>
          <w:p w14:paraId="7DBBA9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2.57±0.1</w:t>
            </w:r>
          </w:p>
        </w:tc>
        <w:tc>
          <w:tcPr>
            <w:tcW w:w="1417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FFFFF" w:themeFill="background1"/>
            <w:tcMar>
              <w:top w:w="72" w:type="dxa"/>
              <w:left w:w="108" w:type="dxa"/>
              <w:bottom w:w="72" w:type="dxa"/>
              <w:right w:w="108" w:type="dxa"/>
            </w:tcMar>
            <w:vAlign w:val="center"/>
          </w:tcPr>
          <w:p w14:paraId="235FAC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2.70±0.04</w:t>
            </w:r>
          </w:p>
        </w:tc>
        <w:tc>
          <w:tcPr>
            <w:tcW w:w="1134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FFFFFF" w:themeFill="background1"/>
            <w:tcMar>
              <w:top w:w="72" w:type="dxa"/>
              <w:left w:w="108" w:type="dxa"/>
              <w:bottom w:w="72" w:type="dxa"/>
              <w:right w:w="108" w:type="dxa"/>
            </w:tcMar>
            <w:vAlign w:val="center"/>
          </w:tcPr>
          <w:p w14:paraId="286BF4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0.0139</w:t>
            </w:r>
          </w:p>
        </w:tc>
        <w:tc>
          <w:tcPr>
            <w:tcW w:w="1092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auto" w:sz="4" w:space="0"/>
              <w:right w:val="single" w:color="FFFFFF" w:sz="8" w:space="0"/>
            </w:tcBorders>
            <w:shd w:val="clear" w:color="auto" w:fill="FFFFFF" w:themeFill="background1"/>
            <w:vAlign w:val="center"/>
          </w:tcPr>
          <w:p w14:paraId="509AD9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 w:val="continue"/>
            <w:tcBorders>
              <w:top w:val="single" w:color="FFFFFF" w:sz="8" w:space="0"/>
              <w:left w:val="single" w:color="FFFFFF" w:sz="8" w:space="0"/>
              <w:bottom w:val="single" w:color="auto" w:sz="4" w:space="0"/>
              <w:right w:val="single" w:color="FFFFFF" w:sz="8" w:space="0"/>
            </w:tcBorders>
            <w:shd w:val="clear" w:color="auto" w:fill="FFFFFF" w:themeFill="background1"/>
            <w:vAlign w:val="center"/>
          </w:tcPr>
          <w:p w14:paraId="5F95ECF8">
            <w:pPr>
              <w:rPr>
                <w:rFonts w:ascii="Times New Roman" w:hAnsi="Times New Roman" w:cs="Times New Roman"/>
              </w:rPr>
            </w:pPr>
          </w:p>
        </w:tc>
      </w:tr>
      <w:tr w14:paraId="651D24EE">
        <w:tblPrEx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  <w:jc w:val="center"/>
        </w:trPr>
        <w:tc>
          <w:tcPr>
            <w:tcW w:w="1408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auto" w:sz="4" w:space="0"/>
              <w:right w:val="single" w:color="FFFFFF" w:sz="8" w:space="0"/>
            </w:tcBorders>
            <w:shd w:val="clear" w:color="auto" w:fill="FFFFFF" w:themeFill="background1"/>
            <w:vAlign w:val="center"/>
          </w:tcPr>
          <w:p w14:paraId="393B9FF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color="FFFFFF" w:sz="8" w:space="0"/>
              <w:left w:val="single" w:color="FFFFFF" w:sz="8" w:space="0"/>
              <w:bottom w:val="single" w:color="auto" w:sz="4" w:space="0"/>
              <w:right w:val="single" w:color="FFFFFF" w:sz="8" w:space="0"/>
            </w:tcBorders>
            <w:shd w:val="clear" w:color="auto" w:fill="FFFFFF" w:themeFill="background1"/>
            <w:tcMar>
              <w:top w:w="72" w:type="dxa"/>
              <w:left w:w="108" w:type="dxa"/>
              <w:bottom w:w="72" w:type="dxa"/>
              <w:right w:w="108" w:type="dxa"/>
            </w:tcMar>
            <w:vAlign w:val="center"/>
          </w:tcPr>
          <w:p w14:paraId="3F737B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La-La</w:t>
            </w:r>
          </w:p>
        </w:tc>
        <w:tc>
          <w:tcPr>
            <w:tcW w:w="1134" w:type="dxa"/>
            <w:tcBorders>
              <w:top w:val="single" w:color="FFFFFF" w:sz="8" w:space="0"/>
              <w:left w:val="single" w:color="FFFFFF" w:sz="8" w:space="0"/>
              <w:bottom w:val="single" w:color="auto" w:sz="4" w:space="0"/>
              <w:right w:val="single" w:color="FFFFFF" w:sz="8" w:space="0"/>
            </w:tcBorders>
            <w:shd w:val="clear" w:color="auto" w:fill="FFFFFF" w:themeFill="background1"/>
            <w:tcMar>
              <w:top w:w="72" w:type="dxa"/>
              <w:left w:w="108" w:type="dxa"/>
              <w:bottom w:w="72" w:type="dxa"/>
              <w:right w:w="108" w:type="dxa"/>
            </w:tcMar>
            <w:vAlign w:val="center"/>
          </w:tcPr>
          <w:p w14:paraId="4C622B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1.37±0.1</w:t>
            </w:r>
          </w:p>
        </w:tc>
        <w:tc>
          <w:tcPr>
            <w:tcW w:w="1417" w:type="dxa"/>
            <w:tcBorders>
              <w:top w:val="single" w:color="FFFFFF" w:sz="8" w:space="0"/>
              <w:left w:val="single" w:color="FFFFFF" w:sz="8" w:space="0"/>
              <w:bottom w:val="single" w:color="auto" w:sz="4" w:space="0"/>
              <w:right w:val="single" w:color="FFFFFF" w:sz="8" w:space="0"/>
            </w:tcBorders>
            <w:shd w:val="clear" w:color="auto" w:fill="FFFFFF" w:themeFill="background1"/>
            <w:tcMar>
              <w:top w:w="72" w:type="dxa"/>
              <w:left w:w="108" w:type="dxa"/>
              <w:bottom w:w="72" w:type="dxa"/>
              <w:right w:w="108" w:type="dxa"/>
            </w:tcMar>
            <w:vAlign w:val="center"/>
          </w:tcPr>
          <w:p w14:paraId="6D3E56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3.83±0.01</w:t>
            </w:r>
          </w:p>
        </w:tc>
        <w:tc>
          <w:tcPr>
            <w:tcW w:w="1134" w:type="dxa"/>
            <w:tcBorders>
              <w:top w:val="single" w:color="FFFFFF" w:sz="8" w:space="0"/>
              <w:left w:val="single" w:color="FFFFFF" w:sz="8" w:space="0"/>
              <w:bottom w:val="single" w:color="auto" w:sz="4" w:space="0"/>
              <w:right w:val="single" w:color="FFFFFF" w:sz="8" w:space="0"/>
            </w:tcBorders>
            <w:shd w:val="clear" w:color="auto" w:fill="FFFFFF" w:themeFill="background1"/>
            <w:tcMar>
              <w:top w:w="72" w:type="dxa"/>
              <w:left w:w="108" w:type="dxa"/>
              <w:bottom w:w="72" w:type="dxa"/>
              <w:right w:w="108" w:type="dxa"/>
            </w:tcMar>
            <w:vAlign w:val="center"/>
          </w:tcPr>
          <w:p w14:paraId="0B9066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0.0102</w:t>
            </w:r>
          </w:p>
        </w:tc>
        <w:tc>
          <w:tcPr>
            <w:tcW w:w="1092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auto" w:sz="4" w:space="0"/>
              <w:right w:val="single" w:color="FFFFFF" w:sz="8" w:space="0"/>
            </w:tcBorders>
            <w:shd w:val="clear" w:color="auto" w:fill="FFFFFF" w:themeFill="background1"/>
            <w:vAlign w:val="center"/>
          </w:tcPr>
          <w:p w14:paraId="3DAF3D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 w:val="continue"/>
            <w:tcBorders>
              <w:top w:val="single" w:color="FFFFFF" w:sz="8" w:space="0"/>
              <w:left w:val="single" w:color="FFFFFF" w:sz="8" w:space="0"/>
              <w:bottom w:val="single" w:color="auto" w:sz="4" w:space="0"/>
              <w:right w:val="single" w:color="FFFFFF" w:sz="8" w:space="0"/>
            </w:tcBorders>
            <w:shd w:val="clear" w:color="auto" w:fill="FFFFFF" w:themeFill="background1"/>
            <w:vAlign w:val="center"/>
          </w:tcPr>
          <w:p w14:paraId="06CF9894">
            <w:pPr>
              <w:rPr>
                <w:rFonts w:ascii="Times New Roman" w:hAnsi="Times New Roman" w:cs="Times New Roman"/>
              </w:rPr>
            </w:pPr>
          </w:p>
        </w:tc>
      </w:tr>
    </w:tbl>
    <w:p w14:paraId="2A1E9D06">
      <w:pPr>
        <w:rPr>
          <w:rFonts w:ascii="Times New Roman" w:hAnsi="Times New Roman" w:eastAsia="宋体" w:cs="Times New Roman"/>
          <w:b/>
          <w:bCs/>
          <w:szCs w:val="21"/>
        </w:rPr>
      </w:pPr>
      <w:bookmarkStart w:id="8" w:name="_Hlk146278543"/>
      <w:bookmarkStart w:id="9" w:name="_Hlk144659136"/>
      <w:r>
        <w:rPr>
          <w:rFonts w:ascii="Times New Roman" w:hAnsi="Times New Roman" w:eastAsia="宋体" w:cs="Times New Roman"/>
          <w:i/>
          <w:szCs w:val="21"/>
          <w:vertAlign w:val="superscript"/>
        </w:rPr>
        <w:t>a</w:t>
      </w:r>
      <w:r>
        <w:rPr>
          <w:rFonts w:ascii="Times New Roman" w:hAnsi="Times New Roman" w:eastAsia="宋体" w:cs="Times New Roman"/>
          <w:i/>
          <w:szCs w:val="21"/>
        </w:rPr>
        <w:t>CN</w:t>
      </w:r>
      <w:r>
        <w:rPr>
          <w:rFonts w:ascii="Times New Roman" w:hAnsi="Times New Roman" w:eastAsia="宋体" w:cs="Times New Roman"/>
          <w:szCs w:val="21"/>
        </w:rPr>
        <w:t xml:space="preserve">: coordination numbers; </w:t>
      </w:r>
      <w:r>
        <w:rPr>
          <w:rFonts w:ascii="Times New Roman" w:hAnsi="Times New Roman" w:eastAsia="宋体" w:cs="Times New Roman"/>
          <w:i/>
          <w:szCs w:val="21"/>
          <w:vertAlign w:val="superscript"/>
        </w:rPr>
        <w:t>b</w:t>
      </w:r>
      <w:r>
        <w:rPr>
          <w:rFonts w:ascii="Times New Roman" w:hAnsi="Times New Roman" w:eastAsia="宋体" w:cs="Times New Roman"/>
          <w:i/>
          <w:szCs w:val="21"/>
        </w:rPr>
        <w:t>R</w:t>
      </w:r>
      <w:r>
        <w:rPr>
          <w:rFonts w:ascii="Times New Roman" w:hAnsi="Times New Roman" w:eastAsia="宋体" w:cs="Times New Roman"/>
          <w:szCs w:val="21"/>
        </w:rPr>
        <w:t xml:space="preserve">: bond distance; </w:t>
      </w:r>
      <w:r>
        <w:rPr>
          <w:rFonts w:ascii="Times New Roman" w:hAnsi="Times New Roman" w:eastAsia="宋体" w:cs="Times New Roman"/>
          <w:i/>
          <w:szCs w:val="21"/>
          <w:vertAlign w:val="superscript"/>
        </w:rPr>
        <w:t>c</w:t>
      </w:r>
      <w:r>
        <w:rPr>
          <w:rFonts w:ascii="Times New Roman" w:hAnsi="Times New Roman" w:eastAsia="宋体" w:cs="Times New Roman"/>
          <w:i/>
          <w:szCs w:val="21"/>
        </w:rPr>
        <w:t>σ</w:t>
      </w:r>
      <w:r>
        <w:rPr>
          <w:rFonts w:ascii="Times New Roman" w:hAnsi="Times New Roman" w:eastAsia="宋体" w:cs="Times New Roman"/>
          <w:szCs w:val="21"/>
          <w:vertAlign w:val="superscript"/>
        </w:rPr>
        <w:t>2</w:t>
      </w:r>
      <w:r>
        <w:rPr>
          <w:rFonts w:ascii="Times New Roman" w:hAnsi="Times New Roman" w:eastAsia="宋体" w:cs="Times New Roman"/>
          <w:szCs w:val="21"/>
        </w:rPr>
        <w:t xml:space="preserve">: Debye-Waller factors; </w:t>
      </w:r>
      <w:r>
        <w:rPr>
          <w:rFonts w:ascii="Times New Roman" w:hAnsi="Times New Roman" w:eastAsia="宋体" w:cs="Times New Roman"/>
          <w:i/>
          <w:szCs w:val="21"/>
          <w:vertAlign w:val="superscript"/>
        </w:rPr>
        <w:t>d</w:t>
      </w:r>
      <w:r>
        <w:rPr>
          <w:rFonts w:ascii="Times New Roman" w:hAnsi="Times New Roman" w:eastAsia="宋体" w:cs="Times New Roman"/>
          <w:szCs w:val="21"/>
        </w:rPr>
        <w:t xml:space="preserve"> Δ</w:t>
      </w:r>
      <w:r>
        <w:rPr>
          <w:rFonts w:ascii="Times New Roman" w:hAnsi="Times New Roman" w:eastAsia="宋体" w:cs="Times New Roman"/>
          <w:i/>
          <w:szCs w:val="21"/>
        </w:rPr>
        <w:t>E</w:t>
      </w:r>
      <w:r>
        <w:rPr>
          <w:rFonts w:ascii="Times New Roman" w:hAnsi="Times New Roman" w:eastAsia="宋体" w:cs="Times New Roman"/>
          <w:szCs w:val="21"/>
          <w:vertAlign w:val="subscript"/>
        </w:rPr>
        <w:t>0</w:t>
      </w:r>
      <w:r>
        <w:rPr>
          <w:rFonts w:ascii="Times New Roman" w:hAnsi="Times New Roman" w:eastAsia="宋体" w:cs="Times New Roman"/>
          <w:szCs w:val="21"/>
        </w:rPr>
        <w:t>: the inner potential correction. R factor: goodness of fit. Error bounds that characterize the structural parameters obtained by EXAFS spectroscopy were estimated as CN±20%; R ± 1%; σ</w:t>
      </w:r>
      <w:r>
        <w:rPr>
          <w:rFonts w:ascii="Times New Roman" w:hAnsi="Times New Roman" w:eastAsia="宋体" w:cs="Times New Roman"/>
          <w:szCs w:val="21"/>
          <w:vertAlign w:val="superscript"/>
        </w:rPr>
        <w:t>2</w:t>
      </w:r>
      <w:r>
        <w:rPr>
          <w:rFonts w:ascii="Times New Roman" w:hAnsi="Times New Roman" w:eastAsia="宋体" w:cs="Times New Roman"/>
          <w:szCs w:val="21"/>
        </w:rPr>
        <w:t xml:space="preserve"> ± 20%</w:t>
      </w:r>
      <w:bookmarkEnd w:id="8"/>
      <w:r>
        <w:rPr>
          <w:rFonts w:ascii="Times New Roman" w:hAnsi="Times New Roman" w:eastAsia="宋体" w:cs="Times New Roman"/>
          <w:szCs w:val="21"/>
        </w:rPr>
        <w:t>.</w:t>
      </w:r>
      <w:r>
        <w:rPr>
          <w:rFonts w:ascii="Times New Roman" w:hAnsi="Times New Roman" w:eastAsia="宋体" w:cs="Times New Roman"/>
          <w:b/>
          <w:bCs/>
          <w:szCs w:val="21"/>
        </w:rPr>
        <w:t xml:space="preserve"> </w:t>
      </w:r>
      <w:bookmarkEnd w:id="9"/>
    </w:p>
    <w:p w14:paraId="737AAB7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44120971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drawing>
          <wp:inline distT="0" distB="0" distL="0" distR="0">
            <wp:extent cx="4319905" cy="1299210"/>
            <wp:effectExtent l="0" t="0" r="0" b="0"/>
            <wp:docPr id="1040369105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0369105" name="图片 1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12995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30119E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Supplementary Figure 8</w:t>
      </w:r>
      <w:r>
        <w:rPr>
          <w:rFonts w:hint="eastAsia"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CO</w:t>
      </w:r>
      <w:r>
        <w:rPr>
          <w:rFonts w:hint="eastAsia" w:ascii="Times New Roman" w:hAnsi="Times New Roman" w:cs="Times New Roman"/>
          <w:b/>
          <w:bCs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b/>
          <w:bCs/>
          <w:sz w:val="24"/>
          <w:szCs w:val="24"/>
        </w:rPr>
        <w:t>-TPD and NH</w:t>
      </w:r>
      <w:r>
        <w:rPr>
          <w:rFonts w:hint="eastAsia" w:ascii="Times New Roman" w:hAnsi="Times New Roman" w:cs="Times New Roman"/>
          <w:b/>
          <w:bCs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b/>
          <w:bCs/>
          <w:sz w:val="24"/>
          <w:szCs w:val="24"/>
        </w:rPr>
        <w:t>-TPD profiles of La</w:t>
      </w:r>
      <w:r>
        <w:rPr>
          <w:rFonts w:hint="eastAsia" w:ascii="Times New Roman" w:hAnsi="Times New Roman" w:cs="Times New Roman"/>
          <w:b/>
          <w:bCs/>
          <w:sz w:val="24"/>
          <w:szCs w:val="24"/>
        </w:rPr>
        <w:t>-</w:t>
      </w:r>
      <w:r>
        <w:rPr>
          <w:rFonts w:ascii="Times New Roman" w:hAnsi="Times New Roman" w:cs="Times New Roman"/>
          <w:b/>
          <w:bCs/>
          <w:sz w:val="24"/>
          <w:szCs w:val="24"/>
        </w:rPr>
        <w:t>CN, La</w:t>
      </w:r>
      <w:r>
        <w:rPr>
          <w:rFonts w:hint="eastAsia" w:ascii="Times New Roman" w:hAnsi="Times New Roman" w:cs="Times New Roman"/>
          <w:b/>
          <w:bCs/>
          <w:sz w:val="24"/>
          <w:szCs w:val="24"/>
        </w:rPr>
        <w:t>-</w:t>
      </w:r>
      <w:r>
        <w:rPr>
          <w:rFonts w:ascii="Times New Roman" w:hAnsi="Times New Roman" w:cs="Times New Roman"/>
          <w:b/>
          <w:bCs/>
          <w:sz w:val="24"/>
          <w:szCs w:val="24"/>
        </w:rPr>
        <w:t>CN-1IL, La</w:t>
      </w:r>
      <w:r>
        <w:rPr>
          <w:rFonts w:hint="eastAsia" w:ascii="Times New Roman" w:hAnsi="Times New Roman" w:cs="Times New Roman"/>
          <w:b/>
          <w:bCs/>
          <w:sz w:val="24"/>
          <w:szCs w:val="24"/>
        </w:rPr>
        <w:t>-</w:t>
      </w:r>
      <w:r>
        <w:rPr>
          <w:rFonts w:ascii="Times New Roman" w:hAnsi="Times New Roman" w:cs="Times New Roman"/>
          <w:b/>
          <w:bCs/>
          <w:sz w:val="24"/>
          <w:szCs w:val="24"/>
        </w:rPr>
        <w:t>CN-2IL and La</w:t>
      </w:r>
      <w:r>
        <w:rPr>
          <w:rFonts w:hint="eastAsia" w:ascii="Times New Roman" w:hAnsi="Times New Roman" w:cs="Times New Roman"/>
          <w:b/>
          <w:bCs/>
          <w:sz w:val="24"/>
          <w:szCs w:val="24"/>
        </w:rPr>
        <w:t>-</w:t>
      </w:r>
      <w:r>
        <w:rPr>
          <w:rFonts w:ascii="Times New Roman" w:hAnsi="Times New Roman" w:cs="Times New Roman"/>
          <w:b/>
          <w:bCs/>
          <w:sz w:val="24"/>
          <w:szCs w:val="24"/>
        </w:rPr>
        <w:t>CN-3IL.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CO</w:t>
      </w:r>
      <w:r>
        <w:rPr>
          <w:rFonts w:hint="eastAsia"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-TPD curves showing desorption peaks in the low-temperature region (50</w:t>
      </w:r>
      <w:r>
        <w:rPr>
          <w:rFonts w:hint="eastAsia"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200 °C) and the medium-temperature region (200</w:t>
      </w:r>
      <w:r>
        <w:rPr>
          <w:rFonts w:hint="eastAsia"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400 °C). The desorption intensity follows the order La</w:t>
      </w:r>
      <w:r>
        <w:rPr>
          <w:rFonts w:hint="eastAsia"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CN-2IL &gt; La</w:t>
      </w:r>
      <w:r>
        <w:rPr>
          <w:rFonts w:hint="eastAsia"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CN-1IL &gt; La</w:t>
      </w:r>
      <w:r>
        <w:rPr>
          <w:rFonts w:hint="eastAsia"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CN-3IL &gt; La</w:t>
      </w:r>
      <w:r>
        <w:rPr>
          <w:rFonts w:hint="eastAsia"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CN at the same temperature, indicating that La</w:t>
      </w:r>
      <w:r>
        <w:rPr>
          <w:rFonts w:hint="eastAsia"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CN-2IL possesses the highest density of basic sites. </w:t>
      </w:r>
      <w:r>
        <w:rPr>
          <w:rFonts w:ascii="Times New Roman" w:hAnsi="Times New Roman" w:cs="Times New Roman"/>
          <w:b/>
          <w:bCs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 xml:space="preserve"> Normalized CO</w:t>
      </w:r>
      <w:r>
        <w:rPr>
          <w:rFonts w:hint="eastAsia"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-TPD peak areas. The medium-temperature region (200</w:t>
      </w:r>
      <w:r>
        <w:rPr>
          <w:rFonts w:hint="eastAsia"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400 °C, blue) contributes predominantly to the total CO</w:t>
      </w:r>
      <w:r>
        <w:rPr>
          <w:rFonts w:hint="eastAsia"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desorption. The medium-temperature peak areas are 22.6 for La</w:t>
      </w:r>
      <w:r>
        <w:rPr>
          <w:rFonts w:hint="eastAsia"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CN, 47.1 for La</w:t>
      </w:r>
      <w:r>
        <w:rPr>
          <w:rFonts w:hint="eastAsia"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CN-1IL, 67.3 for La</w:t>
      </w:r>
      <w:r>
        <w:rPr>
          <w:rFonts w:hint="eastAsia"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CN-2IL and 39.3 for La</w:t>
      </w:r>
      <w:r>
        <w:rPr>
          <w:rFonts w:hint="eastAsia"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CN-3IL, confirming that La</w:t>
      </w:r>
      <w:r>
        <w:rPr>
          <w:rFonts w:hint="eastAsia"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CN-2IL exhibits the highest medium-strong basic site density among all samples. </w:t>
      </w:r>
      <w:r>
        <w:rPr>
          <w:rFonts w:ascii="Times New Roman" w:hAnsi="Times New Roman" w:cs="Times New Roman"/>
          <w:b/>
          <w:bCs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 xml:space="preserve"> NH</w:t>
      </w:r>
      <w:r>
        <w:rPr>
          <w:rFonts w:hint="eastAsia"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</w:rPr>
        <w:t>-TPD curves showing desorption peaks</w:t>
      </w:r>
      <w:r>
        <w:rPr>
          <w:rFonts w:hint="eastAsia" w:ascii="Times New Roman" w:hAnsi="Times New Roman" w:cs="Times New Roman"/>
          <w:sz w:val="24"/>
          <w:szCs w:val="24"/>
        </w:rPr>
        <w:t xml:space="preserve"> at</w:t>
      </w:r>
      <w:r>
        <w:rPr>
          <w:rFonts w:ascii="Times New Roman" w:hAnsi="Times New Roman" w:cs="Times New Roman"/>
          <w:sz w:val="24"/>
          <w:szCs w:val="24"/>
        </w:rPr>
        <w:t xml:space="preserve"> 50</w:t>
      </w:r>
      <w:r>
        <w:rPr>
          <w:rFonts w:hint="eastAsia"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150 °C (weak acid sites). The integrated peak areas are 14.06 for La</w:t>
      </w:r>
      <w:r>
        <w:rPr>
          <w:rFonts w:hint="eastAsia"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CN, 11.69 for La</w:t>
      </w:r>
      <w:r>
        <w:rPr>
          <w:rFonts w:hint="eastAsia"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CN-1IL, 15.29 for La</w:t>
      </w:r>
      <w:r>
        <w:rPr>
          <w:rFonts w:hint="eastAsia"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CN-2IL and 14.11 for La</w:t>
      </w:r>
      <w:r>
        <w:rPr>
          <w:rFonts w:hint="eastAsia"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CN-3IL. The peak position of La</w:t>
      </w:r>
      <w:r>
        <w:rPr>
          <w:rFonts w:hint="eastAsia"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CN-2IL shifts to higher temperature compare</w:t>
      </w:r>
      <w:r>
        <w:rPr>
          <w:rFonts w:hint="eastAsia" w:ascii="Times New Roman" w:hAnsi="Times New Roman" w:cs="Times New Roman"/>
          <w:sz w:val="24"/>
          <w:szCs w:val="24"/>
        </w:rPr>
        <w:t>d with La-CN (inset), indicating slightly stronger acid strength. These results demonstrate that La-CN-2IL possesses the optimized surface acid-basic properties, consistent with its superior catalytic performance.</w:t>
      </w: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5C4AA0C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drawing>
          <wp:inline distT="0" distB="0" distL="0" distR="0">
            <wp:extent cx="4319905" cy="1674495"/>
            <wp:effectExtent l="0" t="0" r="4445" b="1905"/>
            <wp:docPr id="99620550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620550" name="图片 1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16745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607F76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Supplementary Figure 9</w:t>
      </w:r>
      <w:r>
        <w:rPr>
          <w:rFonts w:hint="eastAsia"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2D charge density difference slices of La</w:t>
      </w:r>
      <w:r>
        <w:rPr>
          <w:rFonts w:hint="eastAsia" w:ascii="Times New Roman" w:hAnsi="Times New Roman" w:cs="Times New Roman"/>
          <w:b/>
          <w:bCs/>
          <w:sz w:val="24"/>
          <w:szCs w:val="24"/>
        </w:rPr>
        <w:t>-</w:t>
      </w:r>
      <w:r>
        <w:rPr>
          <w:rFonts w:ascii="Times New Roman" w:hAnsi="Times New Roman" w:cs="Times New Roman"/>
          <w:b/>
          <w:bCs/>
          <w:sz w:val="24"/>
          <w:szCs w:val="24"/>
        </w:rPr>
        <w:t>CN and La</w:t>
      </w:r>
      <w:r>
        <w:rPr>
          <w:rFonts w:hint="eastAsia" w:ascii="Times New Roman" w:hAnsi="Times New Roman" w:cs="Times New Roman"/>
          <w:b/>
          <w:bCs/>
          <w:sz w:val="24"/>
          <w:szCs w:val="24"/>
        </w:rPr>
        <w:t>-</w:t>
      </w:r>
      <w:r>
        <w:rPr>
          <w:rFonts w:ascii="Times New Roman" w:hAnsi="Times New Roman" w:cs="Times New Roman"/>
          <w:b/>
          <w:bCs/>
          <w:sz w:val="24"/>
          <w:szCs w:val="24"/>
        </w:rPr>
        <w:t>CN-IL.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2D slice of La</w:t>
      </w:r>
      <w:r>
        <w:rPr>
          <w:rFonts w:hint="eastAsia"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CN showing charge redistribution highly localized around the La</w:t>
      </w:r>
      <w:r>
        <w:rPr>
          <w:rFonts w:hint="eastAsia"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N bonds at the interface between the La cluster and the g-C</w:t>
      </w:r>
      <w:r>
        <w:rPr>
          <w:rFonts w:hint="eastAsia"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hint="eastAsia" w:ascii="Times New Roman" w:hAnsi="Times New Roman" w:cs="Times New Roman"/>
          <w:sz w:val="24"/>
          <w:szCs w:val="24"/>
          <w:vertAlign w:val="subscript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support. The electron accum</w:t>
      </w:r>
      <w:r>
        <w:rPr>
          <w:rFonts w:hint="eastAsia" w:ascii="Times New Roman" w:hAnsi="Times New Roman" w:cs="Times New Roman"/>
          <w:sz w:val="24"/>
          <w:szCs w:val="24"/>
        </w:rPr>
        <w:t xml:space="preserve">ulation (blue) and depletion (red) regions are symmetrically distributed along the La-N coordination bonds, indicating a highly localized and ordered charge transfer with clear boundaries. </w:t>
      </w:r>
      <w:r>
        <w:rPr>
          <w:rFonts w:hint="eastAsia" w:ascii="Times New Roman" w:hAnsi="Times New Roman" w:cs="Times New Roman"/>
          <w:b/>
          <w:bCs/>
          <w:sz w:val="24"/>
          <w:szCs w:val="24"/>
        </w:rPr>
        <w:t>b</w:t>
      </w:r>
      <w:r>
        <w:rPr>
          <w:rFonts w:hint="eastAsia" w:ascii="Times New Roman" w:hAnsi="Times New Roman" w:cs="Times New Roman"/>
          <w:sz w:val="24"/>
          <w:szCs w:val="24"/>
        </w:rPr>
        <w:t xml:space="preserve"> 2D slice of La-CN-IL showing a significantly expanded charge redistribution region with increased interweaving of electron accumulation and depletion contours. The charge transfer extends over a larger interfacial area and the charge distribution exhibits reduced symmetry compared with La-CN, indicating enhanced charge delocalization due to the presence of surface nitrogen vacancies. The isosurface value is set at 0.010 eV (blue, electron accumulation) and -0.010 eV (red, electron depletion). The enhanced charge delocalization and asymmetric electron distribution at the</w:t>
      </w:r>
      <w:r>
        <w:rPr>
          <w:rFonts w:ascii="Times New Roman" w:hAnsi="Times New Roman" w:cs="Times New Roman"/>
          <w:sz w:val="24"/>
          <w:szCs w:val="24"/>
        </w:rPr>
        <w:t xml:space="preserve"> LaO</w:t>
      </w:r>
      <w:r>
        <w:rPr>
          <w:rFonts w:hint="eastAsia"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g-C</w:t>
      </w:r>
      <w:r>
        <w:rPr>
          <w:rFonts w:hint="eastAsia"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hint="eastAsia" w:ascii="Times New Roman" w:hAnsi="Times New Roman" w:cs="Times New Roman"/>
          <w:sz w:val="24"/>
          <w:szCs w:val="24"/>
          <w:vertAlign w:val="subscript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interface in La</w:t>
      </w:r>
      <w:r>
        <w:rPr>
          <w:rFonts w:hint="eastAsia"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CN-IL indicate improved surface electron excitation capability upon defect introduction. The colour scale bar represents the charge density difference in eV.</w:t>
      </w:r>
    </w:p>
    <w:p w14:paraId="6AAAD87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3740752D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4319905" cy="1665605"/>
            <wp:effectExtent l="0" t="0" r="0" b="0"/>
            <wp:docPr id="186705694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7056949" name="图片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1666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EDC0E8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</w:rPr>
        <w:t>Supplementary Figure 10.</w:t>
      </w:r>
      <w:r>
        <w:rPr>
          <w:rFonts w:hint="eastAsia" w:ascii="Times New Roman" w:hAnsi="Times New Roman" w:cs="Times New Roman"/>
          <w:sz w:val="24"/>
          <w:szCs w:val="24"/>
        </w:rPr>
        <w:t xml:space="preserve"> </w:t>
      </w:r>
      <w:r>
        <w:rPr>
          <w:rFonts w:hint="eastAsia" w:ascii="Times New Roman" w:hAnsi="Times New Roman" w:cs="Times New Roman"/>
          <w:b/>
          <w:bCs/>
          <w:sz w:val="24"/>
          <w:szCs w:val="24"/>
        </w:rPr>
        <w:t>Projected density of states (PDOS) of La-CN and La-CN-IL.</w:t>
      </w:r>
      <w:r>
        <w:rPr>
          <w:rFonts w:hint="eastAsia" w:ascii="Times New Roman" w:hAnsi="Times New Roman" w:cs="Times New Roman"/>
          <w:sz w:val="24"/>
          <w:szCs w:val="24"/>
        </w:rPr>
        <w:t xml:space="preserve"> </w:t>
      </w:r>
      <w:r>
        <w:rPr>
          <w:rFonts w:hint="eastAsia" w:ascii="Times New Roman" w:hAnsi="Times New Roman" w:cs="Times New Roman"/>
          <w:b/>
          <w:bCs/>
          <w:sz w:val="24"/>
          <w:szCs w:val="24"/>
        </w:rPr>
        <w:t>a</w:t>
      </w:r>
      <w:r>
        <w:rPr>
          <w:rFonts w:hint="eastAsia" w:ascii="Times New Roman" w:hAnsi="Times New Roman" w:cs="Times New Roman"/>
          <w:sz w:val="24"/>
          <w:szCs w:val="24"/>
        </w:rPr>
        <w:t xml:space="preserve"> PDOS of La-CN showing the total DOS (red) with contributions from La (purple), C (magenta), O (light pink) and N (blue) orbitals. The DOS at the Fermi level (set to 0 eV</w:t>
      </w:r>
      <w:r>
        <w:rPr>
          <w:rFonts w:ascii="Times New Roman" w:hAnsi="Times New Roman" w:cs="Times New Roman"/>
          <w:sz w:val="24"/>
          <w:szCs w:val="24"/>
        </w:rPr>
        <w:t xml:space="preserve">) is 10.90 states </w:t>
      </w:r>
      <w:r>
        <w:rPr>
          <w:rFonts w:hint="eastAsia" w:ascii="Times New Roman" w:hAnsi="Times New Roman" w:cs="Times New Roman"/>
          <w:sz w:val="24"/>
          <w:szCs w:val="24"/>
        </w:rPr>
        <w:t>eV</w:t>
      </w:r>
      <w:r>
        <w:rPr>
          <w:rFonts w:hint="eastAsia" w:ascii="Times New Roman" w:hAnsi="Times New Roman" w:cs="Times New Roman"/>
          <w:sz w:val="24"/>
          <w:szCs w:val="24"/>
          <w:vertAlign w:val="superscript"/>
        </w:rPr>
        <w:t>-1</w:t>
      </w:r>
      <w:r>
        <w:rPr>
          <w:rFonts w:ascii="Times New Roman" w:hAnsi="Times New Roman" w:cs="Times New Roman"/>
          <w:sz w:val="24"/>
          <w:szCs w:val="24"/>
        </w:rPr>
        <w:t>. The La orbitals exhibit a distinct feature near the Fermi level, and the total DOS shows dense, high-amplitude oscillations in the valence band region (</w:t>
      </w:r>
      <w:r>
        <w:rPr>
          <w:rFonts w:hint="eastAsia"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12 to 0 eV). </w:t>
      </w:r>
      <w:r>
        <w:rPr>
          <w:rFonts w:ascii="Times New Roman" w:hAnsi="Times New Roman" w:cs="Times New Roman"/>
          <w:b/>
          <w:bCs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 xml:space="preserve"> PDOS of La</w:t>
      </w:r>
      <w:r>
        <w:rPr>
          <w:rFonts w:hint="eastAsia"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CN-IL showing the total DOS (light blue) with contributions from La (purple), C (magenta), O (light pink) and N (blue) orbitals. The DOS at the Fermi level increases significantly to 16.36 states eV</w:t>
      </w:r>
      <w:r>
        <w:rPr>
          <w:rFonts w:hint="eastAsia" w:ascii="Times New Roman" w:hAnsi="Times New Roman" w:cs="Times New Roman"/>
          <w:sz w:val="24"/>
          <w:szCs w:val="24"/>
          <w:vertAlign w:val="superscript"/>
        </w:rPr>
        <w:t>-1</w:t>
      </w:r>
      <w:r>
        <w:rPr>
          <w:rFonts w:ascii="Times New Roman" w:hAnsi="Times New Roman" w:cs="Times New Roman"/>
          <w:sz w:val="24"/>
          <w:szCs w:val="24"/>
        </w:rPr>
        <w:t>, with enhanced La orbital intensity near the Fermi level compared with La</w:t>
      </w:r>
      <w:r>
        <w:rPr>
          <w:rFonts w:hint="eastAsia"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CN. The total DOS in the conducti</w:t>
      </w:r>
      <w:r>
        <w:rPr>
          <w:rFonts w:hint="eastAsia" w:ascii="Times New Roman" w:hAnsi="Times New Roman" w:cs="Times New Roman"/>
          <w:sz w:val="24"/>
          <w:szCs w:val="24"/>
        </w:rPr>
        <w:t>on band region (0-8 eV) shows substantially higher amplitude in La-CN-IL than in La-CN. Orbital overlaps between La, C, N and O are observed near the Fermi level in both samples. The increased DOS at the Fermi level and the broader energy distribution in L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hint="eastAsia"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CN-IL indicate enhanced electronic communication between the LaO clusters and the defective g-C</w:t>
      </w:r>
      <w:r>
        <w:rPr>
          <w:rFonts w:hint="eastAsia"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hint="eastAsia" w:ascii="Times New Roman" w:hAnsi="Times New Roman" w:cs="Times New Roman"/>
          <w:sz w:val="24"/>
          <w:szCs w:val="24"/>
          <w:vertAlign w:val="subscript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support, which facilitates surface electron transfer. The Fermi level is set to 0 eV (dashed line).</w:t>
      </w:r>
    </w:p>
    <w:p w14:paraId="1B26EA7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3EFE0716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</w:rPr>
        <w:t>Supplementary Table 3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.</w:t>
      </w:r>
      <w:r>
        <w:rPr>
          <w:rFonts w:hint="eastAsia" w:ascii="Times New Roman" w:hAnsi="Times New Roman" w:cs="Times New Roman"/>
          <w:sz w:val="24"/>
          <w:szCs w:val="24"/>
        </w:rPr>
        <w:t xml:space="preserve"> </w:t>
      </w:r>
      <w:r>
        <w:rPr>
          <w:rFonts w:hint="eastAsia" w:ascii="Times New Roman" w:hAnsi="Times New Roman" w:cs="Times New Roman"/>
          <w:b/>
          <w:bCs/>
          <w:sz w:val="24"/>
          <w:szCs w:val="24"/>
        </w:rPr>
        <w:t>Summary of computed Bader charge and corresponding atomic state value for La, O, average C and average N atoms over La-CN and ionic liquid modified La-CN (La-CN-IL) catalysts.</w:t>
      </w:r>
    </w:p>
    <w:tbl>
      <w:tblPr>
        <w:tblStyle w:val="15"/>
        <w:tblW w:w="8620" w:type="dxa"/>
        <w:tblInd w:w="0" w:type="dxa"/>
        <w:tbl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color="FFFFFF" w:sz="8" w:space="0"/>
          <w:insideV w:val="single" w:color="FFFFFF" w:sz="8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155"/>
        <w:gridCol w:w="2155"/>
        <w:gridCol w:w="2155"/>
        <w:gridCol w:w="2155"/>
      </w:tblGrid>
      <w:tr w14:paraId="13122344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2155" w:type="dxa"/>
            <w:tcBorders>
              <w:top w:val="single" w:color="000000" w:themeColor="text1" w:sz="8" w:space="0"/>
              <w:left w:val="nil"/>
              <w:bottom w:val="single" w:color="000000" w:themeColor="text1" w:sz="8" w:space="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62BC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Sample</w:t>
            </w:r>
          </w:p>
        </w:tc>
        <w:tc>
          <w:tcPr>
            <w:tcW w:w="2155" w:type="dxa"/>
            <w:tcBorders>
              <w:top w:val="single" w:color="000000" w:themeColor="text1" w:sz="8" w:space="0"/>
              <w:left w:val="nil"/>
              <w:bottom w:val="single" w:color="000000" w:themeColor="text1" w:sz="8" w:space="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EFB87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Atom</w:t>
            </w:r>
          </w:p>
        </w:tc>
        <w:tc>
          <w:tcPr>
            <w:tcW w:w="2155" w:type="dxa"/>
            <w:tcBorders>
              <w:top w:val="single" w:color="000000" w:themeColor="text1" w:sz="8" w:space="0"/>
              <w:left w:val="nil"/>
              <w:bottom w:val="single" w:color="000000" w:themeColor="text1" w:sz="8" w:space="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8569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Bader charge</w:t>
            </w:r>
          </w:p>
        </w:tc>
        <w:tc>
          <w:tcPr>
            <w:tcW w:w="2155" w:type="dxa"/>
            <w:tcBorders>
              <w:top w:val="single" w:color="000000" w:themeColor="text1" w:sz="8" w:space="0"/>
              <w:left w:val="nil"/>
              <w:bottom w:val="single" w:color="000000" w:themeColor="text1" w:sz="8" w:space="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35E8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State value</w:t>
            </w:r>
          </w:p>
        </w:tc>
      </w:tr>
      <w:tr w14:paraId="4CB82445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2155" w:type="dxa"/>
            <w:vMerge w:val="restart"/>
            <w:tcBorders>
              <w:top w:val="single" w:color="000000" w:themeColor="text1" w:sz="8" w:space="0"/>
              <w:bottom w:val="single" w:color="000000" w:themeColor="text1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DFA4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La-CN</w:t>
            </w:r>
          </w:p>
        </w:tc>
        <w:tc>
          <w:tcPr>
            <w:tcW w:w="2155" w:type="dxa"/>
            <w:tcBorders>
              <w:top w:val="single" w:color="000000" w:themeColor="text1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AFB5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La1</w:t>
            </w:r>
          </w:p>
        </w:tc>
        <w:tc>
          <w:tcPr>
            <w:tcW w:w="2155" w:type="dxa"/>
            <w:tcBorders>
              <w:top w:val="single" w:color="000000" w:themeColor="text1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D6D0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9.049</w:t>
            </w:r>
          </w:p>
        </w:tc>
        <w:tc>
          <w:tcPr>
            <w:tcW w:w="2155" w:type="dxa"/>
            <w:tcBorders>
              <w:top w:val="single" w:color="000000" w:themeColor="text1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0F6C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3.901</w:t>
            </w:r>
          </w:p>
        </w:tc>
      </w:tr>
      <w:tr w14:paraId="16AF9BE2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bottom w:val="single" w:color="000000" w:themeColor="text1" w:sz="8" w:space="0"/>
            </w:tcBorders>
            <w:vAlign w:val="center"/>
          </w:tcPr>
          <w:p w14:paraId="4F54492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5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8822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La2</w:t>
            </w:r>
          </w:p>
        </w:tc>
        <w:tc>
          <w:tcPr>
            <w:tcW w:w="215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A382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9.052</w:t>
            </w:r>
          </w:p>
        </w:tc>
        <w:tc>
          <w:tcPr>
            <w:tcW w:w="215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DDAF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3.896</w:t>
            </w:r>
          </w:p>
        </w:tc>
      </w:tr>
      <w:tr w14:paraId="3142A13C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bottom w:val="single" w:color="000000" w:themeColor="text1" w:sz="8" w:space="0"/>
            </w:tcBorders>
            <w:vAlign w:val="center"/>
          </w:tcPr>
          <w:p w14:paraId="69FBD9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5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C9AC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O1</w:t>
            </w:r>
          </w:p>
        </w:tc>
        <w:tc>
          <w:tcPr>
            <w:tcW w:w="215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DC9B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7.173</w:t>
            </w:r>
          </w:p>
        </w:tc>
        <w:tc>
          <w:tcPr>
            <w:tcW w:w="215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518A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-2.346</w:t>
            </w:r>
          </w:p>
        </w:tc>
      </w:tr>
      <w:tr w14:paraId="5301053E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bottom w:val="single" w:color="000000" w:themeColor="text1" w:sz="8" w:space="0"/>
            </w:tcBorders>
            <w:vAlign w:val="center"/>
          </w:tcPr>
          <w:p w14:paraId="64305B3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55" w:type="dxa"/>
            <w:tcBorders>
              <w:bottom w:val="single" w:color="FFFFFF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28B7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O2</w:t>
            </w:r>
          </w:p>
        </w:tc>
        <w:tc>
          <w:tcPr>
            <w:tcW w:w="2155" w:type="dxa"/>
            <w:tcBorders>
              <w:bottom w:val="single" w:color="FFFFFF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14BE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7.139</w:t>
            </w:r>
          </w:p>
        </w:tc>
        <w:tc>
          <w:tcPr>
            <w:tcW w:w="2155" w:type="dxa"/>
            <w:tcBorders>
              <w:bottom w:val="single" w:color="FFFFFF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D2CC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-2.277</w:t>
            </w:r>
          </w:p>
        </w:tc>
      </w:tr>
      <w:tr w14:paraId="07C7BA1B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bottom w:val="single" w:color="000000" w:themeColor="text1" w:sz="8" w:space="0"/>
            </w:tcBorders>
            <w:vAlign w:val="center"/>
          </w:tcPr>
          <w:p w14:paraId="693303A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55" w:type="dxa"/>
            <w:tcBorders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20C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Average C</w:t>
            </w:r>
          </w:p>
        </w:tc>
        <w:tc>
          <w:tcPr>
            <w:tcW w:w="2155" w:type="dxa"/>
            <w:tcBorders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E8DD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2.502</w:t>
            </w:r>
          </w:p>
        </w:tc>
        <w:tc>
          <w:tcPr>
            <w:tcW w:w="2155" w:type="dxa"/>
            <w:tcBorders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7385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2.996</w:t>
            </w:r>
          </w:p>
        </w:tc>
      </w:tr>
      <w:tr w14:paraId="546BE9E3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bottom w:val="single" w:color="000000" w:themeColor="text1" w:sz="8" w:space="0"/>
            </w:tcBorders>
            <w:vAlign w:val="center"/>
          </w:tcPr>
          <w:p w14:paraId="143B53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55" w:type="dxa"/>
            <w:tcBorders>
              <w:top w:val="nil"/>
              <w:bottom w:val="single" w:color="000000" w:themeColor="text1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F4EB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Average N</w:t>
            </w:r>
          </w:p>
        </w:tc>
        <w:tc>
          <w:tcPr>
            <w:tcW w:w="2155" w:type="dxa"/>
            <w:tcBorders>
              <w:top w:val="nil"/>
              <w:bottom w:val="single" w:color="000000" w:themeColor="text1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0805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6.136</w:t>
            </w:r>
          </w:p>
        </w:tc>
        <w:tc>
          <w:tcPr>
            <w:tcW w:w="2155" w:type="dxa"/>
            <w:tcBorders>
              <w:top w:val="nil"/>
              <w:bottom w:val="single" w:color="000000" w:themeColor="text1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C1FF4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-2.272</w:t>
            </w:r>
          </w:p>
        </w:tc>
      </w:tr>
      <w:tr w14:paraId="218E21AF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2155" w:type="dxa"/>
            <w:vMerge w:val="restart"/>
            <w:tcBorders>
              <w:top w:val="single" w:color="000000" w:themeColor="text1" w:sz="8" w:space="0"/>
              <w:bottom w:val="single" w:color="000000" w:themeColor="text1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F89D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La-CN-</w:t>
            </w:r>
            <w:r>
              <w:rPr>
                <w:rFonts w:hint="eastAsia" w:ascii="Times New Roman" w:hAnsi="Times New Roman" w:cs="Times New Roman"/>
              </w:rPr>
              <w:t>IL</w:t>
            </w:r>
          </w:p>
        </w:tc>
        <w:tc>
          <w:tcPr>
            <w:tcW w:w="2155" w:type="dxa"/>
            <w:tcBorders>
              <w:top w:val="single" w:color="000000" w:themeColor="text1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B1CC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La1</w:t>
            </w:r>
          </w:p>
        </w:tc>
        <w:tc>
          <w:tcPr>
            <w:tcW w:w="2155" w:type="dxa"/>
            <w:tcBorders>
              <w:top w:val="single" w:color="000000" w:themeColor="text1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FAEF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9.074</w:t>
            </w:r>
          </w:p>
        </w:tc>
        <w:tc>
          <w:tcPr>
            <w:tcW w:w="2155" w:type="dxa"/>
            <w:tcBorders>
              <w:top w:val="single" w:color="000000" w:themeColor="text1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BED2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3.853</w:t>
            </w:r>
          </w:p>
        </w:tc>
      </w:tr>
      <w:tr w14:paraId="277D51C8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bottom w:val="single" w:color="000000" w:themeColor="text1" w:sz="8" w:space="0"/>
            </w:tcBorders>
            <w:vAlign w:val="center"/>
          </w:tcPr>
          <w:p w14:paraId="64AEF6F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5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4430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La2</w:t>
            </w:r>
          </w:p>
        </w:tc>
        <w:tc>
          <w:tcPr>
            <w:tcW w:w="215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F80F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9.059</w:t>
            </w:r>
          </w:p>
        </w:tc>
        <w:tc>
          <w:tcPr>
            <w:tcW w:w="215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6ED8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3.882</w:t>
            </w:r>
          </w:p>
        </w:tc>
      </w:tr>
      <w:tr w14:paraId="477AB6CB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bottom w:val="single" w:color="000000" w:themeColor="text1" w:sz="8" w:space="0"/>
            </w:tcBorders>
            <w:vAlign w:val="center"/>
          </w:tcPr>
          <w:p w14:paraId="0DB722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5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C48E1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O1</w:t>
            </w:r>
          </w:p>
        </w:tc>
        <w:tc>
          <w:tcPr>
            <w:tcW w:w="215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8B92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7.171</w:t>
            </w:r>
          </w:p>
        </w:tc>
        <w:tc>
          <w:tcPr>
            <w:tcW w:w="215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7653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-2.341</w:t>
            </w:r>
          </w:p>
        </w:tc>
      </w:tr>
      <w:tr w14:paraId="70E16C8E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bottom w:val="single" w:color="000000" w:themeColor="text1" w:sz="8" w:space="0"/>
            </w:tcBorders>
            <w:vAlign w:val="center"/>
          </w:tcPr>
          <w:p w14:paraId="49C36E3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5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6870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O2</w:t>
            </w:r>
          </w:p>
        </w:tc>
        <w:tc>
          <w:tcPr>
            <w:tcW w:w="215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BC38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7.170</w:t>
            </w:r>
          </w:p>
        </w:tc>
        <w:tc>
          <w:tcPr>
            <w:tcW w:w="215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C1DA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-2.339</w:t>
            </w:r>
          </w:p>
        </w:tc>
      </w:tr>
      <w:tr w14:paraId="7784706C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bottom w:val="single" w:color="000000" w:themeColor="text1" w:sz="8" w:space="0"/>
            </w:tcBorders>
            <w:vAlign w:val="center"/>
          </w:tcPr>
          <w:p w14:paraId="130E6B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55" w:type="dxa"/>
            <w:tcBorders>
              <w:bottom w:val="single" w:color="FFFFFF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4237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Average C</w:t>
            </w:r>
          </w:p>
        </w:tc>
        <w:tc>
          <w:tcPr>
            <w:tcW w:w="2155" w:type="dxa"/>
            <w:tcBorders>
              <w:bottom w:val="single" w:color="FFFFFF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648D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2.739</w:t>
            </w:r>
          </w:p>
        </w:tc>
        <w:tc>
          <w:tcPr>
            <w:tcW w:w="2155" w:type="dxa"/>
            <w:tcBorders>
              <w:bottom w:val="single" w:color="FFFFFF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A06D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2.521</w:t>
            </w:r>
          </w:p>
        </w:tc>
      </w:tr>
      <w:tr w14:paraId="5AA1B0C5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vMerge w:val="continue"/>
            <w:tcBorders>
              <w:bottom w:val="single" w:color="000000" w:themeColor="text1" w:sz="8" w:space="0"/>
            </w:tcBorders>
            <w:vAlign w:val="center"/>
          </w:tcPr>
          <w:p w14:paraId="2ED9E4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55" w:type="dxa"/>
            <w:tcBorders>
              <w:bottom w:val="single" w:color="000000" w:themeColor="text1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1595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Average N</w:t>
            </w:r>
          </w:p>
        </w:tc>
        <w:tc>
          <w:tcPr>
            <w:tcW w:w="2155" w:type="dxa"/>
            <w:tcBorders>
              <w:bottom w:val="single" w:color="000000" w:themeColor="text1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080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6.145</w:t>
            </w:r>
          </w:p>
        </w:tc>
        <w:tc>
          <w:tcPr>
            <w:tcW w:w="2155" w:type="dxa"/>
            <w:tcBorders>
              <w:bottom w:val="single" w:color="000000" w:themeColor="text1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A88F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-2.290</w:t>
            </w:r>
          </w:p>
        </w:tc>
      </w:tr>
    </w:tbl>
    <w:p w14:paraId="080754B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1C4A3146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4319905" cy="3549650"/>
            <wp:effectExtent l="0" t="0" r="0" b="0"/>
            <wp:docPr id="260537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05373" name="图片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35501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5510BC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</w:rPr>
        <w:t>Supplementary Figure 11.</w:t>
      </w:r>
      <w:r>
        <w:rPr>
          <w:rFonts w:hint="eastAsia"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Optimization of reaction conditions for urea-glycerol conversion to GC over La-CN-2IL.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Effect of urea-to-glycerol molar ratio on GC yield (blue bars) and selectivity (grey bars). The GC yield reaches a maximum at a urea-to-glycerol ratio of </w:t>
      </w:r>
      <w:r>
        <w:rPr>
          <w:rFonts w:hint="eastAsia" w:ascii="Times New Roman" w:hAnsi="Times New Roman" w:cs="Times New Roman"/>
          <w:sz w:val="24"/>
          <w:szCs w:val="24"/>
        </w:rPr>
        <w:t>1.5</w:t>
      </w:r>
      <w:r>
        <w:rPr>
          <w:rFonts w:ascii="Times New Roman" w:hAnsi="Times New Roman" w:cs="Times New Roman"/>
          <w:sz w:val="24"/>
          <w:szCs w:val="24"/>
        </w:rPr>
        <w:t xml:space="preserve">:1, while the selectivity remains above 95% across all tested ratios. </w:t>
      </w:r>
      <w:r>
        <w:rPr>
          <w:rFonts w:ascii="Times New Roman" w:hAnsi="Times New Roman" w:cs="Times New Roman"/>
          <w:b/>
          <w:bCs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 xml:space="preserve"> Effect of La-to-melamine precursor molar ratio on GC yield and selectivity. The optimal performance is achieved at a La:melamine ratio of 1:2; higher La loadings lead to a significant decrease in both yield and selectivity due to possible aggregation of La species. </w:t>
      </w:r>
      <w:r>
        <w:rPr>
          <w:rFonts w:ascii="Times New Roman" w:hAnsi="Times New Roman" w:cs="Times New Roman"/>
          <w:b/>
          <w:bCs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 xml:space="preserve"> Effect of reaction temperature on GC yield and selectivity. The GC yield increases from 60.1% at 120 °C to 96.8% at 1</w:t>
      </w:r>
      <w:r>
        <w:rPr>
          <w:rFonts w:hint="eastAsia"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0 °C, then slightly decreases at 150 °C, with the selectivity reaching 99.2% at 140 °C. </w:t>
      </w:r>
      <w:r>
        <w:rPr>
          <w:rFonts w:ascii="Times New Roman" w:hAnsi="Times New Roman" w:cs="Times New Roman"/>
          <w:b/>
          <w:bCs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 Effect of reaction time on GC yield and selectivity. The GC yield increases rapidly to 93.3% at 3 h and reaches a maximum of 94.8% at 5 h, followed by a slight decrease at 7 h. The selectivity remains above 96% for reaction times up to 5 h. Error bars in a and b represent the standard deviation from three independent measurements. Reaction conditions: La</w:t>
      </w:r>
      <w:r>
        <w:rPr>
          <w:rFonts w:hint="eastAsia"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CN-2IL catalyst 50 mg, </w:t>
      </w:r>
      <w:r>
        <w:rPr>
          <w:rFonts w:hint="eastAsia" w:ascii="Times New Roman" w:hAnsi="Times New Roman" w:cs="Times New Roman"/>
          <w:sz w:val="24"/>
          <w:szCs w:val="24"/>
        </w:rPr>
        <w:t xml:space="preserve">10 Kpa. </w:t>
      </w:r>
      <w:r>
        <w:rPr>
          <w:rFonts w:ascii="Times New Roman" w:hAnsi="Times New Roman" w:cs="Times New Roman"/>
          <w:sz w:val="24"/>
          <w:szCs w:val="24"/>
        </w:rPr>
        <w:t>The optimal conditions are identified as urea:glycerol</w:t>
      </w:r>
      <w:r>
        <w:rPr>
          <w:rFonts w:hint="eastAsia" w:ascii="Times New Roman" w:hAnsi="Times New Roman" w:cs="Times New Roman"/>
          <w:sz w:val="24"/>
          <w:szCs w:val="24"/>
        </w:rPr>
        <w:t>=</w:t>
      </w:r>
      <w:r>
        <w:rPr>
          <w:rFonts w:ascii="Times New Roman" w:hAnsi="Times New Roman" w:cs="Times New Roman"/>
          <w:sz w:val="24"/>
          <w:szCs w:val="24"/>
        </w:rPr>
        <w:t>1</w:t>
      </w:r>
      <w:r>
        <w:rPr>
          <w:rFonts w:hint="eastAsia" w:ascii="Times New Roman" w:hAnsi="Times New Roman" w:cs="Times New Roman"/>
          <w:sz w:val="24"/>
          <w:szCs w:val="24"/>
        </w:rPr>
        <w:t>.5</w:t>
      </w:r>
      <w:r>
        <w:rPr>
          <w:rFonts w:ascii="Times New Roman" w:hAnsi="Times New Roman" w:cs="Times New Roman"/>
          <w:sz w:val="24"/>
          <w:szCs w:val="24"/>
        </w:rPr>
        <w:t>:1, La:melamine</w:t>
      </w:r>
      <w:r>
        <w:rPr>
          <w:rFonts w:hint="eastAsia" w:ascii="Times New Roman" w:hAnsi="Times New Roman" w:cs="Times New Roman"/>
          <w:sz w:val="24"/>
          <w:szCs w:val="24"/>
        </w:rPr>
        <w:t>=</w:t>
      </w:r>
      <w:r>
        <w:rPr>
          <w:rFonts w:ascii="Times New Roman" w:hAnsi="Times New Roman" w:cs="Times New Roman"/>
          <w:sz w:val="24"/>
          <w:szCs w:val="24"/>
        </w:rPr>
        <w:t>1:2, temperature</w:t>
      </w:r>
      <w:r>
        <w:rPr>
          <w:rFonts w:hint="eastAsia" w:ascii="Times New Roman" w:hAnsi="Times New Roman" w:cs="Times New Roman"/>
          <w:sz w:val="24"/>
          <w:szCs w:val="24"/>
        </w:rPr>
        <w:t>=</w:t>
      </w:r>
      <w:r>
        <w:rPr>
          <w:rFonts w:ascii="Times New Roman" w:hAnsi="Times New Roman" w:cs="Times New Roman"/>
          <w:sz w:val="24"/>
          <w:szCs w:val="24"/>
        </w:rPr>
        <w:t>1</w:t>
      </w:r>
      <w:r>
        <w:rPr>
          <w:rFonts w:hint="eastAsia"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0 °C, and reaction time</w:t>
      </w:r>
      <w:r>
        <w:rPr>
          <w:rFonts w:hint="eastAsia" w:ascii="Times New Roman" w:hAnsi="Times New Roman" w:cs="Times New Roman"/>
          <w:sz w:val="24"/>
          <w:szCs w:val="24"/>
        </w:rPr>
        <w:t>=3</w:t>
      </w:r>
      <w:r>
        <w:rPr>
          <w:rFonts w:ascii="Times New Roman" w:hAnsi="Times New Roman" w:cs="Times New Roman"/>
          <w:sz w:val="24"/>
          <w:szCs w:val="24"/>
        </w:rPr>
        <w:t xml:space="preserve"> h.</w:t>
      </w:r>
    </w:p>
    <w:p w14:paraId="713D470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56DAB5CD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14:ligatures w14:val="none"/>
        </w:rPr>
        <w:drawing>
          <wp:inline distT="0" distB="0" distL="0" distR="0">
            <wp:extent cx="2879725" cy="2339975"/>
            <wp:effectExtent l="0" t="0" r="0" b="0"/>
            <wp:docPr id="137898163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8981636" name="图片 5"/>
                    <pic:cNvPicPr>
                      <a:picLocks noChangeAspect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79725" cy="233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19FC65">
      <w:pPr>
        <w:spacing w:line="360" w:lineRule="auto"/>
        <w:rPr>
          <w:rFonts w:hint="eastAsia"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</w:rPr>
        <w:t>Supplementary Figure 12. Recycling stability test of La-CN-2IL catalyst for GC production.</w:t>
      </w:r>
      <w:r>
        <w:rPr>
          <w:rFonts w:hint="eastAsia" w:ascii="Times New Roman" w:hAnsi="Times New Roman" w:cs="Times New Roman"/>
          <w:sz w:val="24"/>
          <w:szCs w:val="24"/>
        </w:rPr>
        <w:t xml:space="preserve"> GC yield (blue bars) and selectivity (grey bars) over six consecutive cycles. The GC yield decreases slightly from 93.3% in the first cycle to 89.7% in the fifth cycle, then recovers to 90.2% in the sixth cycle, with selectivity remaining above 95.6% throughout all cycles. The minimal decline in catalytic performance (less than 3.6 percentage points over six cycles) demonstrates the excellent reusability and stability of La-CN-2IL, indicating no significant loss of active species during the recycling process. Reaction conditions: 130 °C, 3 h, urea:glycerol = 1.5:1, catalyst 50 mg, 10 kPa.</w:t>
      </w:r>
    </w:p>
    <w:p w14:paraId="4DF09242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drawing>
          <wp:inline distT="0" distB="0" distL="0" distR="0">
            <wp:extent cx="4319905" cy="3776345"/>
            <wp:effectExtent l="0" t="0" r="4445" b="0"/>
            <wp:docPr id="958395586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8395586" name="图片 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377691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127D0E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</w:rPr>
        <w:t>Supplementary Figure 13.</w:t>
      </w:r>
      <w:r>
        <w:rPr>
          <w:rFonts w:hint="eastAsia" w:ascii="Times New Roman" w:hAnsi="Times New Roman" w:cs="Times New Roman"/>
          <w:sz w:val="24"/>
          <w:szCs w:val="24"/>
        </w:rPr>
        <w:t xml:space="preserve"> </w:t>
      </w:r>
      <w:r>
        <w:rPr>
          <w:rFonts w:hint="eastAsia" w:ascii="Times New Roman" w:hAnsi="Times New Roman" w:cs="Times New Roman"/>
          <w:b/>
          <w:bCs/>
          <w:sz w:val="24"/>
          <w:szCs w:val="24"/>
        </w:rPr>
        <w:t>React IR spectra during urea-glycerol conversion to GC over La-CN-2IL. a</w:t>
      </w:r>
      <w:r>
        <w:rPr>
          <w:rFonts w:hint="eastAsia" w:ascii="Times New Roman" w:hAnsi="Times New Roman" w:cs="Times New Roman"/>
          <w:sz w:val="24"/>
          <w:szCs w:val="24"/>
        </w:rPr>
        <w:t xml:space="preserve"> Full-range 2D stacked spectra at selected reaction times (00:01, 00:31, 01:01, 01:31, 02:01, 02:31 and 03:01), with colours transitioning </w:t>
      </w:r>
      <w:r>
        <w:rPr>
          <w:rFonts w:ascii="Times New Roman" w:hAnsi="Times New Roman" w:cs="Times New Roman"/>
          <w:sz w:val="24"/>
          <w:szCs w:val="24"/>
        </w:rPr>
        <w:t>from grey (initial) to cyan (final). The main absorption bands are observed in the 1000</w:t>
      </w:r>
      <w:r>
        <w:rPr>
          <w:rFonts w:hint="eastAsia"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1700 cm</w:t>
      </w:r>
      <w:r>
        <w:rPr>
          <w:rFonts w:hint="eastAsia" w:ascii="Times New Roman" w:hAnsi="Times New Roman" w:cs="Times New Roman"/>
          <w:sz w:val="24"/>
          <w:szCs w:val="24"/>
          <w:vertAlign w:val="superscript"/>
        </w:rPr>
        <w:t>-1</w:t>
      </w:r>
      <w:r>
        <w:rPr>
          <w:rFonts w:ascii="Times New Roman" w:hAnsi="Times New Roman" w:cs="Times New Roman"/>
          <w:sz w:val="24"/>
          <w:szCs w:val="24"/>
        </w:rPr>
        <w:t xml:space="preserve"> region. </w:t>
      </w:r>
      <w:r>
        <w:rPr>
          <w:rFonts w:ascii="Times New Roman" w:hAnsi="Times New Roman" w:cs="Times New Roman"/>
          <w:b/>
          <w:bCs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 xml:space="preserve"> 3D waterfall plot of the full-range spectra showing the time-dependent evolution of IR signals. </w:t>
      </w:r>
      <w:r>
        <w:rPr>
          <w:rFonts w:ascii="Times New Roman" w:hAnsi="Times New Roman" w:cs="Times New Roman"/>
          <w:b/>
          <w:bCs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 xml:space="preserve"> Enlarged 3D waterfall plot focusing on the carbonyl/product region, showing dynamic intensity changes without significant band distortion over time. </w:t>
      </w:r>
      <w:r>
        <w:rPr>
          <w:rFonts w:ascii="Times New Roman" w:hAnsi="Times New Roman" w:cs="Times New Roman"/>
          <w:b/>
          <w:bCs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 2D enlarged spectra in the 1850</w:t>
      </w:r>
      <w:r>
        <w:rPr>
          <w:rFonts w:hint="eastAsia"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1500 cm</w:t>
      </w:r>
      <w:r>
        <w:rPr>
          <w:rFonts w:hint="eastAsia" w:ascii="Times New Roman" w:hAnsi="Times New Roman" w:cs="Times New Roman"/>
          <w:sz w:val="24"/>
          <w:szCs w:val="24"/>
          <w:vertAlign w:val="superscript"/>
        </w:rPr>
        <w:t>-1</w:t>
      </w:r>
      <w:r>
        <w:rPr>
          <w:rFonts w:ascii="Times New Roman" w:hAnsi="Times New Roman" w:cs="Times New Roman"/>
          <w:sz w:val="24"/>
          <w:szCs w:val="24"/>
        </w:rPr>
        <w:t xml:space="preserve"> region, revealing the evolution of resolved peaks corresponding to different species: 1780 cm</w:t>
      </w:r>
      <w:r>
        <w:rPr>
          <w:rFonts w:hint="eastAsia" w:ascii="Times New Roman" w:hAnsi="Times New Roman" w:cs="Times New Roman"/>
          <w:sz w:val="24"/>
          <w:szCs w:val="24"/>
          <w:vertAlign w:val="superscript"/>
        </w:rPr>
        <w:t>-1</w:t>
      </w:r>
      <w:r>
        <w:rPr>
          <w:rFonts w:ascii="Times New Roman" w:hAnsi="Times New Roman" w:cs="Times New Roman"/>
          <w:sz w:val="24"/>
          <w:szCs w:val="24"/>
        </w:rPr>
        <w:t xml:space="preserve"> (GC), 1712 cm</w:t>
      </w:r>
      <w:r>
        <w:rPr>
          <w:rFonts w:hint="eastAsia" w:ascii="Times New Roman" w:hAnsi="Times New Roman" w:cs="Times New Roman"/>
          <w:sz w:val="24"/>
          <w:szCs w:val="24"/>
          <w:vertAlign w:val="superscript"/>
        </w:rPr>
        <w:t>-1</w:t>
      </w:r>
      <w:r>
        <w:rPr>
          <w:rFonts w:ascii="Times New Roman" w:hAnsi="Times New Roman" w:cs="Times New Roman"/>
          <w:sz w:val="24"/>
          <w:szCs w:val="24"/>
        </w:rPr>
        <w:t xml:space="preserve"> (HGC C=O), 1664 cm</w:t>
      </w:r>
      <w:r>
        <w:rPr>
          <w:rFonts w:hint="eastAsia" w:ascii="Times New Roman" w:hAnsi="Times New Roman" w:cs="Times New Roman"/>
          <w:sz w:val="24"/>
          <w:szCs w:val="24"/>
          <w:vertAlign w:val="superscript"/>
        </w:rPr>
        <w:t>-1</w:t>
      </w:r>
      <w:r>
        <w:rPr>
          <w:rFonts w:ascii="Times New Roman" w:hAnsi="Times New Roman" w:cs="Times New Roman"/>
          <w:sz w:val="24"/>
          <w:szCs w:val="24"/>
        </w:rPr>
        <w:t xml:space="preserve"> (urea C=O), 1452 cm</w:t>
      </w:r>
      <w:r>
        <w:rPr>
          <w:rFonts w:hint="eastAsia" w:ascii="Times New Roman" w:hAnsi="Times New Roman" w:cs="Times New Roman"/>
          <w:sz w:val="24"/>
          <w:szCs w:val="24"/>
          <w:vertAlign w:val="superscript"/>
        </w:rPr>
        <w:t>-1</w:t>
      </w:r>
      <w:r>
        <w:rPr>
          <w:rFonts w:ascii="Times New Roman" w:hAnsi="Times New Roman" w:cs="Times New Roman"/>
          <w:sz w:val="24"/>
          <w:szCs w:val="24"/>
        </w:rPr>
        <w:t xml:space="preserve"> (C</w:t>
      </w:r>
      <w:r>
        <w:rPr>
          <w:rFonts w:hint="eastAsia"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NH</w:t>
      </w:r>
      <w:r>
        <w:rPr>
          <w:rFonts w:hint="eastAsia"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), and 1328 cm</w:t>
      </w:r>
      <w:r>
        <w:rPr>
          <w:rFonts w:hint="eastAsia" w:ascii="Times New Roman" w:hAnsi="Times New Roman" w:cs="Times New Roman"/>
          <w:sz w:val="24"/>
          <w:szCs w:val="24"/>
          <w:vertAlign w:val="superscript"/>
        </w:rPr>
        <w:t>-1</w:t>
      </w:r>
      <w:r>
        <w:rPr>
          <w:rFonts w:ascii="Times New Roman" w:hAnsi="Times New Roman" w:cs="Times New Roman"/>
          <w:sz w:val="24"/>
          <w:szCs w:val="24"/>
        </w:rPr>
        <w:t xml:space="preserve"> (HGC</w:t>
      </w:r>
      <w:r>
        <w:rPr>
          <w:rFonts w:hint="eastAsia"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NH</w:t>
      </w:r>
      <w:r>
        <w:rPr>
          <w:rFonts w:hint="eastAsia"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). The absorption in the 1000</w:t>
      </w:r>
      <w:r>
        <w:rPr>
          <w:rFonts w:hint="eastAsia"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1700 cm</w:t>
      </w:r>
      <w:r>
        <w:rPr>
          <w:rFonts w:hint="eastAsia" w:ascii="Times New Roman" w:hAnsi="Times New Roman" w:cs="Times New Roman"/>
          <w:sz w:val="24"/>
          <w:szCs w:val="24"/>
          <w:vertAlign w:val="superscript"/>
        </w:rPr>
        <w:t>-1</w:t>
      </w:r>
      <w:r>
        <w:rPr>
          <w:rFonts w:ascii="Times New Roman" w:hAnsi="Times New Roman" w:cs="Times New Roman"/>
          <w:sz w:val="24"/>
          <w:szCs w:val="24"/>
        </w:rPr>
        <w:t xml:space="preserve"> region also includes contributions from the g-C</w:t>
      </w:r>
      <w:r>
        <w:rPr>
          <w:rFonts w:hint="eastAsia"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hint="eastAsia" w:ascii="Times New Roman" w:hAnsi="Times New Roman" w:cs="Times New Roman"/>
          <w:sz w:val="24"/>
          <w:szCs w:val="24"/>
          <w:vertAlign w:val="subscript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framework (C=N/C</w:t>
      </w:r>
      <w:r>
        <w:rPr>
          <w:rFonts w:hint="eastAsia"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N stretching vibrations). The spectra were collected with a resolution of 4 cm</w:t>
      </w:r>
      <w:r>
        <w:rPr>
          <w:rFonts w:hint="eastAsia" w:ascii="Times New Roman" w:hAnsi="Times New Roman" w:cs="Times New Roman"/>
          <w:sz w:val="24"/>
          <w:szCs w:val="24"/>
          <w:vertAlign w:val="superscript"/>
        </w:rPr>
        <w:t>-1</w:t>
      </w:r>
      <w:r>
        <w:rPr>
          <w:rFonts w:ascii="Times New Roman" w:hAnsi="Times New Roman" w:cs="Times New Roman"/>
          <w:sz w:val="24"/>
          <w:szCs w:val="24"/>
        </w:rPr>
        <w:t xml:space="preserve"> at 15 s intervals over a total acquisition time of 3.5 h.</w:t>
      </w:r>
    </w:p>
    <w:p w14:paraId="0F853EF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05CCC9BF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14:ligatures w14:val="none"/>
        </w:rPr>
        <w:drawing>
          <wp:inline distT="0" distB="0" distL="0" distR="0">
            <wp:extent cx="2879725" cy="2170430"/>
            <wp:effectExtent l="0" t="0" r="0" b="0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21708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64533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Supplementary Figure 14.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React IR intensity profiles of key species during urea-glycerol conversion to GC over La-CN-2IL. </w:t>
      </w:r>
      <w:r>
        <w:rPr>
          <w:rFonts w:ascii="Times New Roman" w:hAnsi="Times New Roman" w:cs="Times New Roman"/>
          <w:sz w:val="24"/>
          <w:szCs w:val="24"/>
        </w:rPr>
        <w:t xml:space="preserve">The left y-axis shows the IR absorption intensity (a.u.) and the right y-axis shows the reaction temperature (°C). The temperature profile (red dotted curve) increases rapidly from </w:t>
      </w:r>
      <w:r>
        <w:rPr>
          <w:rFonts w:hint="eastAsia"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0 °C to approximately 130 °C within the first 30 min and then remains constant at ~130 °C for the remainder of the reaction. The intensity profiles of five characteristic peaks are shown: 1664 cm</w:t>
      </w:r>
      <w:r>
        <w:rPr>
          <w:rFonts w:hint="eastAsia" w:ascii="Times New Roman" w:hAnsi="Times New Roman" w:cs="Times New Roman"/>
          <w:sz w:val="24"/>
          <w:szCs w:val="24"/>
          <w:vertAlign w:val="superscript"/>
        </w:rPr>
        <w:t>-1</w:t>
      </w:r>
      <w:r>
        <w:rPr>
          <w:rFonts w:ascii="Times New Roman" w:hAnsi="Times New Roman" w:cs="Times New Roman"/>
          <w:sz w:val="24"/>
          <w:szCs w:val="24"/>
        </w:rPr>
        <w:t xml:space="preserve"> (light blue, R</w:t>
      </w:r>
      <w:r>
        <w:rPr>
          <w:rFonts w:hint="eastAsia"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C=O, monotonically decreasing), 1452 cm</w:t>
      </w:r>
      <w:r>
        <w:rPr>
          <w:rFonts w:hint="eastAsia" w:ascii="Times New Roman" w:hAnsi="Times New Roman" w:cs="Times New Roman"/>
          <w:sz w:val="24"/>
          <w:szCs w:val="24"/>
          <w:vertAlign w:val="superscript"/>
        </w:rPr>
        <w:t>-1</w:t>
      </w:r>
      <w:r>
        <w:rPr>
          <w:rFonts w:ascii="Times New Roman" w:hAnsi="Times New Roman" w:cs="Times New Roman"/>
          <w:sz w:val="24"/>
          <w:szCs w:val="24"/>
        </w:rPr>
        <w:t xml:space="preserve"> (light yellow, C</w:t>
      </w:r>
      <w:r>
        <w:rPr>
          <w:rFonts w:hint="eastAsia"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NH</w:t>
      </w:r>
      <w:bookmarkStart w:id="10" w:name="OLE_LINK24"/>
      <w:r>
        <w:rPr>
          <w:rFonts w:hint="eastAsia" w:ascii="Times New Roman" w:hAnsi="Times New Roman" w:cs="Times New Roman"/>
          <w:sz w:val="24"/>
          <w:szCs w:val="24"/>
          <w:vertAlign w:val="subscript"/>
        </w:rPr>
        <w:t>2</w:t>
      </w:r>
      <w:bookmarkEnd w:id="10"/>
      <w:r>
        <w:rPr>
          <w:rFonts w:ascii="Times New Roman" w:hAnsi="Times New Roman" w:cs="Times New Roman"/>
          <w:sz w:val="24"/>
          <w:szCs w:val="24"/>
        </w:rPr>
        <w:t>, slowly decreasing), 1328 cm</w:t>
      </w:r>
      <w:r>
        <w:rPr>
          <w:rFonts w:hint="eastAsia" w:ascii="Times New Roman" w:hAnsi="Times New Roman" w:cs="Times New Roman"/>
          <w:sz w:val="24"/>
          <w:szCs w:val="24"/>
          <w:vertAlign w:val="superscript"/>
        </w:rPr>
        <w:t>-1</w:t>
      </w:r>
      <w:r>
        <w:rPr>
          <w:rFonts w:ascii="Times New Roman" w:hAnsi="Times New Roman" w:cs="Times New Roman"/>
          <w:sz w:val="24"/>
          <w:szCs w:val="24"/>
        </w:rPr>
        <w:t xml:space="preserve"> (green, HGC</w:t>
      </w:r>
      <w:r>
        <w:rPr>
          <w:rFonts w:hint="eastAsia"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NH₂, first rising then falling), 1712 cm</w:t>
      </w:r>
      <w:r>
        <w:rPr>
          <w:rFonts w:hint="eastAsia" w:ascii="Times New Roman" w:hAnsi="Times New Roman" w:cs="Times New Roman"/>
          <w:sz w:val="24"/>
          <w:szCs w:val="24"/>
          <w:vertAlign w:val="superscript"/>
        </w:rPr>
        <w:t>-1</w:t>
      </w:r>
      <w:r>
        <w:rPr>
          <w:rFonts w:ascii="Times New Roman" w:hAnsi="Times New Roman" w:cs="Times New Roman"/>
          <w:sz w:val="24"/>
          <w:szCs w:val="24"/>
        </w:rPr>
        <w:t xml:space="preserve"> (dark blue, HGC C=O, first rising then falling), and 1780 cm</w:t>
      </w:r>
      <w:r>
        <w:rPr>
          <w:rFonts w:hint="eastAsia" w:ascii="Times New Roman" w:hAnsi="Times New Roman" w:cs="Times New Roman"/>
          <w:sz w:val="24"/>
          <w:szCs w:val="24"/>
          <w:vertAlign w:val="superscript"/>
        </w:rPr>
        <w:t>-1</w:t>
      </w:r>
      <w:r>
        <w:rPr>
          <w:rFonts w:ascii="Times New Roman" w:hAnsi="Times New Roman" w:cs="Times New Roman"/>
          <w:sz w:val="24"/>
          <w:szCs w:val="24"/>
        </w:rPr>
        <w:t xml:space="preserve"> (purple, GC, continuously increasing). The monotonic decay of the urea-related peaks (1664 and 1452 cm</w:t>
      </w:r>
      <w:r>
        <w:rPr>
          <w:rFonts w:hint="eastAsia" w:ascii="Times New Roman" w:hAnsi="Times New Roman" w:cs="Times New Roman"/>
          <w:sz w:val="24"/>
          <w:szCs w:val="24"/>
          <w:vertAlign w:val="superscript"/>
        </w:rPr>
        <w:t>-1</w:t>
      </w:r>
      <w:r>
        <w:rPr>
          <w:rFonts w:ascii="Times New Roman" w:hAnsi="Times New Roman" w:cs="Times New Roman"/>
          <w:sz w:val="24"/>
          <w:szCs w:val="24"/>
        </w:rPr>
        <w:t>) indicates continuous urea consumption, while the rise-and-fall behavior of the HGC intermediate peaks (1328 and 1712 cm</w:t>
      </w:r>
      <w:r>
        <w:rPr>
          <w:rFonts w:hint="eastAsia" w:ascii="Times New Roman" w:hAnsi="Times New Roman" w:cs="Times New Roman"/>
          <w:sz w:val="24"/>
          <w:szCs w:val="24"/>
          <w:vertAlign w:val="superscript"/>
        </w:rPr>
        <w:t>-1</w:t>
      </w:r>
      <w:r>
        <w:rPr>
          <w:rFonts w:ascii="Times New Roman" w:hAnsi="Times New Roman" w:cs="Times New Roman"/>
          <w:sz w:val="24"/>
          <w:szCs w:val="24"/>
        </w:rPr>
        <w:t>) confirms its transformation to the final product GC, whose signal increases steadily throughout the reaction. The data were collected at 15 s intervals over a total acquisition time of 3.5 h.</w:t>
      </w:r>
    </w:p>
    <w:sectPr>
      <w:pgSz w:w="11906" w:h="16838"/>
      <w:pgMar w:top="1440" w:right="1800" w:bottom="1440" w:left="1800" w:header="851" w:footer="992" w:gutter="0"/>
      <w:lnNumType w:countBy="1" w:restart="continuous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9" w:usb3="00000000" w:csb0="0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mbria Math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E0F"/>
    <w:rsid w:val="0001631D"/>
    <w:rsid w:val="00027190"/>
    <w:rsid w:val="000275C0"/>
    <w:rsid w:val="0003159E"/>
    <w:rsid w:val="0008086C"/>
    <w:rsid w:val="00091F3B"/>
    <w:rsid w:val="0010397E"/>
    <w:rsid w:val="00115590"/>
    <w:rsid w:val="001209A2"/>
    <w:rsid w:val="00134756"/>
    <w:rsid w:val="00174E3F"/>
    <w:rsid w:val="00184B3E"/>
    <w:rsid w:val="001876A3"/>
    <w:rsid w:val="001A4039"/>
    <w:rsid w:val="001D7742"/>
    <w:rsid w:val="001E3F3E"/>
    <w:rsid w:val="001F5139"/>
    <w:rsid w:val="00200A08"/>
    <w:rsid w:val="002A0CCC"/>
    <w:rsid w:val="002B4524"/>
    <w:rsid w:val="002C37EB"/>
    <w:rsid w:val="002C5486"/>
    <w:rsid w:val="002E3258"/>
    <w:rsid w:val="002F702C"/>
    <w:rsid w:val="00303E54"/>
    <w:rsid w:val="00324B13"/>
    <w:rsid w:val="003607B1"/>
    <w:rsid w:val="003A5BDC"/>
    <w:rsid w:val="003A6E07"/>
    <w:rsid w:val="003F57C1"/>
    <w:rsid w:val="004020F2"/>
    <w:rsid w:val="004033E4"/>
    <w:rsid w:val="00413D53"/>
    <w:rsid w:val="0042097F"/>
    <w:rsid w:val="00420B7A"/>
    <w:rsid w:val="004D3792"/>
    <w:rsid w:val="00505C11"/>
    <w:rsid w:val="005214FB"/>
    <w:rsid w:val="005C05BC"/>
    <w:rsid w:val="005E3368"/>
    <w:rsid w:val="005F6BC9"/>
    <w:rsid w:val="00611014"/>
    <w:rsid w:val="00656E42"/>
    <w:rsid w:val="006E3D61"/>
    <w:rsid w:val="00702946"/>
    <w:rsid w:val="007378F5"/>
    <w:rsid w:val="007A4E0F"/>
    <w:rsid w:val="007B254C"/>
    <w:rsid w:val="007C700A"/>
    <w:rsid w:val="00802026"/>
    <w:rsid w:val="008471FF"/>
    <w:rsid w:val="0085221A"/>
    <w:rsid w:val="00853B54"/>
    <w:rsid w:val="00853CF0"/>
    <w:rsid w:val="008B3488"/>
    <w:rsid w:val="008D4B0A"/>
    <w:rsid w:val="00974C64"/>
    <w:rsid w:val="009A17B5"/>
    <w:rsid w:val="009D1127"/>
    <w:rsid w:val="009F5DD0"/>
    <w:rsid w:val="00A302AA"/>
    <w:rsid w:val="00A478FF"/>
    <w:rsid w:val="00A50E14"/>
    <w:rsid w:val="00A61D0B"/>
    <w:rsid w:val="00AB7DBD"/>
    <w:rsid w:val="00AC0B00"/>
    <w:rsid w:val="00AC3D10"/>
    <w:rsid w:val="00AF216E"/>
    <w:rsid w:val="00B72796"/>
    <w:rsid w:val="00B80B39"/>
    <w:rsid w:val="00BE079D"/>
    <w:rsid w:val="00C234A9"/>
    <w:rsid w:val="00CC08F0"/>
    <w:rsid w:val="00CD7BDC"/>
    <w:rsid w:val="00D0087C"/>
    <w:rsid w:val="00D30467"/>
    <w:rsid w:val="00D44AE1"/>
    <w:rsid w:val="00D67F5F"/>
    <w:rsid w:val="00E139E2"/>
    <w:rsid w:val="00E14737"/>
    <w:rsid w:val="00E31E0A"/>
    <w:rsid w:val="00E65FED"/>
    <w:rsid w:val="00EA1754"/>
    <w:rsid w:val="00EA365F"/>
    <w:rsid w:val="00EA7175"/>
    <w:rsid w:val="00EE50D9"/>
    <w:rsid w:val="00EE672E"/>
    <w:rsid w:val="00F01725"/>
    <w:rsid w:val="00F20F0A"/>
    <w:rsid w:val="00FA5A65"/>
    <w:rsid w:val="013730A5"/>
    <w:rsid w:val="046C12B8"/>
    <w:rsid w:val="05B60A3D"/>
    <w:rsid w:val="065344DE"/>
    <w:rsid w:val="113D0264"/>
    <w:rsid w:val="123258EF"/>
    <w:rsid w:val="12A50703"/>
    <w:rsid w:val="14CB202B"/>
    <w:rsid w:val="15567B46"/>
    <w:rsid w:val="188449CB"/>
    <w:rsid w:val="1A952EBF"/>
    <w:rsid w:val="1AA90718"/>
    <w:rsid w:val="1B7A6793"/>
    <w:rsid w:val="20AF2801"/>
    <w:rsid w:val="221C5C74"/>
    <w:rsid w:val="29347D47"/>
    <w:rsid w:val="2A3049B2"/>
    <w:rsid w:val="2ADC41F2"/>
    <w:rsid w:val="2EBC4A66"/>
    <w:rsid w:val="336631F3"/>
    <w:rsid w:val="350031D3"/>
    <w:rsid w:val="35EB5C31"/>
    <w:rsid w:val="3744384B"/>
    <w:rsid w:val="379C5435"/>
    <w:rsid w:val="37D33BFD"/>
    <w:rsid w:val="39DA2245"/>
    <w:rsid w:val="4A1277D9"/>
    <w:rsid w:val="4AF87705"/>
    <w:rsid w:val="4D3D4B6D"/>
    <w:rsid w:val="52E279C6"/>
    <w:rsid w:val="52F201A7"/>
    <w:rsid w:val="551E7E1D"/>
    <w:rsid w:val="55F3226C"/>
    <w:rsid w:val="591A2206"/>
    <w:rsid w:val="5A5C34F4"/>
    <w:rsid w:val="5B48305A"/>
    <w:rsid w:val="5BC326E1"/>
    <w:rsid w:val="624F4CCE"/>
    <w:rsid w:val="680E1188"/>
    <w:rsid w:val="739F538A"/>
    <w:rsid w:val="756E14B8"/>
    <w:rsid w:val="798E3ED6"/>
    <w:rsid w:val="7D31545A"/>
    <w:rsid w:val="7D8A2C07"/>
    <w:rsid w:val="7E370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efaultImageDpi w14:val="32767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iPriority="99" w:semiHidden="0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9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2E75B6" w:themeColor="accent1" w:themeShade="BF"/>
      <w:sz w:val="48"/>
      <w:szCs w:val="48"/>
      <w14:ligatures w14:val="none"/>
    </w:rPr>
  </w:style>
  <w:style w:type="paragraph" w:styleId="3">
    <w:name w:val="heading 2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E75B6" w:themeColor="accent1" w:themeShade="BF"/>
      <w:sz w:val="40"/>
      <w:szCs w:val="40"/>
      <w14:ligatures w14:val="none"/>
    </w:rPr>
  </w:style>
  <w:style w:type="paragraph" w:styleId="4">
    <w:name w:val="heading 3"/>
    <w:basedOn w:val="1"/>
    <w:next w:val="1"/>
    <w:link w:val="21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E75B6" w:themeColor="accent1" w:themeShade="BF"/>
      <w:sz w:val="32"/>
      <w:szCs w:val="32"/>
      <w14:ligatures w14:val="none"/>
    </w:rPr>
  </w:style>
  <w:style w:type="paragraph" w:styleId="5">
    <w:name w:val="heading 4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2E75B6" w:themeColor="accent1" w:themeShade="BF"/>
      <w:sz w:val="28"/>
      <w:szCs w:val="28"/>
      <w14:ligatures w14:val="none"/>
    </w:rPr>
  </w:style>
  <w:style w:type="paragraph" w:styleId="6">
    <w:name w:val="heading 5"/>
    <w:basedOn w:val="1"/>
    <w:next w:val="1"/>
    <w:link w:val="23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2E75B6" w:themeColor="accent1" w:themeShade="BF"/>
      <w:sz w:val="24"/>
      <w:szCs w:val="24"/>
      <w14:ligatures w14:val="none"/>
    </w:rPr>
  </w:style>
  <w:style w:type="paragraph" w:styleId="7">
    <w:name w:val="heading 6"/>
    <w:basedOn w:val="1"/>
    <w:next w:val="1"/>
    <w:link w:val="24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2E75B6" w:themeColor="accent1" w:themeShade="BF"/>
      <w14:ligatures w14:val="none"/>
    </w:rPr>
  </w:style>
  <w:style w:type="paragraph" w:styleId="8">
    <w:name w:val="heading 7"/>
    <w:basedOn w:val="1"/>
    <w:next w:val="1"/>
    <w:link w:val="25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  <w14:ligatures w14:val="none"/>
    </w:rPr>
  </w:style>
  <w:style w:type="paragraph" w:styleId="9">
    <w:name w:val="heading 8"/>
    <w:basedOn w:val="1"/>
    <w:next w:val="1"/>
    <w:link w:val="26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  <w14:ligatures w14:val="none"/>
    </w:rPr>
  </w:style>
  <w:style w:type="paragraph" w:styleId="10">
    <w:name w:val="heading 9"/>
    <w:basedOn w:val="1"/>
    <w:next w:val="1"/>
    <w:link w:val="27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  <w14:ligatures w14:val="none"/>
    </w:rPr>
  </w:style>
  <w:style w:type="character" w:default="1" w:styleId="16">
    <w:name w:val="Default Paragraph Font"/>
    <w:semiHidden/>
    <w:unhideWhenUsed/>
    <w:uiPriority w:val="1"/>
  </w:style>
  <w:style w:type="table" w:default="1" w:styleId="1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14:ligatures w14:val="none"/>
    </w:rPr>
  </w:style>
  <w:style w:type="paragraph" w:styleId="12">
    <w:name w:val="header"/>
    <w:basedOn w:val="1"/>
    <w:link w:val="37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  <w14:ligatures w14:val="none"/>
    </w:rPr>
  </w:style>
  <w:style w:type="paragraph" w:styleId="13">
    <w:name w:val="Subtitle"/>
    <w:basedOn w:val="1"/>
    <w:next w:val="1"/>
    <w:link w:val="29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  <w14:ligatures w14:val="none"/>
    </w:rPr>
  </w:style>
  <w:style w:type="paragraph" w:styleId="14">
    <w:name w:val="Title"/>
    <w:basedOn w:val="1"/>
    <w:next w:val="1"/>
    <w:link w:val="28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  <w14:ligatures w14:val="none"/>
    </w:rPr>
  </w:style>
  <w:style w:type="character" w:styleId="17">
    <w:name w:val="line number"/>
    <w:basedOn w:val="16"/>
    <w:semiHidden/>
    <w:unhideWhenUsed/>
    <w:uiPriority w:val="99"/>
  </w:style>
  <w:style w:type="character" w:styleId="18">
    <w:name w:val="Hyperlink"/>
    <w:basedOn w:val="16"/>
    <w:unhideWhenUsed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9">
    <w:name w:val="标题 1 字符"/>
    <w:basedOn w:val="16"/>
    <w:link w:val="2"/>
    <w:qFormat/>
    <w:uiPriority w:val="9"/>
    <w:rPr>
      <w:rFonts w:asciiTheme="majorHAnsi" w:hAnsiTheme="majorHAnsi" w:eastAsiaTheme="majorEastAsia" w:cstheme="majorBidi"/>
      <w:color w:val="2E75B6" w:themeColor="accent1" w:themeShade="BF"/>
      <w:sz w:val="48"/>
      <w:szCs w:val="48"/>
    </w:rPr>
  </w:style>
  <w:style w:type="character" w:customStyle="1" w:styleId="20">
    <w:name w:val="标题 2 字符"/>
    <w:basedOn w:val="16"/>
    <w:link w:val="3"/>
    <w:semiHidden/>
    <w:qFormat/>
    <w:uiPriority w:val="9"/>
    <w:rPr>
      <w:rFonts w:asciiTheme="majorHAnsi" w:hAnsiTheme="majorHAnsi" w:eastAsiaTheme="majorEastAsia" w:cstheme="majorBidi"/>
      <w:color w:val="2E75B6" w:themeColor="accent1" w:themeShade="BF"/>
      <w:sz w:val="40"/>
      <w:szCs w:val="40"/>
    </w:rPr>
  </w:style>
  <w:style w:type="character" w:customStyle="1" w:styleId="21">
    <w:name w:val="标题 3 字符"/>
    <w:basedOn w:val="16"/>
    <w:link w:val="4"/>
    <w:semiHidden/>
    <w:qFormat/>
    <w:uiPriority w:val="9"/>
    <w:rPr>
      <w:rFonts w:asciiTheme="majorHAnsi" w:hAnsiTheme="majorHAnsi" w:eastAsiaTheme="majorEastAsia" w:cstheme="majorBidi"/>
      <w:color w:val="2E75B6" w:themeColor="accent1" w:themeShade="BF"/>
      <w:sz w:val="32"/>
      <w:szCs w:val="32"/>
    </w:rPr>
  </w:style>
  <w:style w:type="character" w:customStyle="1" w:styleId="22">
    <w:name w:val="标题 4 字符"/>
    <w:basedOn w:val="16"/>
    <w:link w:val="5"/>
    <w:semiHidden/>
    <w:qFormat/>
    <w:uiPriority w:val="9"/>
    <w:rPr>
      <w:rFonts w:cstheme="majorBidi"/>
      <w:color w:val="2E75B6" w:themeColor="accent1" w:themeShade="BF"/>
      <w:sz w:val="28"/>
      <w:szCs w:val="28"/>
    </w:rPr>
  </w:style>
  <w:style w:type="character" w:customStyle="1" w:styleId="23">
    <w:name w:val="标题 5 字符"/>
    <w:basedOn w:val="16"/>
    <w:link w:val="6"/>
    <w:semiHidden/>
    <w:qFormat/>
    <w:uiPriority w:val="9"/>
    <w:rPr>
      <w:rFonts w:cstheme="majorBidi"/>
      <w:color w:val="2E75B6" w:themeColor="accent1" w:themeShade="BF"/>
      <w:sz w:val="24"/>
      <w:szCs w:val="24"/>
    </w:rPr>
  </w:style>
  <w:style w:type="character" w:customStyle="1" w:styleId="24">
    <w:name w:val="标题 6 字符"/>
    <w:basedOn w:val="16"/>
    <w:link w:val="7"/>
    <w:semiHidden/>
    <w:qFormat/>
    <w:uiPriority w:val="9"/>
    <w:rPr>
      <w:rFonts w:cstheme="majorBidi"/>
      <w:b/>
      <w:bCs/>
      <w:color w:val="2E75B6" w:themeColor="accent1" w:themeShade="BF"/>
    </w:rPr>
  </w:style>
  <w:style w:type="character" w:customStyle="1" w:styleId="25">
    <w:name w:val="标题 7 字符"/>
    <w:basedOn w:val="16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8 字符"/>
    <w:basedOn w:val="16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9 字符"/>
    <w:basedOn w:val="16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8">
    <w:name w:val="标题 字符"/>
    <w:basedOn w:val="16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9">
    <w:name w:val="副标题 字符"/>
    <w:basedOn w:val="16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0">
    <w:name w:val="Quote"/>
    <w:basedOn w:val="1"/>
    <w:next w:val="1"/>
    <w:link w:val="31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  <w14:ligatures w14:val="none"/>
    </w:rPr>
  </w:style>
  <w:style w:type="character" w:customStyle="1" w:styleId="31">
    <w:name w:val="引用 字符"/>
    <w:basedOn w:val="16"/>
    <w:link w:val="30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2">
    <w:name w:val="List Paragraph"/>
    <w:basedOn w:val="1"/>
    <w:qFormat/>
    <w:uiPriority w:val="34"/>
    <w:pPr>
      <w:ind w:left="720"/>
      <w:contextualSpacing/>
    </w:pPr>
    <w:rPr>
      <w14:ligatures w14:val="none"/>
    </w:rPr>
  </w:style>
  <w:style w:type="character" w:customStyle="1" w:styleId="33">
    <w:name w:val="明显强调1"/>
    <w:basedOn w:val="16"/>
    <w:qFormat/>
    <w:uiPriority w:val="21"/>
    <w:rPr>
      <w:i/>
      <w:iCs/>
      <w:color w:val="2E75B6" w:themeColor="accent1" w:themeShade="BF"/>
    </w:rPr>
  </w:style>
  <w:style w:type="paragraph" w:styleId="34">
    <w:name w:val="Intense Quote"/>
    <w:basedOn w:val="1"/>
    <w:next w:val="1"/>
    <w:link w:val="35"/>
    <w:qFormat/>
    <w:uiPriority w:val="30"/>
    <w:pPr>
      <w:pBdr>
        <w:top w:val="single" w:color="2E75B5" w:themeColor="accent1" w:themeShade="BF" w:sz="4" w:space="10"/>
        <w:bottom w:val="single" w:color="2E75B5" w:themeColor="accent1" w:themeShade="BF" w:sz="4" w:space="10"/>
      </w:pBdr>
      <w:spacing w:before="360" w:after="360"/>
      <w:ind w:left="864" w:right="864"/>
      <w:jc w:val="center"/>
    </w:pPr>
    <w:rPr>
      <w:i/>
      <w:iCs/>
      <w:color w:val="2E75B6" w:themeColor="accent1" w:themeShade="BF"/>
      <w14:ligatures w14:val="none"/>
    </w:rPr>
  </w:style>
  <w:style w:type="character" w:customStyle="1" w:styleId="35">
    <w:name w:val="明显引用 字符"/>
    <w:basedOn w:val="16"/>
    <w:link w:val="34"/>
    <w:qFormat/>
    <w:uiPriority w:val="30"/>
    <w:rPr>
      <w:i/>
      <w:iCs/>
      <w:color w:val="2E75B6" w:themeColor="accent1" w:themeShade="BF"/>
    </w:rPr>
  </w:style>
  <w:style w:type="character" w:customStyle="1" w:styleId="36">
    <w:name w:val="明显参考1"/>
    <w:basedOn w:val="16"/>
    <w:qFormat/>
    <w:uiPriority w:val="32"/>
    <w:rPr>
      <w:b/>
      <w:bCs/>
      <w:smallCaps/>
      <w:color w:val="2E75B6" w:themeColor="accent1" w:themeShade="BF"/>
      <w:spacing w:val="5"/>
    </w:rPr>
  </w:style>
  <w:style w:type="character" w:customStyle="1" w:styleId="37">
    <w:name w:val="页眉 字符"/>
    <w:basedOn w:val="16"/>
    <w:link w:val="12"/>
    <w:qFormat/>
    <w:uiPriority w:val="99"/>
    <w:rPr>
      <w:sz w:val="18"/>
      <w:szCs w:val="18"/>
    </w:rPr>
  </w:style>
  <w:style w:type="character" w:customStyle="1" w:styleId="38">
    <w:name w:val="页脚 字符"/>
    <w:basedOn w:val="16"/>
    <w:link w:val="11"/>
    <w:qFormat/>
    <w:uiPriority w:val="99"/>
    <w:rPr>
      <w:sz w:val="18"/>
      <w:szCs w:val="18"/>
    </w:rPr>
  </w:style>
  <w:style w:type="paragraph" w:customStyle="1" w:styleId="39">
    <w:name w:val="TA_Main_Text"/>
    <w:basedOn w:val="1"/>
    <w:link w:val="40"/>
    <w:qFormat/>
    <w:uiPriority w:val="0"/>
    <w:pPr>
      <w:widowControl/>
      <w:spacing w:line="480" w:lineRule="auto"/>
      <w:ind w:firstLine="202"/>
    </w:pPr>
    <w:rPr>
      <w:rFonts w:ascii="Times" w:hAnsi="Times" w:cs="Times New Roman"/>
      <w:kern w:val="0"/>
      <w:sz w:val="24"/>
      <w:szCs w:val="20"/>
      <w:lang w:eastAsia="en-US"/>
      <w14:ligatures w14:val="none"/>
    </w:rPr>
  </w:style>
  <w:style w:type="character" w:customStyle="1" w:styleId="40">
    <w:name w:val="TA_Main_Text 字符"/>
    <w:basedOn w:val="16"/>
    <w:link w:val="39"/>
    <w:qFormat/>
    <w:uiPriority w:val="0"/>
    <w:rPr>
      <w:rFonts w:ascii="Times" w:hAnsi="Times" w:cs="Times New Roman"/>
      <w:kern w:val="0"/>
      <w:sz w:val="24"/>
      <w:szCs w:val="20"/>
      <w:lang w:eastAsia="en-US"/>
    </w:rPr>
  </w:style>
  <w:style w:type="character" w:customStyle="1" w:styleId="41">
    <w:name w:val="Unresolved Mention"/>
    <w:basedOn w:val="16"/>
    <w:semiHidden/>
    <w:unhideWhenUsed/>
    <w:uiPriority w:val="99"/>
    <w:rPr>
      <w:color w:val="605E5C"/>
      <w:shd w:val="clear" w:color="auto" w:fill="E1DFDD"/>
    </w:rPr>
  </w:style>
  <w:style w:type="paragraph" w:customStyle="1" w:styleId="42">
    <w:name w:val="Revision"/>
    <w:hidden/>
    <w:unhideWhenUsed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character" w:styleId="43">
    <w:name w:val="Placeholder Text"/>
    <w:basedOn w:val="16"/>
    <w:unhideWhenUsed/>
    <w:qFormat/>
    <w:uiPriority w:val="99"/>
    <w:rPr>
      <w:color w:val="66666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emf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em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9" Type="http://schemas.openxmlformats.org/officeDocument/2006/relationships/fontTable" Target="fontTable.xml"/><Relationship Id="rId18" Type="http://schemas.openxmlformats.org/officeDocument/2006/relationships/customXml" Target="../customXml/item1.xml"/><Relationship Id="rId17" Type="http://schemas.openxmlformats.org/officeDocument/2006/relationships/image" Target="media/image14.emf"/><Relationship Id="rId16" Type="http://schemas.openxmlformats.org/officeDocument/2006/relationships/image" Target="media/image13.png"/><Relationship Id="rId15" Type="http://schemas.openxmlformats.org/officeDocument/2006/relationships/image" Target="media/image12.emf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67D3AE-A86A-4858-B14E-2A6409DA005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20</Pages>
  <Words>2723</Words>
  <Characters>15250</Characters>
  <Lines>160</Lines>
  <Paragraphs>45</Paragraphs>
  <TotalTime>1</TotalTime>
  <ScaleCrop>false</ScaleCrop>
  <LinksUpToDate>false</LinksUpToDate>
  <CharactersWithSpaces>17914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2026-05-08T00:21:00Z</dcterms:created>
  <dc:creator>Administrator</dc:creator>
  <cp:lastModifiedBy>qzuser</cp:lastModifiedBy>
  <cp:lastPrinted>2026-07-01T15:57:00Z</cp:lastPrinted>
  <dcterms:modified xsi:type="dcterms:W3CDTF">2026-08-18T04:11:38Z</dcterms:modified>
  <cp:revision>58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eyJoZGlkIjoiZjM3MWJkY2MwZWIwYTJlMTA1NjY5MmUyYTI1ZGQxZTkiLCJ1c2VySWQiOiIzMTE0NzczODMifQ==</vt:lpwstr>
  </property>
  <property fmtid="{D5CDD505-2E9C-101B-9397-08002B2CF9AE}" pid="3" name="KSOProductBuildVer">
    <vt:lpwstr>2052-12.1.0.28043</vt:lpwstr>
  </property>
  <property fmtid="{D5CDD505-2E9C-101B-9397-08002B2CF9AE}" pid="4" name="ICV">
    <vt:lpwstr>F57EA3E2FD6C4A2DA770DAE2763BC484_12</vt:lpwstr>
  </property>
</Properties>
</file>