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FDA3E" w14:textId="77777777" w:rsidR="00F1115D" w:rsidRDefault="00EF15D1">
      <w:pPr>
        <w:jc w:val="center"/>
      </w:pPr>
      <w:r>
        <w:rPr>
          <w:b/>
          <w:sz w:val="28"/>
        </w:rPr>
        <w:t>Supplementary File S1. Outcome Mapping–Outcome Harvesting Documentation and Implementation Outcome Mapping</w:t>
      </w:r>
    </w:p>
    <w:p w14:paraId="53E46EDD" w14:textId="77777777" w:rsidR="00F1115D" w:rsidRDefault="00EF15D1">
      <w:r>
        <w:t>This supplementary file provides the documentation structure used for the integrated Outcome Mapping–Outcome Harvesting (OM–OH) process and the mapping of harvested outcome domains to implementation outcome constructs. It is intended to support transparency, reproducibility, and interpretation of the methods and findings reported in the main manuscript.</w:t>
      </w:r>
    </w:p>
    <w:p w14:paraId="7D7DF52A" w14:textId="77777777" w:rsidR="00F1115D" w:rsidRDefault="00EF15D1">
      <w:pPr>
        <w:pStyle w:val="Heading2"/>
      </w:pPr>
      <w:r>
        <w:t>Table S1. Outcome Mapping–Outcome Harvesting (OM–OH) documentation tool fields, methodological purpose, and example response options</w:t>
      </w:r>
    </w:p>
    <w:tbl>
      <w:tblPr>
        <w:tblStyle w:val="PlainTable1"/>
        <w:tblW w:w="0" w:type="auto"/>
        <w:tblLook w:val="04A0" w:firstRow="1" w:lastRow="0" w:firstColumn="1" w:lastColumn="0" w:noHBand="0" w:noVBand="1"/>
      </w:tblPr>
      <w:tblGrid>
        <w:gridCol w:w="3510"/>
        <w:gridCol w:w="4395"/>
        <w:gridCol w:w="6639"/>
      </w:tblGrid>
      <w:tr w:rsidR="00F1115D" w14:paraId="0201AB83" w14:textId="77777777" w:rsidTr="009910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64334723" w14:textId="77777777" w:rsidR="00F1115D" w:rsidRDefault="00EF15D1" w:rsidP="00B65502">
            <w:pPr>
              <w:spacing w:before="120"/>
            </w:pPr>
            <w:r>
              <w:rPr>
                <w:sz w:val="16"/>
              </w:rPr>
              <w:t>Tool field</w:t>
            </w:r>
          </w:p>
        </w:tc>
        <w:tc>
          <w:tcPr>
            <w:tcW w:w="4395" w:type="dxa"/>
          </w:tcPr>
          <w:p w14:paraId="1E3D05B9" w14:textId="77777777" w:rsidR="00F1115D" w:rsidRDefault="00EF15D1" w:rsidP="00B65502">
            <w:pPr>
              <w:spacing w:before="120"/>
              <w:cnfStyle w:val="100000000000" w:firstRow="1" w:lastRow="0" w:firstColumn="0" w:lastColumn="0" w:oddVBand="0" w:evenVBand="0" w:oddHBand="0" w:evenHBand="0" w:firstRowFirstColumn="0" w:firstRowLastColumn="0" w:lastRowFirstColumn="0" w:lastRowLastColumn="0"/>
            </w:pPr>
            <w:r>
              <w:rPr>
                <w:sz w:val="16"/>
              </w:rPr>
              <w:t>Methodological purpose</w:t>
            </w:r>
          </w:p>
        </w:tc>
        <w:tc>
          <w:tcPr>
            <w:tcW w:w="6639" w:type="dxa"/>
          </w:tcPr>
          <w:p w14:paraId="26115549" w14:textId="77777777" w:rsidR="00F1115D" w:rsidRDefault="00EF15D1" w:rsidP="00B65502">
            <w:pPr>
              <w:spacing w:before="120"/>
              <w:cnfStyle w:val="100000000000" w:firstRow="1" w:lastRow="0" w:firstColumn="0" w:lastColumn="0" w:oddVBand="0" w:evenVBand="0" w:oddHBand="0" w:evenHBand="0" w:firstRowFirstColumn="0" w:firstRowLastColumn="0" w:lastRowFirstColumn="0" w:lastRowLastColumn="0"/>
            </w:pPr>
            <w:r>
              <w:rPr>
                <w:sz w:val="16"/>
              </w:rPr>
              <w:t>Example response options or narrative entries</w:t>
            </w:r>
          </w:p>
        </w:tc>
      </w:tr>
      <w:tr w:rsidR="00F1115D" w14:paraId="39D75FD8" w14:textId="77777777" w:rsidTr="00991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151D79D7" w14:textId="77777777" w:rsidR="00F1115D" w:rsidRDefault="00EF15D1" w:rsidP="00B65502">
            <w:pPr>
              <w:spacing w:before="120"/>
            </w:pPr>
            <w:r>
              <w:rPr>
                <w:b w:val="0"/>
                <w:sz w:val="16"/>
              </w:rPr>
              <w:t>Context/year</w:t>
            </w:r>
          </w:p>
        </w:tc>
        <w:tc>
          <w:tcPr>
            <w:tcW w:w="4395" w:type="dxa"/>
          </w:tcPr>
          <w:p w14:paraId="26D7D7E5" w14:textId="77777777" w:rsidR="00F1115D" w:rsidRDefault="00EF15D1" w:rsidP="00B65502">
            <w:pPr>
              <w:spacing w:before="120"/>
              <w:cnfStyle w:val="000000100000" w:firstRow="0" w:lastRow="0" w:firstColumn="0" w:lastColumn="0" w:oddVBand="0" w:evenVBand="0" w:oddHBand="1" w:evenHBand="0" w:firstRowFirstColumn="0" w:firstRowLastColumn="0" w:lastRowFirstColumn="0" w:lastRowLastColumn="0"/>
            </w:pPr>
            <w:r>
              <w:rPr>
                <w:sz w:val="16"/>
              </w:rPr>
              <w:t>Time-bound identification of harvested outcomes</w:t>
            </w:r>
          </w:p>
        </w:tc>
        <w:tc>
          <w:tcPr>
            <w:tcW w:w="6639" w:type="dxa"/>
          </w:tcPr>
          <w:p w14:paraId="41822BCE" w14:textId="77777777" w:rsidR="00F1115D" w:rsidRDefault="00EF15D1" w:rsidP="00B65502">
            <w:pPr>
              <w:spacing w:before="120"/>
              <w:cnfStyle w:val="000000100000" w:firstRow="0" w:lastRow="0" w:firstColumn="0" w:lastColumn="0" w:oddVBand="0" w:evenVBand="0" w:oddHBand="1" w:evenHBand="0" w:firstRowFirstColumn="0" w:firstRowLastColumn="0" w:lastRowFirstColumn="0" w:lastRowLastColumn="0"/>
            </w:pPr>
            <w:r>
              <w:rPr>
                <w:sz w:val="16"/>
              </w:rPr>
              <w:t>2022; 2023; 2024; 2025</w:t>
            </w:r>
          </w:p>
        </w:tc>
      </w:tr>
      <w:tr w:rsidR="00F1115D" w14:paraId="5405313B" w14:textId="77777777" w:rsidTr="0099103F">
        <w:tc>
          <w:tcPr>
            <w:cnfStyle w:val="001000000000" w:firstRow="0" w:lastRow="0" w:firstColumn="1" w:lastColumn="0" w:oddVBand="0" w:evenVBand="0" w:oddHBand="0" w:evenHBand="0" w:firstRowFirstColumn="0" w:firstRowLastColumn="0" w:lastRowFirstColumn="0" w:lastRowLastColumn="0"/>
            <w:tcW w:w="3510" w:type="dxa"/>
          </w:tcPr>
          <w:p w14:paraId="1684AB6D" w14:textId="77777777" w:rsidR="00F1115D" w:rsidRDefault="00EF15D1" w:rsidP="00B65502">
            <w:pPr>
              <w:spacing w:before="120"/>
            </w:pPr>
            <w:r>
              <w:rPr>
                <w:b w:val="0"/>
                <w:sz w:val="16"/>
              </w:rPr>
              <w:t>Consortium partner / implementing unit</w:t>
            </w:r>
          </w:p>
        </w:tc>
        <w:tc>
          <w:tcPr>
            <w:tcW w:w="4395" w:type="dxa"/>
          </w:tcPr>
          <w:p w14:paraId="7AB132C9" w14:textId="77777777" w:rsidR="00F1115D" w:rsidRDefault="00EF15D1" w:rsidP="00B65502">
            <w:pPr>
              <w:spacing w:before="120"/>
              <w:cnfStyle w:val="000000000000" w:firstRow="0" w:lastRow="0" w:firstColumn="0" w:lastColumn="0" w:oddVBand="0" w:evenVBand="0" w:oddHBand="0" w:evenHBand="0" w:firstRowFirstColumn="0" w:firstRowLastColumn="0" w:lastRowFirstColumn="0" w:lastRowLastColumn="0"/>
            </w:pPr>
            <w:r>
              <w:rPr>
                <w:sz w:val="16"/>
              </w:rPr>
              <w:t>Identifies implementation responsibility and source of documentation</w:t>
            </w:r>
          </w:p>
        </w:tc>
        <w:tc>
          <w:tcPr>
            <w:tcW w:w="6639" w:type="dxa"/>
          </w:tcPr>
          <w:p w14:paraId="7AF64014" w14:textId="77777777" w:rsidR="00F1115D" w:rsidRDefault="00EF15D1" w:rsidP="00B65502">
            <w:pPr>
              <w:spacing w:before="120"/>
              <w:cnfStyle w:val="000000000000" w:firstRow="0" w:lastRow="0" w:firstColumn="0" w:lastColumn="0" w:oddVBand="0" w:evenVBand="0" w:oddHBand="0" w:evenHBand="0" w:firstRowFirstColumn="0" w:firstRowLastColumn="0" w:lastRowFirstColumn="0" w:lastRowLastColumn="0"/>
            </w:pPr>
            <w:r>
              <w:rPr>
                <w:sz w:val="16"/>
              </w:rPr>
              <w:t>REACH consortium partner; woreda-level implementing office; government sector office</w:t>
            </w:r>
          </w:p>
        </w:tc>
      </w:tr>
      <w:tr w:rsidR="00F1115D" w14:paraId="5812DFC2" w14:textId="77777777" w:rsidTr="00991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663E88E9" w14:textId="77777777" w:rsidR="00F1115D" w:rsidRDefault="00EF15D1" w:rsidP="00B65502">
            <w:pPr>
              <w:spacing w:before="120"/>
            </w:pPr>
            <w:r>
              <w:rPr>
                <w:b w:val="0"/>
                <w:sz w:val="16"/>
              </w:rPr>
              <w:t>Implementation pathway</w:t>
            </w:r>
          </w:p>
        </w:tc>
        <w:tc>
          <w:tcPr>
            <w:tcW w:w="4395" w:type="dxa"/>
          </w:tcPr>
          <w:p w14:paraId="081742BE" w14:textId="77777777" w:rsidR="00F1115D" w:rsidRDefault="00EF15D1" w:rsidP="00B65502">
            <w:pPr>
              <w:spacing w:before="120"/>
              <w:cnfStyle w:val="000000100000" w:firstRow="0" w:lastRow="0" w:firstColumn="0" w:lastColumn="0" w:oddVBand="0" w:evenVBand="0" w:oddHBand="1" w:evenHBand="0" w:firstRowFirstColumn="0" w:firstRowLastColumn="0" w:lastRowFirstColumn="0" w:lastRowLastColumn="0"/>
            </w:pPr>
            <w:r>
              <w:rPr>
                <w:sz w:val="16"/>
              </w:rPr>
              <w:t>Links the outcome to the prospective Implementation Mapping pathway</w:t>
            </w:r>
          </w:p>
        </w:tc>
        <w:tc>
          <w:tcPr>
            <w:tcW w:w="6639" w:type="dxa"/>
          </w:tcPr>
          <w:p w14:paraId="7F681C4E" w14:textId="77777777" w:rsidR="00F1115D" w:rsidRDefault="00EF15D1" w:rsidP="00B65502">
            <w:pPr>
              <w:spacing w:before="120"/>
              <w:cnfStyle w:val="000000100000" w:firstRow="0" w:lastRow="0" w:firstColumn="0" w:lastColumn="0" w:oddVBand="0" w:evenVBand="0" w:oddHBand="1" w:evenHBand="0" w:firstRowFirstColumn="0" w:firstRowLastColumn="0" w:lastRowFirstColumn="0" w:lastRowLastColumn="0"/>
            </w:pPr>
            <w:r>
              <w:rPr>
                <w:sz w:val="16"/>
              </w:rPr>
              <w:t xml:space="preserve">Demand creation and social </w:t>
            </w:r>
            <w:proofErr w:type="spellStart"/>
            <w:r>
              <w:rPr>
                <w:sz w:val="16"/>
              </w:rPr>
              <w:t>mobilisation</w:t>
            </w:r>
            <w:proofErr w:type="spellEnd"/>
            <w:r>
              <w:rPr>
                <w:sz w:val="16"/>
              </w:rPr>
              <w:t>; referral and follow-up; service delivery readiness; WASH infrastructure development; MHM safe spaces; sanitation marketing; financing facilitation; livelihoods/artisan income generation; reporting and feedback loops; governance and coordination</w:t>
            </w:r>
          </w:p>
        </w:tc>
      </w:tr>
      <w:tr w:rsidR="00F1115D" w14:paraId="0852AEA3" w14:textId="77777777" w:rsidTr="0099103F">
        <w:tc>
          <w:tcPr>
            <w:cnfStyle w:val="001000000000" w:firstRow="0" w:lastRow="0" w:firstColumn="1" w:lastColumn="0" w:oddVBand="0" w:evenVBand="0" w:oddHBand="0" w:evenHBand="0" w:firstRowFirstColumn="0" w:firstRowLastColumn="0" w:lastRowFirstColumn="0" w:lastRowLastColumn="0"/>
            <w:tcW w:w="3510" w:type="dxa"/>
          </w:tcPr>
          <w:p w14:paraId="671F0664" w14:textId="77777777" w:rsidR="00F1115D" w:rsidRDefault="00EF15D1" w:rsidP="00B65502">
            <w:pPr>
              <w:spacing w:before="120"/>
            </w:pPr>
            <w:r>
              <w:rPr>
                <w:b w:val="0"/>
                <w:sz w:val="16"/>
              </w:rPr>
              <w:t>Thematic area</w:t>
            </w:r>
          </w:p>
        </w:tc>
        <w:tc>
          <w:tcPr>
            <w:tcW w:w="4395" w:type="dxa"/>
          </w:tcPr>
          <w:p w14:paraId="2C452044" w14:textId="77777777" w:rsidR="00F1115D" w:rsidRDefault="00EF15D1" w:rsidP="00B65502">
            <w:pPr>
              <w:spacing w:before="120"/>
              <w:cnfStyle w:val="000000000000" w:firstRow="0" w:lastRow="0" w:firstColumn="0" w:lastColumn="0" w:oddVBand="0" w:evenVBand="0" w:oddHBand="0" w:evenHBand="0" w:firstRowFirstColumn="0" w:firstRowLastColumn="0" w:lastRowFirstColumn="0" w:lastRowLastColumn="0"/>
            </w:pPr>
            <w:r>
              <w:rPr>
                <w:sz w:val="16"/>
              </w:rPr>
              <w:t>Classifies the technical or programmatic area associated with the outcome</w:t>
            </w:r>
          </w:p>
        </w:tc>
        <w:tc>
          <w:tcPr>
            <w:tcW w:w="6639" w:type="dxa"/>
          </w:tcPr>
          <w:p w14:paraId="72F3A6CB" w14:textId="77777777" w:rsidR="00F1115D" w:rsidRDefault="00EF15D1" w:rsidP="00B65502">
            <w:pPr>
              <w:spacing w:before="120"/>
              <w:cnfStyle w:val="000000000000" w:firstRow="0" w:lastRow="0" w:firstColumn="0" w:lastColumn="0" w:oddVBand="0" w:evenVBand="0" w:oddHBand="0" w:evenHBand="0" w:firstRowFirstColumn="0" w:firstRowLastColumn="0" w:lastRowFirstColumn="0" w:lastRowLastColumn="0"/>
            </w:pPr>
            <w:r>
              <w:rPr>
                <w:sz w:val="16"/>
              </w:rPr>
              <w:t>WASH; MHM; SRH demand creation; adolescent/youth services; market-based sanitation; financing mechanisms; WASH–SRH integration; governance and sustainability; resilience and climate response</w:t>
            </w:r>
          </w:p>
        </w:tc>
      </w:tr>
      <w:tr w:rsidR="00F1115D" w14:paraId="4BAFDA5E" w14:textId="77777777" w:rsidTr="00991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6702647A" w14:textId="77777777" w:rsidR="00F1115D" w:rsidRDefault="00EF15D1" w:rsidP="00B65502">
            <w:pPr>
              <w:spacing w:before="120"/>
            </w:pPr>
            <w:r>
              <w:rPr>
                <w:b w:val="0"/>
                <w:sz w:val="16"/>
              </w:rPr>
              <w:t>Linked routine indicator / basket indicator</w:t>
            </w:r>
          </w:p>
        </w:tc>
        <w:tc>
          <w:tcPr>
            <w:tcW w:w="4395" w:type="dxa"/>
          </w:tcPr>
          <w:p w14:paraId="61D57E2D" w14:textId="77777777" w:rsidR="00F1115D" w:rsidRDefault="00EF15D1" w:rsidP="00B65502">
            <w:pPr>
              <w:spacing w:before="120"/>
              <w:cnfStyle w:val="000000100000" w:firstRow="0" w:lastRow="0" w:firstColumn="0" w:lastColumn="0" w:oddVBand="0" w:evenVBand="0" w:oddHBand="1" w:evenHBand="0" w:firstRowFirstColumn="0" w:firstRowLastColumn="0" w:lastRowFirstColumn="0" w:lastRowLastColumn="0"/>
            </w:pPr>
            <w:r>
              <w:rPr>
                <w:sz w:val="16"/>
              </w:rPr>
              <w:t>Supports triangulation between harvested outcomes and routine monitoring data</w:t>
            </w:r>
          </w:p>
        </w:tc>
        <w:tc>
          <w:tcPr>
            <w:tcW w:w="6639" w:type="dxa"/>
          </w:tcPr>
          <w:p w14:paraId="565666BA" w14:textId="77777777" w:rsidR="00F1115D" w:rsidRDefault="00EF15D1" w:rsidP="00B65502">
            <w:pPr>
              <w:spacing w:before="120"/>
              <w:cnfStyle w:val="000000100000" w:firstRow="0" w:lastRow="0" w:firstColumn="0" w:lastColumn="0" w:oddVBand="0" w:evenVBand="0" w:oddHBand="1" w:evenHBand="0" w:firstRowFirstColumn="0" w:firstRowLastColumn="0" w:lastRowFirstColumn="0" w:lastRowLastColumn="0"/>
            </w:pPr>
            <w:r>
              <w:rPr>
                <w:sz w:val="16"/>
              </w:rPr>
              <w:t>Households visited; community dialogues; referrals completed; latrines constructed; schools upgraded; safe spaces established; water schemes drilled or rehabilitated; households receiving loans; amount of loan disbursed; artisan income generated; reporting completeness; service uptake indicators</w:t>
            </w:r>
          </w:p>
        </w:tc>
      </w:tr>
      <w:tr w:rsidR="00F1115D" w14:paraId="2AA632C7" w14:textId="77777777" w:rsidTr="0099103F">
        <w:tc>
          <w:tcPr>
            <w:cnfStyle w:val="001000000000" w:firstRow="0" w:lastRow="0" w:firstColumn="1" w:lastColumn="0" w:oddVBand="0" w:evenVBand="0" w:oddHBand="0" w:evenHBand="0" w:firstRowFirstColumn="0" w:firstRowLastColumn="0" w:lastRowFirstColumn="0" w:lastRowLastColumn="0"/>
            <w:tcW w:w="3510" w:type="dxa"/>
          </w:tcPr>
          <w:p w14:paraId="34591819" w14:textId="77777777" w:rsidR="00F1115D" w:rsidRDefault="00EF15D1" w:rsidP="00B65502">
            <w:pPr>
              <w:spacing w:before="120"/>
            </w:pPr>
            <w:r>
              <w:rPr>
                <w:b w:val="0"/>
                <w:sz w:val="16"/>
              </w:rPr>
              <w:t>Outcome title / outcome description</w:t>
            </w:r>
          </w:p>
        </w:tc>
        <w:tc>
          <w:tcPr>
            <w:tcW w:w="4395" w:type="dxa"/>
          </w:tcPr>
          <w:p w14:paraId="58FE49A7" w14:textId="77777777" w:rsidR="00F1115D" w:rsidRDefault="00EF15D1" w:rsidP="00B65502">
            <w:pPr>
              <w:spacing w:before="120"/>
              <w:cnfStyle w:val="000000000000" w:firstRow="0" w:lastRow="0" w:firstColumn="0" w:lastColumn="0" w:oddVBand="0" w:evenVBand="0" w:oddHBand="0" w:evenHBand="0" w:firstRowFirstColumn="0" w:firstRowLastColumn="0" w:lastRowFirstColumn="0" w:lastRowLastColumn="0"/>
            </w:pPr>
            <w:r>
              <w:rPr>
                <w:sz w:val="16"/>
              </w:rPr>
              <w:t xml:space="preserve">Captures the </w:t>
            </w:r>
            <w:proofErr w:type="spellStart"/>
            <w:r>
              <w:rPr>
                <w:sz w:val="16"/>
              </w:rPr>
              <w:t>standardised</w:t>
            </w:r>
            <w:proofErr w:type="spellEnd"/>
            <w:r>
              <w:rPr>
                <w:sz w:val="16"/>
              </w:rPr>
              <w:t xml:space="preserve"> harvested outcome statement</w:t>
            </w:r>
          </w:p>
        </w:tc>
        <w:tc>
          <w:tcPr>
            <w:tcW w:w="6639" w:type="dxa"/>
          </w:tcPr>
          <w:p w14:paraId="2E5C6BF4" w14:textId="77777777" w:rsidR="00F1115D" w:rsidRDefault="00EF15D1" w:rsidP="00B65502">
            <w:pPr>
              <w:spacing w:before="120"/>
              <w:cnfStyle w:val="000000000000" w:firstRow="0" w:lastRow="0" w:firstColumn="0" w:lastColumn="0" w:oddVBand="0" w:evenVBand="0" w:oddHBand="0" w:evenHBand="0" w:firstRowFirstColumn="0" w:firstRowLastColumn="0" w:lastRowFirstColumn="0" w:lastRowLastColumn="0"/>
            </w:pPr>
            <w:r>
              <w:rPr>
                <w:sz w:val="16"/>
              </w:rPr>
              <w:t xml:space="preserve">Examples: “CHWs increased follow-up visits and actively linked households to artisans and MFIs”; “Water office established a joint monitoring committee with health and education”; “Artisans adopted </w:t>
            </w:r>
            <w:proofErr w:type="spellStart"/>
            <w:r>
              <w:rPr>
                <w:sz w:val="16"/>
              </w:rPr>
              <w:t>standardised</w:t>
            </w:r>
            <w:proofErr w:type="spellEnd"/>
            <w:r>
              <w:rPr>
                <w:sz w:val="16"/>
              </w:rPr>
              <w:t xml:space="preserve"> pricing and began offering sanitation packages”; “Schools </w:t>
            </w:r>
            <w:proofErr w:type="spellStart"/>
            <w:r>
              <w:rPr>
                <w:sz w:val="16"/>
              </w:rPr>
              <w:t>institutionalised</w:t>
            </w:r>
            <w:proofErr w:type="spellEnd"/>
            <w:r>
              <w:rPr>
                <w:sz w:val="16"/>
              </w:rPr>
              <w:t xml:space="preserve"> MHM safe spaces and integrated them into school clubs.”</w:t>
            </w:r>
          </w:p>
        </w:tc>
      </w:tr>
      <w:tr w:rsidR="00F1115D" w14:paraId="7627E04F" w14:textId="77777777" w:rsidTr="00991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44F6CC8B" w14:textId="77777777" w:rsidR="00F1115D" w:rsidRDefault="00EF15D1" w:rsidP="00B65502">
            <w:pPr>
              <w:spacing w:before="120"/>
            </w:pPr>
            <w:r>
              <w:rPr>
                <w:b w:val="0"/>
                <w:sz w:val="16"/>
              </w:rPr>
              <w:t>Actor who changed</w:t>
            </w:r>
          </w:p>
        </w:tc>
        <w:tc>
          <w:tcPr>
            <w:tcW w:w="4395" w:type="dxa"/>
          </w:tcPr>
          <w:p w14:paraId="4B11B894" w14:textId="77777777" w:rsidR="00F1115D" w:rsidRDefault="00EF15D1" w:rsidP="00B65502">
            <w:pPr>
              <w:spacing w:before="120"/>
              <w:cnfStyle w:val="000000100000" w:firstRow="0" w:lastRow="0" w:firstColumn="0" w:lastColumn="0" w:oddVBand="0" w:evenVBand="0" w:oddHBand="1" w:evenHBand="0" w:firstRowFirstColumn="0" w:firstRowLastColumn="0" w:lastRowFirstColumn="0" w:lastRowLastColumn="0"/>
            </w:pPr>
            <w:r>
              <w:rPr>
                <w:sz w:val="16"/>
              </w:rPr>
              <w:t>Identifies the specific boundary partner or actor group in whom change was observed</w:t>
            </w:r>
          </w:p>
        </w:tc>
        <w:tc>
          <w:tcPr>
            <w:tcW w:w="6639" w:type="dxa"/>
          </w:tcPr>
          <w:p w14:paraId="01E2D592" w14:textId="77777777" w:rsidR="00F1115D" w:rsidRDefault="00EF15D1" w:rsidP="00B65502">
            <w:pPr>
              <w:spacing w:before="120"/>
              <w:cnfStyle w:val="000000100000" w:firstRow="0" w:lastRow="0" w:firstColumn="0" w:lastColumn="0" w:oddVBand="0" w:evenVBand="0" w:oddHBand="1" w:evenHBand="0" w:firstRowFirstColumn="0" w:firstRowLastColumn="0" w:lastRowFirstColumn="0" w:lastRowLastColumn="0"/>
            </w:pPr>
            <w:r>
              <w:rPr>
                <w:sz w:val="16"/>
              </w:rPr>
              <w:t>CHWs; HEWs; VHLs; social mobilisers; households; artisans; school directors; teachers; health facility staff; youth clubs; woreda health office; woreda water office; education office; microfinance institutions; cooperatives; kebele leaders; water user associations</w:t>
            </w:r>
          </w:p>
        </w:tc>
      </w:tr>
      <w:tr w:rsidR="00F1115D" w14:paraId="67E1A26A" w14:textId="77777777" w:rsidTr="0099103F">
        <w:tc>
          <w:tcPr>
            <w:cnfStyle w:val="001000000000" w:firstRow="0" w:lastRow="0" w:firstColumn="1" w:lastColumn="0" w:oddVBand="0" w:evenVBand="0" w:oddHBand="0" w:evenHBand="0" w:firstRowFirstColumn="0" w:firstRowLastColumn="0" w:lastRowFirstColumn="0" w:lastRowLastColumn="0"/>
            <w:tcW w:w="3510" w:type="dxa"/>
          </w:tcPr>
          <w:p w14:paraId="72D51F39" w14:textId="77777777" w:rsidR="00F1115D" w:rsidRDefault="00EF15D1" w:rsidP="00B65502">
            <w:pPr>
              <w:spacing w:before="120"/>
            </w:pPr>
            <w:r>
              <w:rPr>
                <w:b w:val="0"/>
                <w:sz w:val="16"/>
              </w:rPr>
              <w:t>Actor category</w:t>
            </w:r>
          </w:p>
        </w:tc>
        <w:tc>
          <w:tcPr>
            <w:tcW w:w="4395" w:type="dxa"/>
          </w:tcPr>
          <w:p w14:paraId="751BCD75" w14:textId="77777777" w:rsidR="00F1115D" w:rsidRDefault="00EF15D1" w:rsidP="00B65502">
            <w:pPr>
              <w:spacing w:before="120"/>
              <w:cnfStyle w:val="000000000000" w:firstRow="0" w:lastRow="0" w:firstColumn="0" w:lastColumn="0" w:oddVBand="0" w:evenVBand="0" w:oddHBand="0" w:evenHBand="0" w:firstRowFirstColumn="0" w:firstRowLastColumn="0" w:lastRowFirstColumn="0" w:lastRowLastColumn="0"/>
            </w:pPr>
            <w:r>
              <w:rPr>
                <w:sz w:val="16"/>
              </w:rPr>
              <w:t>Groups boundary partners into analytic categories for coding and synthesis</w:t>
            </w:r>
          </w:p>
        </w:tc>
        <w:tc>
          <w:tcPr>
            <w:tcW w:w="6639" w:type="dxa"/>
          </w:tcPr>
          <w:p w14:paraId="46A5F62B" w14:textId="77777777" w:rsidR="00F1115D" w:rsidRDefault="00EF15D1" w:rsidP="00B65502">
            <w:pPr>
              <w:spacing w:before="120"/>
              <w:cnfStyle w:val="000000000000" w:firstRow="0" w:lastRow="0" w:firstColumn="0" w:lastColumn="0" w:oddVBand="0" w:evenVBand="0" w:oddHBand="0" w:evenHBand="0" w:firstRowFirstColumn="0" w:firstRowLastColumn="0" w:lastRowFirstColumn="0" w:lastRowLastColumn="0"/>
            </w:pPr>
            <w:r>
              <w:rPr>
                <w:sz w:val="16"/>
              </w:rPr>
              <w:t>Community-level actors; households/service users; service providers; artisans/market actors; financial actors; government and coordination actors; reporting/data actors</w:t>
            </w:r>
          </w:p>
        </w:tc>
      </w:tr>
      <w:tr w:rsidR="00F1115D" w14:paraId="456F0D59" w14:textId="77777777" w:rsidTr="00991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5620B1B2" w14:textId="77777777" w:rsidR="00F1115D" w:rsidRDefault="00EF15D1" w:rsidP="00B65502">
            <w:pPr>
              <w:spacing w:before="120"/>
            </w:pPr>
            <w:r>
              <w:rPr>
                <w:b w:val="0"/>
                <w:sz w:val="16"/>
              </w:rPr>
              <w:t>Contribution narrative</w:t>
            </w:r>
          </w:p>
        </w:tc>
        <w:tc>
          <w:tcPr>
            <w:tcW w:w="4395" w:type="dxa"/>
          </w:tcPr>
          <w:p w14:paraId="3F4DD6CD" w14:textId="77777777" w:rsidR="00F1115D" w:rsidRDefault="00EF15D1" w:rsidP="00B65502">
            <w:pPr>
              <w:spacing w:before="120"/>
              <w:cnfStyle w:val="000000100000" w:firstRow="0" w:lastRow="0" w:firstColumn="0" w:lastColumn="0" w:oddVBand="0" w:evenVBand="0" w:oddHBand="1" w:evenHBand="0" w:firstRowFirstColumn="0" w:firstRowLastColumn="0" w:lastRowFirstColumn="0" w:lastRowLastColumn="0"/>
            </w:pPr>
            <w:proofErr w:type="gramStart"/>
            <w:r>
              <w:rPr>
                <w:sz w:val="16"/>
              </w:rPr>
              <w:t>Documents</w:t>
            </w:r>
            <w:proofErr w:type="gramEnd"/>
            <w:r>
              <w:rPr>
                <w:sz w:val="16"/>
              </w:rPr>
              <w:t xml:space="preserve"> the plausible </w:t>
            </w:r>
            <w:proofErr w:type="spellStart"/>
            <w:r>
              <w:rPr>
                <w:sz w:val="16"/>
              </w:rPr>
              <w:t>programme</w:t>
            </w:r>
            <w:proofErr w:type="spellEnd"/>
            <w:r>
              <w:rPr>
                <w:sz w:val="16"/>
              </w:rPr>
              <w:t xml:space="preserve"> contribution to the observed change</w:t>
            </w:r>
          </w:p>
        </w:tc>
        <w:tc>
          <w:tcPr>
            <w:tcW w:w="6639" w:type="dxa"/>
          </w:tcPr>
          <w:p w14:paraId="283647D9" w14:textId="77777777" w:rsidR="00F1115D" w:rsidRDefault="00EF15D1" w:rsidP="00B65502">
            <w:pPr>
              <w:spacing w:before="120"/>
              <w:cnfStyle w:val="000000100000" w:firstRow="0" w:lastRow="0" w:firstColumn="0" w:lastColumn="0" w:oddVBand="0" w:evenVBand="0" w:oddHBand="1" w:evenHBand="0" w:firstRowFirstColumn="0" w:firstRowLastColumn="0" w:lastRowFirstColumn="0" w:lastRowLastColumn="0"/>
            </w:pPr>
            <w:r>
              <w:rPr>
                <w:sz w:val="16"/>
              </w:rPr>
              <w:t>Training or mentorship; supportive supervision; linkage facilitation; provision of tools or guidelines; market access support; microfinance linkage; demand creation sessions; multi-sector coordination meetings; reporting templates and coaching</w:t>
            </w:r>
          </w:p>
        </w:tc>
      </w:tr>
      <w:tr w:rsidR="00F1115D" w14:paraId="6BDB86A3" w14:textId="77777777" w:rsidTr="0099103F">
        <w:tc>
          <w:tcPr>
            <w:cnfStyle w:val="001000000000" w:firstRow="0" w:lastRow="0" w:firstColumn="1" w:lastColumn="0" w:oddVBand="0" w:evenVBand="0" w:oddHBand="0" w:evenHBand="0" w:firstRowFirstColumn="0" w:firstRowLastColumn="0" w:lastRowFirstColumn="0" w:lastRowLastColumn="0"/>
            <w:tcW w:w="3510" w:type="dxa"/>
          </w:tcPr>
          <w:p w14:paraId="505FEE0A" w14:textId="77777777" w:rsidR="00F1115D" w:rsidRDefault="00EF15D1" w:rsidP="00B65502">
            <w:pPr>
              <w:spacing w:before="120"/>
            </w:pPr>
            <w:r>
              <w:rPr>
                <w:b w:val="0"/>
                <w:sz w:val="16"/>
              </w:rPr>
              <w:t>Level of contribution</w:t>
            </w:r>
          </w:p>
        </w:tc>
        <w:tc>
          <w:tcPr>
            <w:tcW w:w="4395" w:type="dxa"/>
          </w:tcPr>
          <w:p w14:paraId="0B3BE641" w14:textId="77777777" w:rsidR="00F1115D" w:rsidRDefault="00EF15D1" w:rsidP="00B65502">
            <w:pPr>
              <w:spacing w:before="120"/>
              <w:cnfStyle w:val="000000000000" w:firstRow="0" w:lastRow="0" w:firstColumn="0" w:lastColumn="0" w:oddVBand="0" w:evenVBand="0" w:oddHBand="0" w:evenHBand="0" w:firstRowFirstColumn="0" w:firstRowLastColumn="0" w:lastRowFirstColumn="0" w:lastRowLastColumn="0"/>
            </w:pPr>
            <w:r>
              <w:rPr>
                <w:sz w:val="16"/>
              </w:rPr>
              <w:t xml:space="preserve">Assesses strength of the plausible </w:t>
            </w:r>
            <w:proofErr w:type="spellStart"/>
            <w:r>
              <w:rPr>
                <w:sz w:val="16"/>
              </w:rPr>
              <w:t>programme</w:t>
            </w:r>
            <w:proofErr w:type="spellEnd"/>
            <w:r>
              <w:rPr>
                <w:sz w:val="16"/>
              </w:rPr>
              <w:t xml:space="preserve"> contribution</w:t>
            </w:r>
          </w:p>
        </w:tc>
        <w:tc>
          <w:tcPr>
            <w:tcW w:w="6639" w:type="dxa"/>
          </w:tcPr>
          <w:p w14:paraId="13FCFF51" w14:textId="77777777" w:rsidR="00F1115D" w:rsidRDefault="00EF15D1" w:rsidP="00B65502">
            <w:pPr>
              <w:spacing w:before="120"/>
              <w:cnfStyle w:val="000000000000" w:firstRow="0" w:lastRow="0" w:firstColumn="0" w:lastColumn="0" w:oddVBand="0" w:evenVBand="0" w:oddHBand="0" w:evenHBand="0" w:firstRowFirstColumn="0" w:firstRowLastColumn="0" w:lastRowFirstColumn="0" w:lastRowLastColumn="0"/>
            </w:pPr>
            <w:r>
              <w:rPr>
                <w:sz w:val="16"/>
              </w:rPr>
              <w:t>High; Medium; Low. Rating based on temporal linkage, plausibility, evidence strength, and presence of alternative explanations.</w:t>
            </w:r>
          </w:p>
        </w:tc>
      </w:tr>
      <w:tr w:rsidR="00F1115D" w14:paraId="3BBDCA04" w14:textId="77777777" w:rsidTr="00991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5FC90E9A" w14:textId="77777777" w:rsidR="00F1115D" w:rsidRDefault="00EF15D1" w:rsidP="00B65502">
            <w:pPr>
              <w:spacing w:before="120"/>
            </w:pPr>
            <w:r>
              <w:rPr>
                <w:b w:val="0"/>
                <w:sz w:val="16"/>
              </w:rPr>
              <w:t>Other actors or contextual factors</w:t>
            </w:r>
          </w:p>
        </w:tc>
        <w:tc>
          <w:tcPr>
            <w:tcW w:w="4395" w:type="dxa"/>
          </w:tcPr>
          <w:p w14:paraId="3F421FA8" w14:textId="77777777" w:rsidR="00F1115D" w:rsidRDefault="00EF15D1" w:rsidP="00B65502">
            <w:pPr>
              <w:spacing w:before="120"/>
              <w:cnfStyle w:val="000000100000" w:firstRow="0" w:lastRow="0" w:firstColumn="0" w:lastColumn="0" w:oddVBand="0" w:evenVBand="0" w:oddHBand="1" w:evenHBand="0" w:firstRowFirstColumn="0" w:firstRowLastColumn="0" w:lastRowFirstColumn="0" w:lastRowLastColumn="0"/>
            </w:pPr>
            <w:r>
              <w:rPr>
                <w:sz w:val="16"/>
              </w:rPr>
              <w:t>Documents alternative explanations and contextual influences</w:t>
            </w:r>
          </w:p>
        </w:tc>
        <w:tc>
          <w:tcPr>
            <w:tcW w:w="6639" w:type="dxa"/>
          </w:tcPr>
          <w:p w14:paraId="66C55795" w14:textId="77777777" w:rsidR="00F1115D" w:rsidRDefault="00EF15D1" w:rsidP="00B65502">
            <w:pPr>
              <w:spacing w:before="120"/>
              <w:cnfStyle w:val="000000100000" w:firstRow="0" w:lastRow="0" w:firstColumn="0" w:lastColumn="0" w:oddVBand="0" w:evenVBand="0" w:oddHBand="1" w:evenHBand="0" w:firstRowFirstColumn="0" w:firstRowLastColumn="0" w:lastRowFirstColumn="0" w:lastRowLastColumn="0"/>
            </w:pPr>
            <w:r>
              <w:rPr>
                <w:sz w:val="16"/>
              </w:rPr>
              <w:t>Local government directive; drought or climate shock; overlapping NGO project; community-led initiative; political leadership change; economic inflation; material availability; cultural or religious influence; school policy changes; seasonal migration patterns</w:t>
            </w:r>
          </w:p>
        </w:tc>
      </w:tr>
      <w:tr w:rsidR="00F1115D" w14:paraId="79EFD033" w14:textId="77777777" w:rsidTr="0099103F">
        <w:tc>
          <w:tcPr>
            <w:cnfStyle w:val="001000000000" w:firstRow="0" w:lastRow="0" w:firstColumn="1" w:lastColumn="0" w:oddVBand="0" w:evenVBand="0" w:oddHBand="0" w:evenHBand="0" w:firstRowFirstColumn="0" w:firstRowLastColumn="0" w:lastRowFirstColumn="0" w:lastRowLastColumn="0"/>
            <w:tcW w:w="3510" w:type="dxa"/>
          </w:tcPr>
          <w:p w14:paraId="7AFBE1F4" w14:textId="77777777" w:rsidR="00F1115D" w:rsidRDefault="00EF15D1" w:rsidP="00B65502">
            <w:pPr>
              <w:spacing w:before="120"/>
            </w:pPr>
            <w:r>
              <w:rPr>
                <w:b w:val="0"/>
                <w:sz w:val="16"/>
              </w:rPr>
              <w:t>Relevance / significance</w:t>
            </w:r>
          </w:p>
        </w:tc>
        <w:tc>
          <w:tcPr>
            <w:tcW w:w="4395" w:type="dxa"/>
          </w:tcPr>
          <w:p w14:paraId="2C183A10" w14:textId="77777777" w:rsidR="00F1115D" w:rsidRDefault="00EF15D1" w:rsidP="00B65502">
            <w:pPr>
              <w:spacing w:before="120"/>
              <w:cnfStyle w:val="000000000000" w:firstRow="0" w:lastRow="0" w:firstColumn="0" w:lastColumn="0" w:oddVBand="0" w:evenVBand="0" w:oddHBand="0" w:evenHBand="0" w:firstRowFirstColumn="0" w:firstRowLastColumn="0" w:lastRowFirstColumn="0" w:lastRowLastColumn="0"/>
            </w:pPr>
            <w:r>
              <w:rPr>
                <w:sz w:val="16"/>
              </w:rPr>
              <w:t>Assesses the importance of the outcome for implementation learning</w:t>
            </w:r>
          </w:p>
        </w:tc>
        <w:tc>
          <w:tcPr>
            <w:tcW w:w="6639" w:type="dxa"/>
          </w:tcPr>
          <w:p w14:paraId="38784B5C" w14:textId="77777777" w:rsidR="00F1115D" w:rsidRDefault="00EF15D1" w:rsidP="00B65502">
            <w:pPr>
              <w:spacing w:before="120"/>
              <w:cnfStyle w:val="000000000000" w:firstRow="0" w:lastRow="0" w:firstColumn="0" w:lastColumn="0" w:oddVBand="0" w:evenVBand="0" w:oddHBand="0" w:evenHBand="0" w:firstRowFirstColumn="0" w:firstRowLastColumn="0" w:lastRowFirstColumn="0" w:lastRowLastColumn="0"/>
            </w:pPr>
            <w:r>
              <w:rPr>
                <w:sz w:val="16"/>
              </w:rPr>
              <w:t>High; Medium; Low, based on relevance to implementation pathways, actor change, sustainability, and system functioning</w:t>
            </w:r>
          </w:p>
        </w:tc>
      </w:tr>
      <w:tr w:rsidR="00F1115D" w14:paraId="13F0B426" w14:textId="77777777" w:rsidTr="00991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0013352F" w14:textId="77777777" w:rsidR="00F1115D" w:rsidRDefault="00EF15D1" w:rsidP="00B65502">
            <w:pPr>
              <w:spacing w:before="120"/>
            </w:pPr>
            <w:r>
              <w:rPr>
                <w:b w:val="0"/>
                <w:sz w:val="16"/>
              </w:rPr>
              <w:t>Sustainability consideration</w:t>
            </w:r>
          </w:p>
        </w:tc>
        <w:tc>
          <w:tcPr>
            <w:tcW w:w="4395" w:type="dxa"/>
          </w:tcPr>
          <w:p w14:paraId="7BEBFAE7" w14:textId="77777777" w:rsidR="00F1115D" w:rsidRDefault="00EF15D1" w:rsidP="00B65502">
            <w:pPr>
              <w:spacing w:before="120"/>
              <w:cnfStyle w:val="000000100000" w:firstRow="0" w:lastRow="0" w:firstColumn="0" w:lastColumn="0" w:oddVBand="0" w:evenVBand="0" w:oddHBand="1" w:evenHBand="0" w:firstRowFirstColumn="0" w:firstRowLastColumn="0" w:lastRowFirstColumn="0" w:lastRowLastColumn="0"/>
            </w:pPr>
            <w:r>
              <w:rPr>
                <w:sz w:val="16"/>
              </w:rPr>
              <w:t xml:space="preserve">Captures early evidence of durability, </w:t>
            </w:r>
            <w:proofErr w:type="spellStart"/>
            <w:r>
              <w:rPr>
                <w:sz w:val="16"/>
              </w:rPr>
              <w:t>institutionalisation</w:t>
            </w:r>
            <w:proofErr w:type="spellEnd"/>
            <w:r>
              <w:rPr>
                <w:sz w:val="16"/>
              </w:rPr>
              <w:t>, or follow-up</w:t>
            </w:r>
          </w:p>
        </w:tc>
        <w:tc>
          <w:tcPr>
            <w:tcW w:w="6639" w:type="dxa"/>
          </w:tcPr>
          <w:p w14:paraId="27055DEA" w14:textId="77777777" w:rsidR="00F1115D" w:rsidRDefault="00EF15D1" w:rsidP="00B65502">
            <w:pPr>
              <w:spacing w:before="120"/>
              <w:cnfStyle w:val="000000100000" w:firstRow="0" w:lastRow="0" w:firstColumn="0" w:lastColumn="0" w:oddVBand="0" w:evenVBand="0" w:oddHBand="1" w:evenHBand="0" w:firstRowFirstColumn="0" w:firstRowLastColumn="0" w:lastRowFirstColumn="0" w:lastRowLastColumn="0"/>
            </w:pPr>
            <w:r>
              <w:rPr>
                <w:sz w:val="16"/>
              </w:rPr>
              <w:t xml:space="preserve">Examples: coordination committee continues meeting quarterly; households continue investing without subsidy; woreda offices adopted the approach into annual plans; MFI </w:t>
            </w:r>
            <w:r>
              <w:rPr>
                <w:sz w:val="16"/>
              </w:rPr>
              <w:lastRenderedPageBreak/>
              <w:t>product maintained beyond the project; artisans remain active and linked to suppliers; water user association introduced cost recovery and maintenance plans</w:t>
            </w:r>
          </w:p>
        </w:tc>
      </w:tr>
      <w:tr w:rsidR="00F1115D" w14:paraId="1A56CF56" w14:textId="77777777" w:rsidTr="0099103F">
        <w:tc>
          <w:tcPr>
            <w:cnfStyle w:val="001000000000" w:firstRow="0" w:lastRow="0" w:firstColumn="1" w:lastColumn="0" w:oddVBand="0" w:evenVBand="0" w:oddHBand="0" w:evenHBand="0" w:firstRowFirstColumn="0" w:firstRowLastColumn="0" w:lastRowFirstColumn="0" w:lastRowLastColumn="0"/>
            <w:tcW w:w="3510" w:type="dxa"/>
          </w:tcPr>
          <w:p w14:paraId="143BDCFD" w14:textId="77777777" w:rsidR="00F1115D" w:rsidRDefault="00EF15D1" w:rsidP="00B65502">
            <w:pPr>
              <w:spacing w:before="120"/>
            </w:pPr>
            <w:r>
              <w:rPr>
                <w:b w:val="0"/>
                <w:sz w:val="16"/>
              </w:rPr>
              <w:lastRenderedPageBreak/>
              <w:t>Source of evidence</w:t>
            </w:r>
          </w:p>
        </w:tc>
        <w:tc>
          <w:tcPr>
            <w:tcW w:w="4395" w:type="dxa"/>
          </w:tcPr>
          <w:p w14:paraId="57999ED0" w14:textId="77777777" w:rsidR="00F1115D" w:rsidRDefault="00EF15D1" w:rsidP="00B65502">
            <w:pPr>
              <w:spacing w:before="120"/>
              <w:cnfStyle w:val="000000000000" w:firstRow="0" w:lastRow="0" w:firstColumn="0" w:lastColumn="0" w:oddVBand="0" w:evenVBand="0" w:oddHBand="0" w:evenHBand="0" w:firstRowFirstColumn="0" w:firstRowLastColumn="0" w:lastRowFirstColumn="0" w:lastRowLastColumn="0"/>
            </w:pPr>
            <w:r>
              <w:rPr>
                <w:sz w:val="16"/>
              </w:rPr>
              <w:t>Documents evidence used for substantiation</w:t>
            </w:r>
          </w:p>
        </w:tc>
        <w:tc>
          <w:tcPr>
            <w:tcW w:w="6639" w:type="dxa"/>
          </w:tcPr>
          <w:p w14:paraId="3B6E87A6" w14:textId="77777777" w:rsidR="00F1115D" w:rsidRDefault="00EF15D1" w:rsidP="00B65502">
            <w:pPr>
              <w:spacing w:before="120"/>
              <w:cnfStyle w:val="000000000000" w:firstRow="0" w:lastRow="0" w:firstColumn="0" w:lastColumn="0" w:oddVBand="0" w:evenVBand="0" w:oddHBand="0" w:evenHBand="0" w:firstRowFirstColumn="0" w:firstRowLastColumn="0" w:lastRowFirstColumn="0" w:lastRowLastColumn="0"/>
            </w:pPr>
            <w:r>
              <w:rPr>
                <w:sz w:val="16"/>
              </w:rPr>
              <w:t>Routine monitoring database; mobile app reports; supervision checklist; facility registers; meeting minutes; referral logbooks; loan records; financial reports; photos/videos; school club documentation; water scheme completion certificate; stakeholder confirmation or interview notes</w:t>
            </w:r>
          </w:p>
        </w:tc>
      </w:tr>
      <w:tr w:rsidR="00F1115D" w14:paraId="3F0F8F17" w14:textId="77777777" w:rsidTr="00991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0F5CDC87" w14:textId="77777777" w:rsidR="00F1115D" w:rsidRDefault="00EF15D1" w:rsidP="00B65502">
            <w:pPr>
              <w:spacing w:before="120"/>
            </w:pPr>
            <w:r>
              <w:rPr>
                <w:b w:val="0"/>
                <w:sz w:val="16"/>
              </w:rPr>
              <w:t>Substantiation rating</w:t>
            </w:r>
          </w:p>
        </w:tc>
        <w:tc>
          <w:tcPr>
            <w:tcW w:w="4395" w:type="dxa"/>
          </w:tcPr>
          <w:p w14:paraId="7884E90D" w14:textId="77777777" w:rsidR="00F1115D" w:rsidRDefault="00EF15D1" w:rsidP="00B65502">
            <w:pPr>
              <w:spacing w:before="120"/>
              <w:cnfStyle w:val="000000100000" w:firstRow="0" w:lastRow="0" w:firstColumn="0" w:lastColumn="0" w:oddVBand="0" w:evenVBand="0" w:oddHBand="1" w:evenHBand="0" w:firstRowFirstColumn="0" w:firstRowLastColumn="0" w:lastRowFirstColumn="0" w:lastRowLastColumn="0"/>
            </w:pPr>
            <w:r>
              <w:rPr>
                <w:sz w:val="16"/>
              </w:rPr>
              <w:t>Rates confidence in the outcome based on source strength and corroboration</w:t>
            </w:r>
          </w:p>
        </w:tc>
        <w:tc>
          <w:tcPr>
            <w:tcW w:w="6639" w:type="dxa"/>
          </w:tcPr>
          <w:p w14:paraId="1DED98E7" w14:textId="77777777" w:rsidR="00F1115D" w:rsidRDefault="00EF15D1" w:rsidP="00B65502">
            <w:pPr>
              <w:spacing w:before="120"/>
              <w:cnfStyle w:val="000000100000" w:firstRow="0" w:lastRow="0" w:firstColumn="0" w:lastColumn="0" w:oddVBand="0" w:evenVBand="0" w:oddHBand="1" w:evenHBand="0" w:firstRowFirstColumn="0" w:firstRowLastColumn="0" w:lastRowFirstColumn="0" w:lastRowLastColumn="0"/>
            </w:pPr>
            <w:r>
              <w:rPr>
                <w:sz w:val="16"/>
              </w:rPr>
              <w:t>High = two or more independent sources and/or stakeholder validation; Moderate = one credible source with partial corroboration; Low = single source without independent corroboration</w:t>
            </w:r>
          </w:p>
        </w:tc>
      </w:tr>
    </w:tbl>
    <w:p w14:paraId="52F12F89" w14:textId="77777777" w:rsidR="00F1115D" w:rsidRDefault="00EF15D1">
      <w:r>
        <w:rPr>
          <w:b/>
        </w:rPr>
        <w:t xml:space="preserve">Note. </w:t>
      </w:r>
      <w:r>
        <w:t xml:space="preserve">Outcome statements were </w:t>
      </w:r>
      <w:proofErr w:type="spellStart"/>
      <w:r>
        <w:t>standardised</w:t>
      </w:r>
      <w:proofErr w:type="spellEnd"/>
      <w:r>
        <w:t xml:space="preserve"> to specify who changed, what changed, where/when the change occurred, why the change was significant for implementation, and how the </w:t>
      </w:r>
      <w:proofErr w:type="spellStart"/>
      <w:r>
        <w:t>programme</w:t>
      </w:r>
      <w:proofErr w:type="spellEnd"/>
      <w:r>
        <w:t xml:space="preserve"> plausibly contributed. Substantiation ratings were used to guide interpretation and prevent over-weighting weakly evidenced outcomes.</w:t>
      </w:r>
    </w:p>
    <w:p w14:paraId="09B96DDE" w14:textId="77777777" w:rsidR="00F1115D" w:rsidRDefault="00EF15D1">
      <w:pPr>
        <w:pStyle w:val="Heading2"/>
      </w:pPr>
      <w:r>
        <w:t>Table S2. Mapping of harvested outcome domains to implementation outcome constructs</w:t>
      </w:r>
    </w:p>
    <w:tbl>
      <w:tblPr>
        <w:tblStyle w:val="PlainTable1"/>
        <w:tblW w:w="0" w:type="auto"/>
        <w:tblLook w:val="04A0" w:firstRow="1" w:lastRow="0" w:firstColumn="1" w:lastColumn="0" w:noHBand="0" w:noVBand="1"/>
      </w:tblPr>
      <w:tblGrid>
        <w:gridCol w:w="2660"/>
        <w:gridCol w:w="3969"/>
        <w:gridCol w:w="2693"/>
        <w:gridCol w:w="5222"/>
      </w:tblGrid>
      <w:tr w:rsidR="00F1115D" w14:paraId="79C3F3D8" w14:textId="77777777" w:rsidTr="00CF43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29B8A1FC" w14:textId="77777777" w:rsidR="00F1115D" w:rsidRDefault="00EF15D1">
            <w:r>
              <w:rPr>
                <w:sz w:val="16"/>
              </w:rPr>
              <w:t>Harvested outcome domain (OM–OH typology)</w:t>
            </w:r>
          </w:p>
        </w:tc>
        <w:tc>
          <w:tcPr>
            <w:tcW w:w="3969" w:type="dxa"/>
          </w:tcPr>
          <w:p w14:paraId="2B2B0D33" w14:textId="77777777" w:rsidR="00F1115D" w:rsidRDefault="00EF15D1">
            <w:pPr>
              <w:cnfStyle w:val="100000000000" w:firstRow="1" w:lastRow="0" w:firstColumn="0" w:lastColumn="0" w:oddVBand="0" w:evenVBand="0" w:oddHBand="0" w:evenHBand="0" w:firstRowFirstColumn="0" w:firstRowLastColumn="0" w:lastRowFirstColumn="0" w:lastRowLastColumn="0"/>
            </w:pPr>
            <w:r>
              <w:rPr>
                <w:sz w:val="16"/>
              </w:rPr>
              <w:t>Primary actor-level changes captured</w:t>
            </w:r>
          </w:p>
        </w:tc>
        <w:tc>
          <w:tcPr>
            <w:tcW w:w="2693" w:type="dxa"/>
          </w:tcPr>
          <w:p w14:paraId="2DA63066" w14:textId="77777777" w:rsidR="00F1115D" w:rsidRDefault="00EF15D1">
            <w:pPr>
              <w:cnfStyle w:val="100000000000" w:firstRow="1" w:lastRow="0" w:firstColumn="0" w:lastColumn="0" w:oddVBand="0" w:evenVBand="0" w:oddHBand="0" w:evenHBand="0" w:firstRowFirstColumn="0" w:firstRowLastColumn="0" w:lastRowFirstColumn="0" w:lastRowLastColumn="0"/>
            </w:pPr>
            <w:r>
              <w:rPr>
                <w:sz w:val="16"/>
              </w:rPr>
              <w:t>Corresponding implementation outcome construct(s)</w:t>
            </w:r>
          </w:p>
        </w:tc>
        <w:tc>
          <w:tcPr>
            <w:tcW w:w="5222" w:type="dxa"/>
          </w:tcPr>
          <w:p w14:paraId="5B9B8ED9" w14:textId="77777777" w:rsidR="00F1115D" w:rsidRDefault="00EF15D1">
            <w:pPr>
              <w:cnfStyle w:val="100000000000" w:firstRow="1" w:lastRow="0" w:firstColumn="0" w:lastColumn="0" w:oddVBand="0" w:evenVBand="0" w:oddHBand="0" w:evenHBand="0" w:firstRowFirstColumn="0" w:firstRowLastColumn="0" w:lastRowFirstColumn="0" w:lastRowLastColumn="0"/>
            </w:pPr>
            <w:r>
              <w:rPr>
                <w:sz w:val="16"/>
              </w:rPr>
              <w:t>Rationale for alignment in this study</w:t>
            </w:r>
          </w:p>
        </w:tc>
      </w:tr>
      <w:tr w:rsidR="00F1115D" w14:paraId="4D89A25C" w14:textId="77777777" w:rsidTr="00CF43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6D6E9D94" w14:textId="77777777" w:rsidR="00F1115D" w:rsidRDefault="00EF15D1">
            <w:r>
              <w:rPr>
                <w:b w:val="0"/>
                <w:sz w:val="16"/>
              </w:rPr>
              <w:t>Governance and coordination strengthening</w:t>
            </w:r>
          </w:p>
        </w:tc>
        <w:tc>
          <w:tcPr>
            <w:tcW w:w="3969" w:type="dxa"/>
          </w:tcPr>
          <w:p w14:paraId="47A01733" w14:textId="77777777" w:rsidR="00F1115D" w:rsidRDefault="00EF15D1">
            <w:pPr>
              <w:cnfStyle w:val="000000100000" w:firstRow="0" w:lastRow="0" w:firstColumn="0" w:lastColumn="0" w:oddVBand="0" w:evenVBand="0" w:oddHBand="1" w:evenHBand="0" w:firstRowFirstColumn="0" w:firstRowLastColumn="0" w:lastRowFirstColumn="0" w:lastRowLastColumn="0"/>
            </w:pPr>
            <w:r>
              <w:rPr>
                <w:sz w:val="16"/>
              </w:rPr>
              <w:t>Establishment or strengthening of cross-sector platforms; routine joint planning; clarified roles; institutional oversight mechanisms; integration of WASH–SRH indicators into review meetings</w:t>
            </w:r>
          </w:p>
        </w:tc>
        <w:tc>
          <w:tcPr>
            <w:tcW w:w="2693" w:type="dxa"/>
          </w:tcPr>
          <w:p w14:paraId="63A6D0AC" w14:textId="77777777" w:rsidR="00F1115D" w:rsidRDefault="00EF15D1">
            <w:pPr>
              <w:cnfStyle w:val="000000100000" w:firstRow="0" w:lastRow="0" w:firstColumn="0" w:lastColumn="0" w:oddVBand="0" w:evenVBand="0" w:oddHBand="1" w:evenHBand="0" w:firstRowFirstColumn="0" w:firstRowLastColumn="0" w:lastRowFirstColumn="0" w:lastRowLastColumn="0"/>
            </w:pPr>
            <w:r>
              <w:rPr>
                <w:sz w:val="16"/>
              </w:rPr>
              <w:t>Adoption; Penetration; Sustainability</w:t>
            </w:r>
          </w:p>
        </w:tc>
        <w:tc>
          <w:tcPr>
            <w:tcW w:w="5222" w:type="dxa"/>
          </w:tcPr>
          <w:p w14:paraId="11A04BD3" w14:textId="77777777" w:rsidR="00F1115D" w:rsidRDefault="00EF15D1">
            <w:pPr>
              <w:cnfStyle w:val="000000100000" w:firstRow="0" w:lastRow="0" w:firstColumn="0" w:lastColumn="0" w:oddVBand="0" w:evenVBand="0" w:oddHBand="1" w:evenHBand="0" w:firstRowFirstColumn="0" w:firstRowLastColumn="0" w:lastRowFirstColumn="0" w:lastRowLastColumn="0"/>
            </w:pPr>
            <w:proofErr w:type="spellStart"/>
            <w:r>
              <w:rPr>
                <w:sz w:val="16"/>
              </w:rPr>
              <w:t>Institutionalisation</w:t>
            </w:r>
            <w:proofErr w:type="spellEnd"/>
            <w:r>
              <w:rPr>
                <w:sz w:val="16"/>
              </w:rPr>
              <w:t xml:space="preserve"> of coordination routines reflects adoption of new implementation practices. Integration into routine review systems indicates penetration into governance structures. Continuity of coordination mechanisms provides early sustainability signals.</w:t>
            </w:r>
          </w:p>
        </w:tc>
      </w:tr>
      <w:tr w:rsidR="00F1115D" w14:paraId="3D99A91D" w14:textId="77777777" w:rsidTr="00CF43BF">
        <w:tc>
          <w:tcPr>
            <w:cnfStyle w:val="001000000000" w:firstRow="0" w:lastRow="0" w:firstColumn="1" w:lastColumn="0" w:oddVBand="0" w:evenVBand="0" w:oddHBand="0" w:evenHBand="0" w:firstRowFirstColumn="0" w:firstRowLastColumn="0" w:lastRowFirstColumn="0" w:lastRowLastColumn="0"/>
            <w:tcW w:w="2660" w:type="dxa"/>
          </w:tcPr>
          <w:p w14:paraId="342692EB" w14:textId="77777777" w:rsidR="00F1115D" w:rsidRDefault="00EF15D1">
            <w:r>
              <w:rPr>
                <w:b w:val="0"/>
                <w:sz w:val="16"/>
              </w:rPr>
              <w:t>Capacity and practice change among service providers and community actors</w:t>
            </w:r>
          </w:p>
        </w:tc>
        <w:tc>
          <w:tcPr>
            <w:tcW w:w="3969" w:type="dxa"/>
          </w:tcPr>
          <w:p w14:paraId="46DEFFA3" w14:textId="77777777" w:rsidR="00F1115D" w:rsidRDefault="00EF15D1">
            <w:pPr>
              <w:cnfStyle w:val="000000000000" w:firstRow="0" w:lastRow="0" w:firstColumn="0" w:lastColumn="0" w:oddVBand="0" w:evenVBand="0" w:oddHBand="0" w:evenHBand="0" w:firstRowFirstColumn="0" w:firstRowLastColumn="0" w:lastRowFirstColumn="0" w:lastRowLastColumn="0"/>
            </w:pPr>
            <w:r>
              <w:rPr>
                <w:sz w:val="16"/>
              </w:rPr>
              <w:t>Improved service delivery routines; enhanced mentorship effects; expanded SRH method mix; strengthened referral, follow-up, and household engagement practices by CHWs/HEWs and other frontline actors</w:t>
            </w:r>
          </w:p>
        </w:tc>
        <w:tc>
          <w:tcPr>
            <w:tcW w:w="2693" w:type="dxa"/>
          </w:tcPr>
          <w:p w14:paraId="7401E7E1" w14:textId="77777777" w:rsidR="00F1115D" w:rsidRDefault="00EF15D1">
            <w:pPr>
              <w:cnfStyle w:val="000000000000" w:firstRow="0" w:lastRow="0" w:firstColumn="0" w:lastColumn="0" w:oddVBand="0" w:evenVBand="0" w:oddHBand="0" w:evenHBand="0" w:firstRowFirstColumn="0" w:firstRowLastColumn="0" w:lastRowFirstColumn="0" w:lastRowLastColumn="0"/>
            </w:pPr>
            <w:r>
              <w:rPr>
                <w:sz w:val="16"/>
              </w:rPr>
              <w:t>Fidelity; Acceptability; Appropriateness; Quality of delivery</w:t>
            </w:r>
          </w:p>
        </w:tc>
        <w:tc>
          <w:tcPr>
            <w:tcW w:w="5222" w:type="dxa"/>
          </w:tcPr>
          <w:p w14:paraId="08299083" w14:textId="77777777" w:rsidR="00F1115D" w:rsidRDefault="00EF15D1">
            <w:pPr>
              <w:cnfStyle w:val="000000000000" w:firstRow="0" w:lastRow="0" w:firstColumn="0" w:lastColumn="0" w:oddVBand="0" w:evenVBand="0" w:oddHBand="0" w:evenHBand="0" w:firstRowFirstColumn="0" w:firstRowLastColumn="0" w:lastRowFirstColumn="0" w:lastRowLastColumn="0"/>
            </w:pPr>
            <w:r>
              <w:rPr>
                <w:sz w:val="16"/>
              </w:rPr>
              <w:t>Changes in routine practice indicate closer alignment with intended implementation strategies. Improved responsiveness and sustained engagement suggest acceptability and contextual appropriateness. Mentorship-related changes reflect quality-of-delivery improvement.</w:t>
            </w:r>
          </w:p>
        </w:tc>
      </w:tr>
      <w:tr w:rsidR="00F1115D" w14:paraId="01F25EB2" w14:textId="77777777" w:rsidTr="00CF43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4AF987DD" w14:textId="77777777" w:rsidR="00F1115D" w:rsidRDefault="00EF15D1">
            <w:r>
              <w:rPr>
                <w:b w:val="0"/>
                <w:sz w:val="16"/>
              </w:rPr>
              <w:t>Financing and market adaptation</w:t>
            </w:r>
          </w:p>
        </w:tc>
        <w:tc>
          <w:tcPr>
            <w:tcW w:w="3969" w:type="dxa"/>
          </w:tcPr>
          <w:p w14:paraId="61DE0A51" w14:textId="77777777" w:rsidR="00F1115D" w:rsidRDefault="00EF15D1">
            <w:pPr>
              <w:cnfStyle w:val="000000100000" w:firstRow="0" w:lastRow="0" w:firstColumn="0" w:lastColumn="0" w:oddVBand="0" w:evenVBand="0" w:oddHBand="1" w:evenHBand="0" w:firstRowFirstColumn="0" w:firstRowLastColumn="0" w:lastRowFirstColumn="0" w:lastRowLastColumn="0"/>
            </w:pPr>
            <w:r>
              <w:rPr>
                <w:sz w:val="16"/>
              </w:rPr>
              <w:t xml:space="preserve">Adoption of sanitation loan products; diversified household financing strategies; artisan </w:t>
            </w:r>
            <w:proofErr w:type="spellStart"/>
            <w:r>
              <w:rPr>
                <w:sz w:val="16"/>
              </w:rPr>
              <w:t>professionalisation</w:t>
            </w:r>
            <w:proofErr w:type="spellEnd"/>
            <w:r>
              <w:rPr>
                <w:sz w:val="16"/>
              </w:rPr>
              <w:t>; strengthened sanitation value-chain functioning</w:t>
            </w:r>
          </w:p>
        </w:tc>
        <w:tc>
          <w:tcPr>
            <w:tcW w:w="2693" w:type="dxa"/>
          </w:tcPr>
          <w:p w14:paraId="1E3EA7E2" w14:textId="77777777" w:rsidR="00F1115D" w:rsidRDefault="00EF15D1">
            <w:pPr>
              <w:cnfStyle w:val="000000100000" w:firstRow="0" w:lastRow="0" w:firstColumn="0" w:lastColumn="0" w:oddVBand="0" w:evenVBand="0" w:oddHBand="1" w:evenHBand="0" w:firstRowFirstColumn="0" w:firstRowLastColumn="0" w:lastRowFirstColumn="0" w:lastRowLastColumn="0"/>
            </w:pPr>
            <w:r>
              <w:rPr>
                <w:sz w:val="16"/>
              </w:rPr>
              <w:t>Feasibility; Cost; Reach; Sustainability</w:t>
            </w:r>
          </w:p>
        </w:tc>
        <w:tc>
          <w:tcPr>
            <w:tcW w:w="5222" w:type="dxa"/>
          </w:tcPr>
          <w:p w14:paraId="64BB5680" w14:textId="77777777" w:rsidR="00F1115D" w:rsidRDefault="00EF15D1">
            <w:pPr>
              <w:cnfStyle w:val="000000100000" w:firstRow="0" w:lastRow="0" w:firstColumn="0" w:lastColumn="0" w:oddVBand="0" w:evenVBand="0" w:oddHBand="1" w:evenHBand="0" w:firstRowFirstColumn="0" w:firstRowLastColumn="0" w:lastRowFirstColumn="0" w:lastRowLastColumn="0"/>
            </w:pPr>
            <w:r>
              <w:rPr>
                <w:sz w:val="16"/>
              </w:rPr>
              <w:t>Financial adaptations reduce affordability barriers and increase feasibility. Household investment and loan uptake reflect cost-related implementation dynamics. Market functioning supports delivery capacity, while improved affordability may expand reach and sustainability.</w:t>
            </w:r>
          </w:p>
        </w:tc>
      </w:tr>
      <w:tr w:rsidR="00F1115D" w14:paraId="24B4E494" w14:textId="77777777" w:rsidTr="00CF43BF">
        <w:tc>
          <w:tcPr>
            <w:cnfStyle w:val="001000000000" w:firstRow="0" w:lastRow="0" w:firstColumn="1" w:lastColumn="0" w:oddVBand="0" w:evenVBand="0" w:oddHBand="0" w:evenHBand="0" w:firstRowFirstColumn="0" w:firstRowLastColumn="0" w:lastRowFirstColumn="0" w:lastRowLastColumn="0"/>
            <w:tcW w:w="2660" w:type="dxa"/>
          </w:tcPr>
          <w:p w14:paraId="4A277F3F" w14:textId="77777777" w:rsidR="00F1115D" w:rsidRDefault="00EF15D1">
            <w:r>
              <w:rPr>
                <w:b w:val="0"/>
                <w:sz w:val="16"/>
              </w:rPr>
              <w:t>Reporting and data-use improvement</w:t>
            </w:r>
          </w:p>
        </w:tc>
        <w:tc>
          <w:tcPr>
            <w:tcW w:w="3969" w:type="dxa"/>
          </w:tcPr>
          <w:p w14:paraId="684970A6" w14:textId="77777777" w:rsidR="00F1115D" w:rsidRDefault="00EF15D1">
            <w:pPr>
              <w:cnfStyle w:val="000000000000" w:firstRow="0" w:lastRow="0" w:firstColumn="0" w:lastColumn="0" w:oddVBand="0" w:evenVBand="0" w:oddHBand="0" w:evenHBand="0" w:firstRowFirstColumn="0" w:firstRowLastColumn="0" w:lastRowFirstColumn="0" w:lastRowLastColumn="0"/>
            </w:pPr>
            <w:r>
              <w:rPr>
                <w:sz w:val="16"/>
              </w:rPr>
              <w:t>Increased documentation completeness; integration of private facilities into reporting flows; strengthened supervision and feedback loops</w:t>
            </w:r>
          </w:p>
        </w:tc>
        <w:tc>
          <w:tcPr>
            <w:tcW w:w="2693" w:type="dxa"/>
          </w:tcPr>
          <w:p w14:paraId="64737C33" w14:textId="77777777" w:rsidR="00F1115D" w:rsidRDefault="00EF15D1">
            <w:pPr>
              <w:cnfStyle w:val="000000000000" w:firstRow="0" w:lastRow="0" w:firstColumn="0" w:lastColumn="0" w:oddVBand="0" w:evenVBand="0" w:oddHBand="0" w:evenHBand="0" w:firstRowFirstColumn="0" w:firstRowLastColumn="0" w:lastRowFirstColumn="0" w:lastRowLastColumn="0"/>
            </w:pPr>
            <w:r>
              <w:rPr>
                <w:sz w:val="16"/>
              </w:rPr>
              <w:t>Penetration; Fidelity; Sustainability</w:t>
            </w:r>
          </w:p>
        </w:tc>
        <w:tc>
          <w:tcPr>
            <w:tcW w:w="5222" w:type="dxa"/>
          </w:tcPr>
          <w:p w14:paraId="3D709FF2" w14:textId="77777777" w:rsidR="00F1115D" w:rsidRDefault="00EF15D1">
            <w:pPr>
              <w:cnfStyle w:val="000000000000" w:firstRow="0" w:lastRow="0" w:firstColumn="0" w:lastColumn="0" w:oddVBand="0" w:evenVBand="0" w:oddHBand="0" w:evenHBand="0" w:firstRowFirstColumn="0" w:firstRowLastColumn="0" w:lastRowFirstColumn="0" w:lastRowLastColumn="0"/>
            </w:pPr>
            <w:r>
              <w:rPr>
                <w:sz w:val="16"/>
              </w:rPr>
              <w:t>Integration into routine reporting systems reflects penetration into existing administrative infrastructure. Improved documentation signals adherence to implementation procedures. Routine feedback loops support longer-term system functioning.</w:t>
            </w:r>
          </w:p>
        </w:tc>
      </w:tr>
      <w:tr w:rsidR="00F1115D" w14:paraId="5E6B17E8" w14:textId="77777777" w:rsidTr="00CF43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4AB1B730" w14:textId="77777777" w:rsidR="00F1115D" w:rsidRDefault="00EF15D1">
            <w:r>
              <w:rPr>
                <w:b w:val="0"/>
                <w:sz w:val="16"/>
              </w:rPr>
              <w:t>Service or infrastructure delivery change</w:t>
            </w:r>
          </w:p>
        </w:tc>
        <w:tc>
          <w:tcPr>
            <w:tcW w:w="3969" w:type="dxa"/>
          </w:tcPr>
          <w:p w14:paraId="1ECD99D6" w14:textId="77777777" w:rsidR="00F1115D" w:rsidRDefault="00EF15D1">
            <w:pPr>
              <w:cnfStyle w:val="000000100000" w:firstRow="0" w:lastRow="0" w:firstColumn="0" w:lastColumn="0" w:oddVBand="0" w:evenVBand="0" w:oddHBand="1" w:evenHBand="0" w:firstRowFirstColumn="0" w:firstRowLastColumn="0" w:lastRowFirstColumn="0" w:lastRowLastColumn="0"/>
            </w:pPr>
            <w:proofErr w:type="spellStart"/>
            <w:r>
              <w:rPr>
                <w:sz w:val="16"/>
              </w:rPr>
              <w:t>Institutionalisation</w:t>
            </w:r>
            <w:proofErr w:type="spellEnd"/>
            <w:r>
              <w:rPr>
                <w:sz w:val="16"/>
              </w:rPr>
              <w:t xml:space="preserve"> of safe spaces; improved school WASH environments; strengthened water scheme management routines; expanded service readiness or access</w:t>
            </w:r>
          </w:p>
        </w:tc>
        <w:tc>
          <w:tcPr>
            <w:tcW w:w="2693" w:type="dxa"/>
          </w:tcPr>
          <w:p w14:paraId="509361B6" w14:textId="77777777" w:rsidR="00F1115D" w:rsidRDefault="00EF15D1">
            <w:pPr>
              <w:cnfStyle w:val="000000100000" w:firstRow="0" w:lastRow="0" w:firstColumn="0" w:lastColumn="0" w:oddVBand="0" w:evenVBand="0" w:oddHBand="1" w:evenHBand="0" w:firstRowFirstColumn="0" w:firstRowLastColumn="0" w:lastRowFirstColumn="0" w:lastRowLastColumn="0"/>
            </w:pPr>
            <w:r>
              <w:rPr>
                <w:sz w:val="16"/>
              </w:rPr>
              <w:t>Adoption; Reach; Sustainability</w:t>
            </w:r>
          </w:p>
        </w:tc>
        <w:tc>
          <w:tcPr>
            <w:tcW w:w="5222" w:type="dxa"/>
          </w:tcPr>
          <w:p w14:paraId="41185B15" w14:textId="77777777" w:rsidR="00F1115D" w:rsidRDefault="00EF15D1">
            <w:pPr>
              <w:cnfStyle w:val="000000100000" w:firstRow="0" w:lastRow="0" w:firstColumn="0" w:lastColumn="0" w:oddVBand="0" w:evenVBand="0" w:oddHBand="1" w:evenHBand="0" w:firstRowFirstColumn="0" w:firstRowLastColumn="0" w:lastRowFirstColumn="0" w:lastRowLastColumn="0"/>
            </w:pPr>
            <w:r>
              <w:rPr>
                <w:sz w:val="16"/>
              </w:rPr>
              <w:t>Adoption of improved standards or service arrangements reflects uptake of implementation strategies. Expanded service availability increases reach. Management routines and cost-recovery arrangements indicate early sustainability mechanisms.</w:t>
            </w:r>
          </w:p>
        </w:tc>
      </w:tr>
    </w:tbl>
    <w:p w14:paraId="4D8112F8" w14:textId="77777777" w:rsidR="00F1115D" w:rsidRDefault="00EF15D1">
      <w:r>
        <w:rPr>
          <w:b/>
        </w:rPr>
        <w:t xml:space="preserve">Note. </w:t>
      </w:r>
      <w:r>
        <w:t>Implementation outcome constructs are adapted from Proctor et al. and used as interpretive categories rather than as directly measured endpoint variables. The mapping supports interpretation of how harvested actor-level changes relate to implementation processes and outcomes.</w:t>
      </w:r>
    </w:p>
    <w:p w14:paraId="31FB3BF7" w14:textId="77777777" w:rsidR="00B73CF5" w:rsidRDefault="00B73CF5"/>
    <w:p w14:paraId="6F3A7E69" w14:textId="7477C631" w:rsidR="006F516B" w:rsidRDefault="00B73CF5">
      <w:r w:rsidRPr="00B73CF5">
        <w:t xml:space="preserve">Supplementary Table S3 describes how Implementation Mapping tasks were </w:t>
      </w:r>
      <w:proofErr w:type="spellStart"/>
      <w:r w:rsidRPr="00B73CF5">
        <w:t>operationalised</w:t>
      </w:r>
      <w:proofErr w:type="spellEnd"/>
      <w:r w:rsidRPr="00B73CF5">
        <w:t xml:space="preserve"> to support prospective pathway specification and integration with Outcome Mapping and Outcome Harvesting.</w:t>
      </w:r>
    </w:p>
    <w:p w14:paraId="4E6E0472" w14:textId="6BBD4BF2" w:rsidR="0009631C" w:rsidRPr="0009631C" w:rsidRDefault="0009631C" w:rsidP="006F516B">
      <w:pPr>
        <w:pStyle w:val="Heading2"/>
      </w:pPr>
      <w:r w:rsidRPr="0009631C">
        <w:t>Supplementary Table S3. Application of Implementation Mapping tasks in the study</w:t>
      </w:r>
    </w:p>
    <w:tbl>
      <w:tblPr>
        <w:tblStyle w:val="PlainTable1"/>
        <w:tblW w:w="0" w:type="auto"/>
        <w:tblLook w:val="04A0" w:firstRow="1" w:lastRow="0" w:firstColumn="1" w:lastColumn="0" w:noHBand="0" w:noVBand="1"/>
      </w:tblPr>
      <w:tblGrid>
        <w:gridCol w:w="3230"/>
        <w:gridCol w:w="11530"/>
      </w:tblGrid>
      <w:tr w:rsidR="0009631C" w:rsidRPr="0009631C" w14:paraId="1AA4E427" w14:textId="77777777" w:rsidTr="000963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5E3030" w14:textId="77777777" w:rsidR="0009631C" w:rsidRPr="0009631C" w:rsidRDefault="0009631C" w:rsidP="0009631C">
            <w:pPr>
              <w:spacing w:after="200" w:line="276" w:lineRule="auto"/>
            </w:pPr>
            <w:r w:rsidRPr="0009631C">
              <w:t>Implementation Mapping task</w:t>
            </w:r>
          </w:p>
        </w:tc>
        <w:tc>
          <w:tcPr>
            <w:tcW w:w="0" w:type="auto"/>
            <w:hideMark/>
          </w:tcPr>
          <w:p w14:paraId="136B68EC" w14:textId="77777777" w:rsidR="0009631C" w:rsidRPr="0009631C" w:rsidRDefault="0009631C" w:rsidP="0009631C">
            <w:pPr>
              <w:spacing w:after="200" w:line="276" w:lineRule="auto"/>
              <w:cnfStyle w:val="100000000000" w:firstRow="1" w:lastRow="0" w:firstColumn="0" w:lastColumn="0" w:oddVBand="0" w:evenVBand="0" w:oddHBand="0" w:evenHBand="0" w:firstRowFirstColumn="0" w:firstRowLastColumn="0" w:lastRowFirstColumn="0" w:lastRowLastColumn="0"/>
            </w:pPr>
            <w:r w:rsidRPr="0009631C">
              <w:t>Application in this study</w:t>
            </w:r>
          </w:p>
        </w:tc>
      </w:tr>
      <w:tr w:rsidR="0009631C" w:rsidRPr="0009631C" w14:paraId="161F6743" w14:textId="77777777" w:rsidTr="000963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D16B68" w14:textId="77777777" w:rsidR="0009631C" w:rsidRPr="0009631C" w:rsidRDefault="0009631C" w:rsidP="0009631C">
            <w:pPr>
              <w:spacing w:after="200" w:line="276" w:lineRule="auto"/>
            </w:pPr>
            <w:r w:rsidRPr="0009631C">
              <w:t>Task 1. Identify implementers and boundary partners</w:t>
            </w:r>
          </w:p>
        </w:tc>
        <w:tc>
          <w:tcPr>
            <w:tcW w:w="0" w:type="auto"/>
            <w:hideMark/>
          </w:tcPr>
          <w:p w14:paraId="77125A4E" w14:textId="77777777" w:rsidR="0009631C" w:rsidRPr="0009631C" w:rsidRDefault="0009631C" w:rsidP="0009631C">
            <w:pPr>
              <w:spacing w:after="200" w:line="276" w:lineRule="auto"/>
              <w:cnfStyle w:val="000000100000" w:firstRow="0" w:lastRow="0" w:firstColumn="0" w:lastColumn="0" w:oddVBand="0" w:evenVBand="0" w:oddHBand="1" w:evenHBand="0" w:firstRowFirstColumn="0" w:firstRowLastColumn="0" w:lastRowFirstColumn="0" w:lastRowLastColumn="0"/>
            </w:pPr>
            <w:r w:rsidRPr="0009631C">
              <w:t>Identified community actors, households, service providers, market actors, financial actors, government actors, and reporting/data actors involved in implementation.</w:t>
            </w:r>
          </w:p>
        </w:tc>
      </w:tr>
      <w:tr w:rsidR="0009631C" w:rsidRPr="0009631C" w14:paraId="25D888DA" w14:textId="77777777" w:rsidTr="0009631C">
        <w:tc>
          <w:tcPr>
            <w:cnfStyle w:val="001000000000" w:firstRow="0" w:lastRow="0" w:firstColumn="1" w:lastColumn="0" w:oddVBand="0" w:evenVBand="0" w:oddHBand="0" w:evenHBand="0" w:firstRowFirstColumn="0" w:firstRowLastColumn="0" w:lastRowFirstColumn="0" w:lastRowLastColumn="0"/>
            <w:tcW w:w="0" w:type="auto"/>
            <w:hideMark/>
          </w:tcPr>
          <w:p w14:paraId="4DC931CE" w14:textId="77777777" w:rsidR="0009631C" w:rsidRPr="0009631C" w:rsidRDefault="0009631C" w:rsidP="0009631C">
            <w:pPr>
              <w:spacing w:after="200" w:line="276" w:lineRule="auto"/>
            </w:pPr>
            <w:r w:rsidRPr="0009631C">
              <w:t xml:space="preserve">Task 2. Define performance </w:t>
            </w:r>
            <w:r w:rsidRPr="0009631C">
              <w:lastRenderedPageBreak/>
              <w:t>objectives</w:t>
            </w:r>
          </w:p>
        </w:tc>
        <w:tc>
          <w:tcPr>
            <w:tcW w:w="0" w:type="auto"/>
            <w:hideMark/>
          </w:tcPr>
          <w:p w14:paraId="3A889C14" w14:textId="77777777" w:rsidR="0009631C" w:rsidRPr="0009631C" w:rsidRDefault="0009631C" w:rsidP="0009631C">
            <w:pPr>
              <w:spacing w:after="200" w:line="276" w:lineRule="auto"/>
              <w:cnfStyle w:val="000000000000" w:firstRow="0" w:lastRow="0" w:firstColumn="0" w:lastColumn="0" w:oddVBand="0" w:evenVBand="0" w:oddHBand="0" w:evenHBand="0" w:firstRowFirstColumn="0" w:firstRowLastColumn="0" w:lastRowFirstColumn="0" w:lastRowLastColumn="0"/>
            </w:pPr>
            <w:r w:rsidRPr="0009631C">
              <w:lastRenderedPageBreak/>
              <w:t xml:space="preserve">Specified expected actor-level changes, including strengthened referral practices, improved service responsiveness, financing facilitation, reporting </w:t>
            </w:r>
            <w:r w:rsidRPr="0009631C">
              <w:lastRenderedPageBreak/>
              <w:t>improvement, and coordination routines.</w:t>
            </w:r>
          </w:p>
        </w:tc>
      </w:tr>
      <w:tr w:rsidR="0009631C" w:rsidRPr="0009631C" w14:paraId="598D9757" w14:textId="77777777" w:rsidTr="000963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06E803" w14:textId="77777777" w:rsidR="0009631C" w:rsidRPr="0009631C" w:rsidRDefault="0009631C" w:rsidP="0009631C">
            <w:pPr>
              <w:spacing w:after="200" w:line="276" w:lineRule="auto"/>
            </w:pPr>
            <w:r w:rsidRPr="0009631C">
              <w:lastRenderedPageBreak/>
              <w:t>Task 3. Identify determinants</w:t>
            </w:r>
          </w:p>
        </w:tc>
        <w:tc>
          <w:tcPr>
            <w:tcW w:w="0" w:type="auto"/>
            <w:hideMark/>
          </w:tcPr>
          <w:p w14:paraId="46FFAC9B" w14:textId="77777777" w:rsidR="0009631C" w:rsidRPr="0009631C" w:rsidRDefault="0009631C" w:rsidP="0009631C">
            <w:pPr>
              <w:spacing w:after="200" w:line="276" w:lineRule="auto"/>
              <w:cnfStyle w:val="000000100000" w:firstRow="0" w:lastRow="0" w:firstColumn="0" w:lastColumn="0" w:oddVBand="0" w:evenVBand="0" w:oddHBand="1" w:evenHBand="0" w:firstRowFirstColumn="0" w:firstRowLastColumn="0" w:lastRowFirstColumn="0" w:lastRowLastColumn="0"/>
            </w:pPr>
            <w:r w:rsidRPr="0009631C">
              <w:t>Identified implementation barriers and facilitators related to demand, service readiness, affordability, market access, governance, reporting, and contextual variation across Jimma and Borena.</w:t>
            </w:r>
          </w:p>
        </w:tc>
      </w:tr>
      <w:tr w:rsidR="0009631C" w:rsidRPr="0009631C" w14:paraId="027ECFD0" w14:textId="77777777" w:rsidTr="0009631C">
        <w:tc>
          <w:tcPr>
            <w:cnfStyle w:val="001000000000" w:firstRow="0" w:lastRow="0" w:firstColumn="1" w:lastColumn="0" w:oddVBand="0" w:evenVBand="0" w:oddHBand="0" w:evenHBand="0" w:firstRowFirstColumn="0" w:firstRowLastColumn="0" w:lastRowFirstColumn="0" w:lastRowLastColumn="0"/>
            <w:tcW w:w="0" w:type="auto"/>
            <w:hideMark/>
          </w:tcPr>
          <w:p w14:paraId="27F3C710" w14:textId="77777777" w:rsidR="0009631C" w:rsidRPr="0009631C" w:rsidRDefault="0009631C" w:rsidP="0009631C">
            <w:pPr>
              <w:spacing w:after="200" w:line="276" w:lineRule="auto"/>
            </w:pPr>
            <w:r w:rsidRPr="0009631C">
              <w:t>Task 4. Specify implementation strategies</w:t>
            </w:r>
          </w:p>
        </w:tc>
        <w:tc>
          <w:tcPr>
            <w:tcW w:w="0" w:type="auto"/>
            <w:hideMark/>
          </w:tcPr>
          <w:p w14:paraId="4E287E36" w14:textId="77777777" w:rsidR="0009631C" w:rsidRPr="0009631C" w:rsidRDefault="0009631C" w:rsidP="0009631C">
            <w:pPr>
              <w:spacing w:after="200" w:line="276" w:lineRule="auto"/>
              <w:cnfStyle w:val="000000000000" w:firstRow="0" w:lastRow="0" w:firstColumn="0" w:lastColumn="0" w:oddVBand="0" w:evenVBand="0" w:oddHBand="0" w:evenHBand="0" w:firstRowFirstColumn="0" w:firstRowLastColumn="0" w:lastRowFirstColumn="0" w:lastRowLastColumn="0"/>
            </w:pPr>
            <w:r w:rsidRPr="0009631C">
              <w:t>Linked determinants to strategies including demand creation, referral strengthening, sanitation marketing, artisan capacity building, microfinance linkage, school-based MHM interventions, governance strengthening, and routine review mechanisms.</w:t>
            </w:r>
          </w:p>
        </w:tc>
      </w:tr>
      <w:tr w:rsidR="0009631C" w:rsidRPr="0009631C" w14:paraId="434B21CA" w14:textId="77777777" w:rsidTr="000963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F70B25" w14:textId="77777777" w:rsidR="0009631C" w:rsidRPr="0009631C" w:rsidRDefault="0009631C" w:rsidP="0009631C">
            <w:pPr>
              <w:spacing w:after="200" w:line="276" w:lineRule="auto"/>
            </w:pPr>
            <w:r w:rsidRPr="0009631C">
              <w:t>Task 5. Define evaluation and learning processes</w:t>
            </w:r>
          </w:p>
        </w:tc>
        <w:tc>
          <w:tcPr>
            <w:tcW w:w="0" w:type="auto"/>
            <w:hideMark/>
          </w:tcPr>
          <w:p w14:paraId="01736736" w14:textId="77777777" w:rsidR="0009631C" w:rsidRPr="0009631C" w:rsidRDefault="0009631C" w:rsidP="0009631C">
            <w:pPr>
              <w:spacing w:after="200" w:line="276" w:lineRule="auto"/>
              <w:cnfStyle w:val="000000100000" w:firstRow="0" w:lastRow="0" w:firstColumn="0" w:lastColumn="0" w:oddVBand="0" w:evenVBand="0" w:oddHBand="1" w:evenHBand="0" w:firstRowFirstColumn="0" w:firstRowLastColumn="0" w:lastRowFirstColumn="0" w:lastRowLastColumn="0"/>
            </w:pPr>
            <w:r w:rsidRPr="0009631C">
              <w:t xml:space="preserve">Used Outcome Mapping and Outcome Harvesting to document actor-level change, substantiate outcomes, </w:t>
            </w:r>
            <w:proofErr w:type="spellStart"/>
            <w:r w:rsidRPr="0009631C">
              <w:t>analyse</w:t>
            </w:r>
            <w:proofErr w:type="spellEnd"/>
            <w:r w:rsidRPr="0009631C">
              <w:t xml:space="preserve"> contribution pathways, and generate implementation learning.</w:t>
            </w:r>
          </w:p>
        </w:tc>
      </w:tr>
    </w:tbl>
    <w:p w14:paraId="30FBF852" w14:textId="77777777" w:rsidR="0009631C" w:rsidRDefault="0009631C"/>
    <w:sectPr w:rsidR="0009631C" w:rsidSect="00034616">
      <w:pgSz w:w="15840" w:h="12240" w:orient="landscape"/>
      <w:pgMar w:top="720" w:right="648" w:bottom="720"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50637346">
    <w:abstractNumId w:val="8"/>
  </w:num>
  <w:num w:numId="2" w16cid:durableId="738016682">
    <w:abstractNumId w:val="6"/>
  </w:num>
  <w:num w:numId="3" w16cid:durableId="1733501966">
    <w:abstractNumId w:val="5"/>
  </w:num>
  <w:num w:numId="4" w16cid:durableId="1446583067">
    <w:abstractNumId w:val="4"/>
  </w:num>
  <w:num w:numId="5" w16cid:durableId="903835051">
    <w:abstractNumId w:val="7"/>
  </w:num>
  <w:num w:numId="6" w16cid:durableId="1243877942">
    <w:abstractNumId w:val="3"/>
  </w:num>
  <w:num w:numId="7" w16cid:durableId="1091924447">
    <w:abstractNumId w:val="2"/>
  </w:num>
  <w:num w:numId="8" w16cid:durableId="1151098869">
    <w:abstractNumId w:val="1"/>
  </w:num>
  <w:num w:numId="9" w16cid:durableId="907765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2CB6"/>
    <w:rsid w:val="00034616"/>
    <w:rsid w:val="0006063C"/>
    <w:rsid w:val="0009631C"/>
    <w:rsid w:val="0011174B"/>
    <w:rsid w:val="0015074B"/>
    <w:rsid w:val="001C7555"/>
    <w:rsid w:val="0029639D"/>
    <w:rsid w:val="003238FC"/>
    <w:rsid w:val="00326F90"/>
    <w:rsid w:val="006F516B"/>
    <w:rsid w:val="00715FA7"/>
    <w:rsid w:val="00827E2B"/>
    <w:rsid w:val="0099103F"/>
    <w:rsid w:val="00A00938"/>
    <w:rsid w:val="00AA1D8D"/>
    <w:rsid w:val="00B47730"/>
    <w:rsid w:val="00B65502"/>
    <w:rsid w:val="00B73CF5"/>
    <w:rsid w:val="00B902A1"/>
    <w:rsid w:val="00BE7A89"/>
    <w:rsid w:val="00CB0664"/>
    <w:rsid w:val="00CF43BF"/>
    <w:rsid w:val="00E5398B"/>
    <w:rsid w:val="00EF15D1"/>
    <w:rsid w:val="00F111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E0C9239-20DE-4DB2-8B47-6C349FF6C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PlainTable1">
    <w:name w:val="Plain Table 1"/>
    <w:basedOn w:val="TableNormal"/>
    <w:uiPriority w:val="99"/>
    <w:rsid w:val="00B6550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1523</Words>
  <Characters>8683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14</cp:revision>
  <dcterms:created xsi:type="dcterms:W3CDTF">2013-12-23T23:15:00Z</dcterms:created>
  <dcterms:modified xsi:type="dcterms:W3CDTF">2026-07-03T11:12:00Z</dcterms:modified>
  <cp:category/>
</cp:coreProperties>
</file>