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C970" w14:textId="77777777" w:rsidR="0081061D" w:rsidRPr="00670B62" w:rsidRDefault="0081061D" w:rsidP="0081061D">
      <w:pPr>
        <w:spacing w:line="240" w:lineRule="auto"/>
        <w:rPr>
          <w:rFonts w:ascii="Times New Roman" w:hAnsi="Times New Roman" w:cs="Times New Roman"/>
          <w:b/>
          <w:bCs/>
        </w:rPr>
      </w:pPr>
      <w:r w:rsidRPr="00670B62">
        <w:rPr>
          <w:rFonts w:ascii="Times New Roman" w:hAnsi="Times New Roman" w:cs="Times New Roman"/>
          <w:b/>
          <w:bCs/>
        </w:rPr>
        <w:t xml:space="preserve">Table I:  </w:t>
      </w:r>
      <w:r w:rsidRPr="00670B62">
        <w:rPr>
          <w:rFonts w:ascii="Times New Roman" w:hAnsi="Times New Roman" w:cs="Times New Roman"/>
          <w:b/>
        </w:rPr>
        <w:t>PC-NAKI Risk Categories and Corresponding Early AKI Prevention Bundles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8"/>
        <w:gridCol w:w="1241"/>
        <w:gridCol w:w="6541"/>
      </w:tblGrid>
      <w:tr w:rsidR="0081061D" w:rsidRPr="00670B62" w14:paraId="17F055AA" w14:textId="77777777" w:rsidTr="006C540A">
        <w:trPr>
          <w:jc w:val="center"/>
        </w:trPr>
        <w:tc>
          <w:tcPr>
            <w:tcW w:w="1800" w:type="dxa"/>
            <w:shd w:val="clear" w:color="auto" w:fill="D9EAF7"/>
            <w:vAlign w:val="center"/>
          </w:tcPr>
          <w:p w14:paraId="5FF4BDDB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b/>
                <w:sz w:val="20"/>
              </w:rPr>
              <w:t>PC-NAKI Risk Level</w:t>
            </w:r>
          </w:p>
        </w:tc>
        <w:tc>
          <w:tcPr>
            <w:tcW w:w="1440" w:type="dxa"/>
            <w:shd w:val="clear" w:color="auto" w:fill="D9EAF7"/>
            <w:vAlign w:val="center"/>
          </w:tcPr>
          <w:p w14:paraId="4B24512D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b/>
                <w:sz w:val="20"/>
              </w:rPr>
              <w:t>Score Range</w:t>
            </w:r>
          </w:p>
        </w:tc>
        <w:tc>
          <w:tcPr>
            <w:tcW w:w="8496" w:type="dxa"/>
            <w:shd w:val="clear" w:color="auto" w:fill="D9EAF7"/>
            <w:vAlign w:val="center"/>
          </w:tcPr>
          <w:p w14:paraId="4B4B044A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b/>
                <w:sz w:val="20"/>
              </w:rPr>
              <w:t>Recommended AKI Prevention Bundle</w:t>
            </w:r>
          </w:p>
        </w:tc>
      </w:tr>
      <w:tr w:rsidR="0081061D" w:rsidRPr="00670B62" w14:paraId="7B73DF90" w14:textId="77777777" w:rsidTr="006C540A">
        <w:trPr>
          <w:jc w:val="center"/>
        </w:trPr>
        <w:tc>
          <w:tcPr>
            <w:tcW w:w="1800" w:type="dxa"/>
          </w:tcPr>
          <w:p w14:paraId="7A1318DF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b/>
                <w:sz w:val="19"/>
              </w:rPr>
              <w:t>Low</w:t>
            </w:r>
          </w:p>
        </w:tc>
        <w:tc>
          <w:tcPr>
            <w:tcW w:w="1440" w:type="dxa"/>
          </w:tcPr>
          <w:p w14:paraId="49AE131B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0–5</w:t>
            </w:r>
          </w:p>
        </w:tc>
        <w:tc>
          <w:tcPr>
            <w:tcW w:w="8496" w:type="dxa"/>
          </w:tcPr>
          <w:p w14:paraId="361FC275" w14:textId="77777777" w:rsidR="0081061D" w:rsidRPr="00670B62" w:rsidRDefault="0081061D" w:rsidP="006C540A">
            <w:pPr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Routine NICU monitoring per local practice; maintain awareness of nephrotoxic exposures; document baseline fluid balance goals.</w:t>
            </w:r>
          </w:p>
        </w:tc>
      </w:tr>
      <w:tr w:rsidR="0081061D" w:rsidRPr="00670B62" w14:paraId="09DD314D" w14:textId="77777777" w:rsidTr="006C540A">
        <w:trPr>
          <w:jc w:val="center"/>
        </w:trPr>
        <w:tc>
          <w:tcPr>
            <w:tcW w:w="1800" w:type="dxa"/>
          </w:tcPr>
          <w:p w14:paraId="27548815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b/>
                <w:sz w:val="19"/>
              </w:rPr>
              <w:t>Moderate</w:t>
            </w:r>
          </w:p>
        </w:tc>
        <w:tc>
          <w:tcPr>
            <w:tcW w:w="1440" w:type="dxa"/>
          </w:tcPr>
          <w:p w14:paraId="70F54F57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6–10</w:t>
            </w:r>
          </w:p>
        </w:tc>
        <w:tc>
          <w:tcPr>
            <w:tcW w:w="8496" w:type="dxa"/>
          </w:tcPr>
          <w:p w14:paraId="0DF1A1E9" w14:textId="77777777" w:rsidR="0081061D" w:rsidRPr="00670B62" w:rsidRDefault="0081061D" w:rsidP="006C540A">
            <w:pPr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Strict intake/output monitoring and daily fluid balance review; nephrotoxin stewardship; trend serum creatinine and electrolytes according to unit practice; document AKI risk status in the handoff/problem list.</w:t>
            </w:r>
          </w:p>
        </w:tc>
      </w:tr>
      <w:tr w:rsidR="0081061D" w:rsidRPr="00670B62" w14:paraId="2919F13B" w14:textId="77777777" w:rsidTr="006C540A">
        <w:trPr>
          <w:jc w:val="center"/>
        </w:trPr>
        <w:tc>
          <w:tcPr>
            <w:tcW w:w="1800" w:type="dxa"/>
          </w:tcPr>
          <w:p w14:paraId="05B91FA8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b/>
                <w:sz w:val="19"/>
              </w:rPr>
              <w:t>High</w:t>
            </w:r>
          </w:p>
        </w:tc>
        <w:tc>
          <w:tcPr>
            <w:tcW w:w="1440" w:type="dxa"/>
          </w:tcPr>
          <w:p w14:paraId="2A002ADA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11–15</w:t>
            </w:r>
          </w:p>
        </w:tc>
        <w:tc>
          <w:tcPr>
            <w:tcW w:w="8496" w:type="dxa"/>
          </w:tcPr>
          <w:p w14:paraId="6378B739" w14:textId="77777777" w:rsidR="0081061D" w:rsidRPr="00670B62" w:rsidRDefault="0081061D" w:rsidP="006C540A">
            <w:pPr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Early nephrology review/consultation based on local workflow; tighter nephrotoxin restrictions with pharmacy review and therapeutic drug monitoring when indicated; daily multidisciplinary review of perfusion, hemodynamics, and fluid overload risk; standardized AKI monitoring pathway; explicit escalation plan if oliguria or rising serum creatinine develops.</w:t>
            </w:r>
          </w:p>
        </w:tc>
      </w:tr>
      <w:tr w:rsidR="0081061D" w:rsidRPr="00670B62" w14:paraId="0B2BAF15" w14:textId="77777777" w:rsidTr="006C540A">
        <w:trPr>
          <w:jc w:val="center"/>
        </w:trPr>
        <w:tc>
          <w:tcPr>
            <w:tcW w:w="1800" w:type="dxa"/>
          </w:tcPr>
          <w:p w14:paraId="63483102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b/>
                <w:sz w:val="19"/>
              </w:rPr>
              <w:t>Very High</w:t>
            </w:r>
          </w:p>
        </w:tc>
        <w:tc>
          <w:tcPr>
            <w:tcW w:w="1440" w:type="dxa"/>
          </w:tcPr>
          <w:p w14:paraId="638D0BFE" w14:textId="77777777" w:rsidR="0081061D" w:rsidRPr="00670B62" w:rsidRDefault="0081061D" w:rsidP="006C540A">
            <w:pPr>
              <w:jc w:val="center"/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≥16</w:t>
            </w:r>
          </w:p>
        </w:tc>
        <w:tc>
          <w:tcPr>
            <w:tcW w:w="8496" w:type="dxa"/>
          </w:tcPr>
          <w:p w14:paraId="3511E930" w14:textId="77777777" w:rsidR="0081061D" w:rsidRPr="00670B62" w:rsidRDefault="0081061D" w:rsidP="006C540A">
            <w:pPr>
              <w:rPr>
                <w:rFonts w:ascii="Times New Roman" w:hAnsi="Times New Roman" w:cs="Times New Roman"/>
              </w:rPr>
            </w:pPr>
            <w:r w:rsidRPr="00670B62">
              <w:rPr>
                <w:rFonts w:ascii="Times New Roman" w:hAnsi="Times New Roman" w:cs="Times New Roman"/>
                <w:sz w:val="19"/>
              </w:rPr>
              <w:t>High-priority nephrology involvement; aggressive nephrotoxin minimization; close hemodynamic optimization and fluid-balance monitoring; standardized serum creatinine/electrolyte and urine-output surveillance; prominent documentation of risk tier and a predefined escalation pathway for renal support.</w:t>
            </w:r>
          </w:p>
        </w:tc>
      </w:tr>
    </w:tbl>
    <w:p w14:paraId="25E86789" w14:textId="77777777" w:rsidR="0081061D" w:rsidRPr="00670B62" w:rsidRDefault="0081061D" w:rsidP="0081061D">
      <w:pPr>
        <w:spacing w:before="120"/>
        <w:rPr>
          <w:rFonts w:ascii="Times New Roman" w:hAnsi="Times New Roman" w:cs="Times New Roman"/>
        </w:rPr>
      </w:pPr>
      <w:r w:rsidRPr="00670B62">
        <w:rPr>
          <w:rFonts w:ascii="Times New Roman" w:hAnsi="Times New Roman" w:cs="Times New Roman"/>
          <w:b/>
          <w:sz w:val="18"/>
        </w:rPr>
        <w:t xml:space="preserve">Note: </w:t>
      </w:r>
      <w:r w:rsidRPr="00670B62">
        <w:rPr>
          <w:rFonts w:ascii="Times New Roman" w:hAnsi="Times New Roman" w:cs="Times New Roman"/>
          <w:sz w:val="18"/>
        </w:rPr>
        <w:t>PC-NAKI is an investigational risk-stratification tool. The prevention bundle is intended to guide proportional preventive monitoring and mitigation strategies and does not replace clinical judgment or institutional protocols.</w:t>
      </w:r>
    </w:p>
    <w:sectPr w:rsidR="0081061D" w:rsidRPr="00670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1D"/>
    <w:rsid w:val="00032F2C"/>
    <w:rsid w:val="00145354"/>
    <w:rsid w:val="00196F29"/>
    <w:rsid w:val="001B6BF3"/>
    <w:rsid w:val="00241F9D"/>
    <w:rsid w:val="00247D0C"/>
    <w:rsid w:val="002A55A8"/>
    <w:rsid w:val="00351F50"/>
    <w:rsid w:val="00391315"/>
    <w:rsid w:val="003D6178"/>
    <w:rsid w:val="003F256D"/>
    <w:rsid w:val="004529F6"/>
    <w:rsid w:val="00455C3F"/>
    <w:rsid w:val="004A396A"/>
    <w:rsid w:val="004D6303"/>
    <w:rsid w:val="005D7EB6"/>
    <w:rsid w:val="005F6CB4"/>
    <w:rsid w:val="00691C24"/>
    <w:rsid w:val="006E0517"/>
    <w:rsid w:val="00704A3B"/>
    <w:rsid w:val="0075739E"/>
    <w:rsid w:val="0081061D"/>
    <w:rsid w:val="00812AE1"/>
    <w:rsid w:val="00843389"/>
    <w:rsid w:val="008651C8"/>
    <w:rsid w:val="00871A2E"/>
    <w:rsid w:val="00872600"/>
    <w:rsid w:val="008F2B72"/>
    <w:rsid w:val="00924857"/>
    <w:rsid w:val="0095762A"/>
    <w:rsid w:val="00965D16"/>
    <w:rsid w:val="009922BE"/>
    <w:rsid w:val="0099671D"/>
    <w:rsid w:val="009F4C3A"/>
    <w:rsid w:val="00A702B7"/>
    <w:rsid w:val="00A81DB6"/>
    <w:rsid w:val="00A90695"/>
    <w:rsid w:val="00AC6F11"/>
    <w:rsid w:val="00AD3A91"/>
    <w:rsid w:val="00B0734D"/>
    <w:rsid w:val="00B72CEF"/>
    <w:rsid w:val="00BB2014"/>
    <w:rsid w:val="00BC76AA"/>
    <w:rsid w:val="00C44251"/>
    <w:rsid w:val="00C53D30"/>
    <w:rsid w:val="00C64B25"/>
    <w:rsid w:val="00C8154C"/>
    <w:rsid w:val="00CA22C8"/>
    <w:rsid w:val="00CC2584"/>
    <w:rsid w:val="00D164DE"/>
    <w:rsid w:val="00D52F14"/>
    <w:rsid w:val="00D64469"/>
    <w:rsid w:val="00EC128B"/>
    <w:rsid w:val="00F6649F"/>
    <w:rsid w:val="00F7374E"/>
    <w:rsid w:val="00F86C5D"/>
    <w:rsid w:val="00FA75BE"/>
    <w:rsid w:val="00FE0462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6BC200"/>
  <w15:chartTrackingRefBased/>
  <w15:docId w15:val="{59CB5DAC-C6E4-0E47-B6A1-F697405D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61D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81061D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61D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61D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61D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61D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61D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61D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61D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61D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61D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61D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61D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61D"/>
    <w:pPr>
      <w:suppressAutoHyphens w:val="0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61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qFormat/>
    <w:rsid w:val="0081061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</w:rPr>
  </w:style>
  <w:style w:type="table" w:styleId="TableGrid">
    <w:name w:val="Table Grid"/>
    <w:basedOn w:val="TableNormal"/>
    <w:uiPriority w:val="59"/>
    <w:rsid w:val="0081061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Nada, Arwa</dc:creator>
  <cp:keywords/>
  <dc:description/>
  <cp:lastModifiedBy>Nada, Arwa</cp:lastModifiedBy>
  <cp:revision>1</cp:revision>
  <dcterms:created xsi:type="dcterms:W3CDTF">2026-08-17T19:53:00Z</dcterms:created>
  <dcterms:modified xsi:type="dcterms:W3CDTF">2026-08-17T19:53:00Z</dcterms:modified>
</cp:coreProperties>
</file>