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240" w:line="480" w:lineRule="auto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Supplemental Material</w:t>
      </w:r>
    </w:p>
    <w:p>
      <w:pPr>
        <w:spacing w:after="480" w:line="480" w:lineRule="auto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Adverse Childhood Experiences, Vicarious Trauma, and Moral Injury Among Law Enforcement and Child Welfare Professionals: Examining the Buffering Role of Positive Childhood Experiences</w:t>
      </w:r>
    </w:p>
    <w:p>
      <w:pPr>
        <w:spacing w:after="0" w:line="480" w:lineRule="auto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Table S1</w:t>
      </w:r>
    </w:p>
    <w:p>
      <w:pPr>
        <w:spacing w:after="120" w:line="480" w:lineRule="auto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Types of ACEs Experienced by Law Enforcement and Child Welfare Professionals vs. General Population</w:t>
      </w:r>
    </w:p>
    <w:tbl>
      <w:tblPr>
        <w:tblW w:type="dxa" w:w="8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400"/>
        <w:gridCol w:w="1400"/>
        <w:gridCol w:w="1400"/>
        <w:gridCol w:w="1400"/>
      </w:tblGrid>
      <w:tr>
        <w:tc>
          <w:tcPr>
            <w:tcW w:type="dxa" w:w="2800"/>
            <w:tcBorders>
              <w:top w:val="single" w:color="000000" w:sz="4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ACE Type</w:t>
            </w:r>
          </w:p>
        </w:tc>
        <w:tc>
          <w:tcPr>
            <w:tcW w:type="dxa" w:w="1400"/>
            <w:tcBorders>
              <w:top w:val="single" w:color="000000" w:sz="4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Observed n</w:t>
            </w:r>
          </w:p>
        </w:tc>
        <w:tc>
          <w:tcPr>
            <w:tcW w:type="dxa" w:w="1400"/>
            <w:tcBorders>
              <w:top w:val="single" w:color="000000" w:sz="4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Observed %</w:t>
            </w:r>
          </w:p>
        </w:tc>
        <w:tc>
          <w:tcPr>
            <w:tcW w:type="dxa" w:w="1400"/>
            <w:tcBorders>
              <w:top w:val="single" w:color="000000" w:sz="4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Expected n</w:t>
            </w:r>
          </w:p>
        </w:tc>
        <w:tc>
          <w:tcPr>
            <w:tcW w:type="dxa" w:w="1400"/>
            <w:tcBorders>
              <w:top w:val="single" w:color="000000" w:sz="4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Expected %</w:t>
            </w:r>
          </w:p>
        </w:tc>
      </w:tr>
      <w:tr>
        <w:tc>
          <w:tcPr>
            <w:tcW w:type="dxa" w:w="2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Emotional Abuse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28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24.6*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12.1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10.6</w:t>
            </w:r>
          </w:p>
        </w:tc>
      </w:tr>
      <w:tr>
        <w:tc>
          <w:tcPr>
            <w:tcW w:type="dxa" w:w="2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Physical Abuse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29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25.4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32.3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28.3</w:t>
            </w:r>
          </w:p>
        </w:tc>
      </w:tr>
      <w:tr>
        <w:tc>
          <w:tcPr>
            <w:tcW w:type="dxa" w:w="2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Sexual Abuse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16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14.0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23.6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20.7</w:t>
            </w:r>
          </w:p>
        </w:tc>
      </w:tr>
      <w:tr>
        <w:tc>
          <w:tcPr>
            <w:tcW w:type="dxa" w:w="2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Violence in Home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23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20.2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14.5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12.7</w:t>
            </w:r>
          </w:p>
        </w:tc>
      </w:tr>
      <w:tr>
        <w:tc>
          <w:tcPr>
            <w:tcW w:type="dxa" w:w="2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Substance Abuse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31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27.2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30.6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26.9</w:t>
            </w:r>
          </w:p>
        </w:tc>
      </w:tr>
      <w:tr>
        <w:tc>
          <w:tcPr>
            <w:tcW w:type="dxa" w:w="2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Mental Illness in Home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22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19.3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22.1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19.4</w:t>
            </w:r>
          </w:p>
        </w:tc>
      </w:tr>
      <w:tr>
        <w:tc>
          <w:tcPr>
            <w:tcW w:type="dxa" w:w="2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Caregivers Separated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53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46.5*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26.6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23.3</w:t>
            </w:r>
          </w:p>
        </w:tc>
      </w:tr>
      <w:tr>
        <w:tc>
          <w:tcPr>
            <w:tcW w:type="dxa" w:w="2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Family Member in Prison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14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12.3*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5.4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4.7</w:t>
            </w:r>
          </w:p>
        </w:tc>
      </w:tr>
      <w:tr>
        <w:tc>
          <w:tcPr>
            <w:tcW w:type="dxa" w:w="2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Emotional Neglect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19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16.7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16.9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14.8</w:t>
            </w:r>
          </w:p>
        </w:tc>
      </w:tr>
      <w:tr>
        <w:tc>
          <w:tcPr>
            <w:tcW w:type="dxa" w:w="28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Physical Neglect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7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6.1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11.3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9.9</w:t>
            </w:r>
          </w:p>
        </w:tc>
      </w:tr>
    </w:tbl>
    <w:p>
      <w:pPr>
        <w:spacing w:after="240" w:line="480" w:lineRule="auto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Note. Expected values derived from Felitti et al. (1998). *p &lt; .05.</w:t>
      </w:r>
    </w:p>
    <w:p>
      <w:r>
        <w:br w:type="page"/>
      </w:r>
    </w:p>
    <w:p>
      <w:pPr>
        <w:spacing w:after="0" w:line="480" w:lineRule="auto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Table S2</w:t>
      </w:r>
    </w:p>
    <w:p>
      <w:pPr>
        <w:spacing w:after="120" w:line="480" w:lineRule="auto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Types of Positive Childhood Experiences (PCEs) Experienced by Law Enforcement and Child Welfare Professionals (N = 114)</w:t>
      </w:r>
    </w:p>
    <w:tbl>
      <w:tblPr>
        <w:tblW w:type="dxa" w:w="8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1400"/>
        <w:gridCol w:w="1400"/>
      </w:tblGrid>
      <w:tr>
        <w:tc>
          <w:tcPr>
            <w:tcW w:type="dxa" w:w="5200"/>
            <w:tcBorders>
              <w:top w:val="single" w:color="000000" w:sz="4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PCE Type</w:t>
            </w:r>
          </w:p>
        </w:tc>
        <w:tc>
          <w:tcPr>
            <w:tcW w:type="dxa" w:w="1400"/>
            <w:tcBorders>
              <w:top w:val="single" w:color="000000" w:sz="4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n</w:t>
            </w:r>
          </w:p>
        </w:tc>
        <w:tc>
          <w:tcPr>
            <w:tcW w:type="dxa" w:w="1400"/>
            <w:tcBorders>
              <w:top w:val="single" w:color="000000" w:sz="4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%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Talked with Family Regarding Feelings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71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62.3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Family Was Supportive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97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85.1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Enjoyed Community Traditions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91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79.8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Sense of Belonging in High School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86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75.4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Supported by Friends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104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91.2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At Least Two Non-Parental Adults Who Cared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105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92.1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Felt Protected by an Adult at Home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105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92.1</w:t>
            </w:r>
          </w:p>
        </w:tc>
      </w:tr>
    </w:tbl>
    <w:p>
      <w:pPr>
        <w:spacing w:after="240" w:line="480" w:lineRule="auto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Note. Percentages reflect the proportion of participants endorsing each item on the Positive Childhood Experiences Questionnaire (Bethell et al., 2019).</w:t>
      </w:r>
    </w:p>
    <w:sectPr>
      <w:head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 w:line="240" w:lineRule="auto"/>
    </w:pPr>
    <w:r>
      <w:rPr>
        <w:rFonts w:ascii="Times New Roman" w:cs="Times New Roman" w:eastAsia="Times New Roman" w:hAnsi="Times New Roman"/>
        <w:sz w:val="24"/>
        <w:szCs w:val="24"/>
      </w:rPr>
      <w:t xml:space="preserve">ACES, VICARIOUS TRAUMA, AND MORAL INJURY</w:t>
    </w:r>
    <w:r>
      <w:rPr>
        <w:rFonts w:ascii="Times New Roman" w:cs="Times New Roman" w:eastAsia="Times New Roman" w:hAnsi="Times New Roman"/>
        <w:sz w:val="24"/>
        <w:szCs w:val="24"/>
      </w:rPr>
      <w:t xml:space="preserve">	</w:t>
    </w:r>
    <w:r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2026-07-17T21:31:12.665Z</dcterms:created>
  <dcterms:modified xsi:type="dcterms:W3CDTF">2026-07-17T21:31:12.676Z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