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693E5" w14:textId="043C86AB" w:rsidR="005E5625" w:rsidRPr="005E5625" w:rsidRDefault="005E5625" w:rsidP="005E5625">
      <w:r w:rsidRPr="005E5625">
        <w:rPr>
          <w:b/>
          <w:bCs/>
        </w:rPr>
        <w:t>Supplementary File S1.</w:t>
      </w:r>
      <w:r w:rsidRPr="005E5625">
        <w:t> </w:t>
      </w:r>
      <w:r w:rsidR="00FA1111" w:rsidRPr="00FA1111">
        <w:t xml:space="preserve"> </w:t>
      </w:r>
      <w:r w:rsidR="005E0F6C" w:rsidRPr="005E0F6C">
        <w:t>Thematic Codebook Used for Qualitative Analysis of Food Systems Governance and Implementation of Nutrition-Sensitive Agriculture in Ethiopia</w:t>
      </w:r>
      <w:r w:rsidR="00601724">
        <w:t>.</w:t>
      </w:r>
    </w:p>
    <w:p w14:paraId="1E14A5BD" w14:textId="5D1706C4" w:rsidR="005E5625" w:rsidRPr="005E5625" w:rsidRDefault="005E5625" w:rsidP="005E5625"/>
    <w:p w14:paraId="19270C91" w14:textId="77777777" w:rsidR="005E5625" w:rsidRPr="005E5625" w:rsidRDefault="005E5625" w:rsidP="005E5625">
      <w:r w:rsidRPr="005E5625">
        <w:rPr>
          <w:b/>
          <w:bCs/>
        </w:rPr>
        <w:t>1. Codebook Purpose</w:t>
      </w:r>
    </w:p>
    <w:p w14:paraId="5E1B1AFF" w14:textId="77777777" w:rsidR="00CE059B" w:rsidRDefault="00CE059B" w:rsidP="005E5625">
      <w:r w:rsidRPr="00CE059B">
        <w:t>This codebook guided the thematic analysis of 51 key informant interviews conducted to assess the implementation of nutrition-sensitive agriculture in Ethiopia following the launch of the National Nutrition-Sensitive Agriculture (NSA) Strategy in 2017. Qualitative data collection was conducted between August and October 2023 and examined how governance functions shaped implementation across federal, regional, and local administrative levels. The initial coding framework was developed deductively from the study conceptual framework, implementation science literature, institutional theory, and governance frameworks. The codebook was refined iteratively during analysis and was used to ensure consistency and transparency throughout the qualitative analysis.</w:t>
      </w:r>
    </w:p>
    <w:p w14:paraId="1EA8BB16" w14:textId="4795EFBE" w:rsidR="005E5625" w:rsidRPr="005E5625" w:rsidRDefault="005E5625" w:rsidP="005E5625">
      <w:r w:rsidRPr="005E5625">
        <w:rPr>
          <w:b/>
          <w:bCs/>
        </w:rPr>
        <w:t>2. Coding Approach</w:t>
      </w:r>
    </w:p>
    <w:p w14:paraId="4A1E0146" w14:textId="482971DD" w:rsidR="005E5625" w:rsidRPr="005E5625" w:rsidRDefault="005E5625" w:rsidP="005E5625">
      <w:r w:rsidRPr="005E5625">
        <w:t>Coding was primarily deductive using the predefined codebook. During analysis, additional inductive codes were incorporated where necessary to capture implementation issues not anticipated in the initial framework. The five governance domains constituted the primary coding structure; Governance Depth was subsequently developed through cross-domain synthesis and was not coded as an independent first-order category.</w:t>
      </w:r>
      <w:r w:rsidR="00752539">
        <w:t xml:space="preserve"> </w:t>
      </w:r>
      <w:r w:rsidR="00752539" w:rsidRPr="00752539">
        <w:t>Coding was conducted across the different administrative levels represented in the interviews to facilitate comparison of how governance functions were institutionalized and sustained from national to sub-national levels.</w:t>
      </w:r>
    </w:p>
    <w:p w14:paraId="7C23C2CD" w14:textId="362208B9" w:rsidR="005E5625" w:rsidRPr="005E5625" w:rsidRDefault="005E5625" w:rsidP="005E5625">
      <w:r w:rsidRPr="005E5625">
        <w:rPr>
          <w:b/>
          <w:bCs/>
        </w:rPr>
        <w:t xml:space="preserve">3. </w:t>
      </w:r>
      <w:r w:rsidR="004E4927" w:rsidRPr="004E4927">
        <w:rPr>
          <w:b/>
          <w:bCs/>
        </w:rPr>
        <w:t>Food Systems Governance Depth as a Higher-Order Analytical Construct</w:t>
      </w:r>
    </w:p>
    <w:p w14:paraId="6D5B24EE" w14:textId="221B9EEE" w:rsidR="002C6D19" w:rsidRDefault="00A30955">
      <w:pPr>
        <w:rPr>
          <w:rFonts w:ascii="Times New Roman" w:eastAsia="Times New Roman" w:hAnsi="Times New Roman" w:cs="Times New Roman"/>
          <w:kern w:val="0"/>
          <w14:ligatures w14:val="none"/>
        </w:rPr>
      </w:pPr>
      <w:r w:rsidRPr="00A30955">
        <w:t xml:space="preserve">Food Systems Governance Depth (FSGD) was not developed as an a priori coding category nor coded independently during the first stage of qualitative analysis. Instead, it emerged during the integration phase of the mixed-methods analysis as a higher-order analytical construct used to explain variation in implementation performance across administrative levels. Initial coding was conducted using the five core governance domains of the conceptual framework: leadership, financing, coordination, accountability, and institutional capacity. Gender-responsive implementation was examined as a cross-cutting </w:t>
      </w:r>
      <w:r w:rsidRPr="00A30955">
        <w:lastRenderedPageBreak/>
        <w:t>dimension of implementation. These findings were subsequently triangulated with evidence from the structured document review and quantitative analyses, including agricultural production, national food availability, and child dietary diversity. Cross-domain analysis showed that implementation performance depended not on any single governance function, but on the extent to which these functions became embedded, mutually reinforcing, and sustained across successive administrative levels. FSGD therefore served as the integrative analytical lens used to interpret implementation performance and the observed gaps along the pathway from agricultural production to food availability and child dietary diversity</w:t>
      </w:r>
      <w:r w:rsidR="0073237F">
        <w:t xml:space="preserve">. </w:t>
      </w:r>
    </w:p>
    <w:p w14:paraId="38F68810" w14:textId="4AB61804" w:rsidR="00142D56" w:rsidRDefault="00142D56">
      <w:r w:rsidRPr="00142D56">
        <w:t>Qualitative findings were subsequently integrated with quantitative evidence on agricultural production, national per-capita food availability, and child dietary diversity during the interpretation phase. Quantitative indicators were not coded within the qualitative codebook. Rather, they were used in the triangulation process to examine whether observed governance patterns were consistent with changes or persistent gaps along the food-system pathway.</w:t>
      </w:r>
    </w:p>
    <w:p w14:paraId="33539E33" w14:textId="77777777" w:rsidR="002C6D19" w:rsidRDefault="002C6D19">
      <w:pPr>
        <w:rPr>
          <w:b/>
          <w:bCs/>
        </w:rPr>
      </w:pPr>
    </w:p>
    <w:p w14:paraId="5196BEAC" w14:textId="5CA4A4D0" w:rsidR="00B80609" w:rsidRDefault="00631846">
      <w:r w:rsidRPr="00BB3818">
        <w:rPr>
          <w:b/>
          <w:bCs/>
        </w:rPr>
        <w:t xml:space="preserve">Table </w:t>
      </w:r>
      <w:r w:rsidR="00BB3818">
        <w:rPr>
          <w:b/>
          <w:bCs/>
        </w:rPr>
        <w:t>A</w:t>
      </w:r>
      <w:r w:rsidRPr="00BB3818">
        <w:rPr>
          <w:b/>
          <w:bCs/>
        </w:rPr>
        <w:t>:</w:t>
      </w:r>
      <w:r>
        <w:t xml:space="preserve"> The five governance domains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81"/>
        <w:gridCol w:w="2164"/>
        <w:gridCol w:w="2494"/>
        <w:gridCol w:w="6611"/>
      </w:tblGrid>
      <w:tr w:rsidR="00B20046" w:rsidRPr="00B20046" w14:paraId="5939463D" w14:textId="77777777" w:rsidTr="00B20046">
        <w:trPr>
          <w:tblHeader/>
        </w:trPr>
        <w:tc>
          <w:tcPr>
            <w:tcW w:w="0" w:type="auto"/>
            <w:shd w:val="clear" w:color="auto" w:fill="FFFFFF"/>
            <w:tcMar>
              <w:top w:w="150" w:type="dxa"/>
              <w:left w:w="0" w:type="dxa"/>
              <w:bottom w:w="150" w:type="dxa"/>
              <w:right w:w="240" w:type="dxa"/>
            </w:tcMar>
            <w:vAlign w:val="center"/>
            <w:hideMark/>
          </w:tcPr>
          <w:p w14:paraId="5B2E1769" w14:textId="77777777" w:rsidR="00B80609" w:rsidRDefault="00B80609" w:rsidP="00B20046">
            <w:pPr>
              <w:rPr>
                <w:rFonts w:ascii="Times New Roman" w:hAnsi="Times New Roman" w:cs="Times New Roman"/>
                <w:b/>
                <w:bCs/>
                <w:sz w:val="20"/>
                <w:szCs w:val="20"/>
              </w:rPr>
            </w:pPr>
          </w:p>
          <w:p w14:paraId="70485507" w14:textId="5519D5DB"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b/>
                <w:bCs/>
                <w:sz w:val="20"/>
                <w:szCs w:val="20"/>
              </w:rPr>
              <w:t>Themes</w:t>
            </w:r>
          </w:p>
        </w:tc>
        <w:tc>
          <w:tcPr>
            <w:tcW w:w="0" w:type="auto"/>
            <w:shd w:val="clear" w:color="auto" w:fill="FFFFFF"/>
            <w:tcMar>
              <w:top w:w="150" w:type="dxa"/>
              <w:left w:w="240" w:type="dxa"/>
              <w:bottom w:w="150" w:type="dxa"/>
              <w:right w:w="240" w:type="dxa"/>
            </w:tcMar>
            <w:vAlign w:val="center"/>
            <w:hideMark/>
          </w:tcPr>
          <w:p w14:paraId="21F2E368" w14:textId="768E9C56"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b/>
                <w:bCs/>
                <w:sz w:val="20"/>
                <w:szCs w:val="20"/>
              </w:rPr>
              <w:t>Sub-categories</w:t>
            </w:r>
          </w:p>
        </w:tc>
        <w:tc>
          <w:tcPr>
            <w:tcW w:w="0" w:type="auto"/>
            <w:shd w:val="clear" w:color="auto" w:fill="FFFFFF"/>
            <w:tcMar>
              <w:top w:w="150" w:type="dxa"/>
              <w:left w:w="240" w:type="dxa"/>
              <w:bottom w:w="150" w:type="dxa"/>
              <w:right w:w="240" w:type="dxa"/>
            </w:tcMar>
            <w:vAlign w:val="center"/>
            <w:hideMark/>
          </w:tcPr>
          <w:p w14:paraId="7E0ADBFA" w14:textId="0EB21649"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b/>
                <w:bCs/>
                <w:sz w:val="20"/>
                <w:szCs w:val="20"/>
              </w:rPr>
              <w:t>Codes</w:t>
            </w:r>
          </w:p>
        </w:tc>
        <w:tc>
          <w:tcPr>
            <w:tcW w:w="0" w:type="auto"/>
            <w:shd w:val="clear" w:color="auto" w:fill="FFFFFF"/>
            <w:tcMar>
              <w:top w:w="150" w:type="dxa"/>
              <w:left w:w="240" w:type="dxa"/>
              <w:bottom w:w="150" w:type="dxa"/>
              <w:right w:w="240" w:type="dxa"/>
            </w:tcMar>
            <w:vAlign w:val="center"/>
            <w:hideMark/>
          </w:tcPr>
          <w:p w14:paraId="01A605CD"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b/>
                <w:bCs/>
                <w:sz w:val="20"/>
                <w:szCs w:val="20"/>
              </w:rPr>
              <w:t>Operational definition</w:t>
            </w:r>
          </w:p>
        </w:tc>
      </w:tr>
      <w:tr w:rsidR="00631846" w:rsidRPr="00B20046" w14:paraId="2A6A2D65" w14:textId="77777777" w:rsidTr="00B20046">
        <w:tc>
          <w:tcPr>
            <w:tcW w:w="0" w:type="auto"/>
            <w:vMerge w:val="restart"/>
            <w:shd w:val="clear" w:color="auto" w:fill="FFFFFF"/>
            <w:tcMar>
              <w:top w:w="150" w:type="dxa"/>
              <w:left w:w="0" w:type="dxa"/>
              <w:bottom w:w="150" w:type="dxa"/>
              <w:right w:w="240" w:type="dxa"/>
            </w:tcMar>
            <w:vAlign w:val="center"/>
            <w:hideMark/>
          </w:tcPr>
          <w:p w14:paraId="054877EB"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b/>
                <w:bCs/>
                <w:sz w:val="20"/>
                <w:szCs w:val="20"/>
              </w:rPr>
              <w:t>Leadership</w:t>
            </w:r>
          </w:p>
        </w:tc>
        <w:tc>
          <w:tcPr>
            <w:tcW w:w="0" w:type="auto"/>
            <w:vMerge w:val="restart"/>
            <w:shd w:val="clear" w:color="auto" w:fill="FFFFFF"/>
            <w:tcMar>
              <w:top w:w="150" w:type="dxa"/>
              <w:left w:w="240" w:type="dxa"/>
              <w:bottom w:w="150" w:type="dxa"/>
              <w:right w:w="240" w:type="dxa"/>
            </w:tcMar>
            <w:vAlign w:val="center"/>
            <w:hideMark/>
          </w:tcPr>
          <w:p w14:paraId="482D2493"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Political Commitment</w:t>
            </w:r>
          </w:p>
        </w:tc>
        <w:tc>
          <w:tcPr>
            <w:tcW w:w="0" w:type="auto"/>
            <w:shd w:val="clear" w:color="auto" w:fill="FFFFFF"/>
            <w:tcMar>
              <w:top w:w="150" w:type="dxa"/>
              <w:left w:w="240" w:type="dxa"/>
              <w:bottom w:w="150" w:type="dxa"/>
              <w:right w:w="240" w:type="dxa"/>
            </w:tcMar>
            <w:vAlign w:val="center"/>
            <w:hideMark/>
          </w:tcPr>
          <w:p w14:paraId="06E0E9B5"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High-level ownership</w:t>
            </w:r>
          </w:p>
        </w:tc>
        <w:tc>
          <w:tcPr>
            <w:tcW w:w="0" w:type="auto"/>
            <w:shd w:val="clear" w:color="auto" w:fill="FFFFFF"/>
            <w:tcMar>
              <w:top w:w="150" w:type="dxa"/>
              <w:left w:w="240" w:type="dxa"/>
              <w:bottom w:w="150" w:type="dxa"/>
              <w:right w:w="0" w:type="dxa"/>
            </w:tcMar>
            <w:vAlign w:val="center"/>
            <w:hideMark/>
          </w:tcPr>
          <w:p w14:paraId="7D72711C"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Evidence of sustained commitment from senior government officials (State Minister, bureau heads) to NSA implementation. Example: Directives issued, public statements made, strategy formally approved and endorsed.</w:t>
            </w:r>
          </w:p>
        </w:tc>
      </w:tr>
      <w:tr w:rsidR="00631846" w:rsidRPr="00B20046" w14:paraId="42453EB4" w14:textId="77777777" w:rsidTr="00B20046">
        <w:tc>
          <w:tcPr>
            <w:tcW w:w="0" w:type="auto"/>
            <w:vMerge/>
            <w:shd w:val="clear" w:color="auto" w:fill="FFFFFF"/>
            <w:tcMar>
              <w:top w:w="150" w:type="dxa"/>
              <w:left w:w="0" w:type="dxa"/>
              <w:bottom w:w="150" w:type="dxa"/>
              <w:right w:w="240" w:type="dxa"/>
            </w:tcMar>
            <w:vAlign w:val="center"/>
            <w:hideMark/>
          </w:tcPr>
          <w:p w14:paraId="465C36A9"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5AA9C95C"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E9EB1B4"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Leadership continuity</w:t>
            </w:r>
          </w:p>
        </w:tc>
        <w:tc>
          <w:tcPr>
            <w:tcW w:w="0" w:type="auto"/>
            <w:shd w:val="clear" w:color="auto" w:fill="FFFFFF"/>
            <w:tcMar>
              <w:top w:w="150" w:type="dxa"/>
              <w:left w:w="240" w:type="dxa"/>
              <w:bottom w:w="150" w:type="dxa"/>
              <w:right w:w="0" w:type="dxa"/>
            </w:tcMar>
            <w:vAlign w:val="center"/>
            <w:hideMark/>
          </w:tcPr>
          <w:p w14:paraId="691413B7"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Stability of leadership positions throughout the strategy period (2017–2021). Absence of frequent turnover that disrupts institutional memory and implementation momentum.</w:t>
            </w:r>
          </w:p>
        </w:tc>
      </w:tr>
      <w:tr w:rsidR="00631846" w:rsidRPr="00B20046" w14:paraId="2F5E2E1B" w14:textId="77777777" w:rsidTr="00B20046">
        <w:tc>
          <w:tcPr>
            <w:tcW w:w="0" w:type="auto"/>
            <w:vMerge/>
            <w:shd w:val="clear" w:color="auto" w:fill="FFFFFF"/>
            <w:tcMar>
              <w:top w:w="150" w:type="dxa"/>
              <w:left w:w="0" w:type="dxa"/>
              <w:bottom w:w="150" w:type="dxa"/>
              <w:right w:w="240" w:type="dxa"/>
            </w:tcMar>
            <w:vAlign w:val="center"/>
            <w:hideMark/>
          </w:tcPr>
          <w:p w14:paraId="75835674"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4A98A2E4"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CADDD51"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Strategic vision articulation</w:t>
            </w:r>
          </w:p>
        </w:tc>
        <w:tc>
          <w:tcPr>
            <w:tcW w:w="0" w:type="auto"/>
            <w:shd w:val="clear" w:color="auto" w:fill="FFFFFF"/>
            <w:tcMar>
              <w:top w:w="150" w:type="dxa"/>
              <w:left w:w="240" w:type="dxa"/>
              <w:bottom w:w="150" w:type="dxa"/>
              <w:right w:w="0" w:type="dxa"/>
            </w:tcMar>
            <w:vAlign w:val="center"/>
            <w:hideMark/>
          </w:tcPr>
          <w:p w14:paraId="15105A20"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Extent to which leaders clearly communicated NSA goals, rationale, and expected outcomes to staff and stakeholders at all levels.</w:t>
            </w:r>
          </w:p>
        </w:tc>
      </w:tr>
      <w:tr w:rsidR="00631846" w:rsidRPr="00B20046" w14:paraId="0D500DD2" w14:textId="77777777" w:rsidTr="00B20046">
        <w:tc>
          <w:tcPr>
            <w:tcW w:w="0" w:type="auto"/>
            <w:vMerge/>
            <w:shd w:val="clear" w:color="auto" w:fill="FFFFFF"/>
            <w:tcMar>
              <w:top w:w="150" w:type="dxa"/>
              <w:left w:w="0" w:type="dxa"/>
              <w:bottom w:w="150" w:type="dxa"/>
              <w:right w:w="240" w:type="dxa"/>
            </w:tcMar>
            <w:vAlign w:val="center"/>
            <w:hideMark/>
          </w:tcPr>
          <w:p w14:paraId="4B1B894A"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7A6EC0A8"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5E1F900"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Agenda-setting influence</w:t>
            </w:r>
          </w:p>
        </w:tc>
        <w:tc>
          <w:tcPr>
            <w:tcW w:w="0" w:type="auto"/>
            <w:shd w:val="clear" w:color="auto" w:fill="FFFFFF"/>
            <w:tcMar>
              <w:top w:w="150" w:type="dxa"/>
              <w:left w:w="240" w:type="dxa"/>
              <w:bottom w:w="150" w:type="dxa"/>
              <w:right w:w="0" w:type="dxa"/>
            </w:tcMar>
            <w:vAlign w:val="center"/>
            <w:hideMark/>
          </w:tcPr>
          <w:p w14:paraId="491A342A"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Ability of MOA leadership to position nutrition on national policy agendas and influence cross-sectoral prioritization. Example: NSA reflected in high-level forums or cabinet discussions.</w:t>
            </w:r>
          </w:p>
        </w:tc>
      </w:tr>
      <w:tr w:rsidR="00631846" w:rsidRPr="00B20046" w14:paraId="504B3441" w14:textId="77777777" w:rsidTr="00B20046">
        <w:tc>
          <w:tcPr>
            <w:tcW w:w="0" w:type="auto"/>
            <w:vMerge/>
            <w:shd w:val="clear" w:color="auto" w:fill="FFFFFF"/>
            <w:tcMar>
              <w:top w:w="150" w:type="dxa"/>
              <w:left w:w="0" w:type="dxa"/>
              <w:bottom w:w="150" w:type="dxa"/>
              <w:right w:w="240" w:type="dxa"/>
            </w:tcMar>
            <w:vAlign w:val="center"/>
            <w:hideMark/>
          </w:tcPr>
          <w:p w14:paraId="532EED9B" w14:textId="77777777" w:rsidR="00631846" w:rsidRPr="00B20046" w:rsidRDefault="00631846" w:rsidP="00B20046">
            <w:pPr>
              <w:rPr>
                <w:rFonts w:ascii="Times New Roman" w:hAnsi="Times New Roman" w:cs="Times New Roman"/>
                <w:sz w:val="20"/>
                <w:szCs w:val="20"/>
              </w:rPr>
            </w:pPr>
          </w:p>
        </w:tc>
        <w:tc>
          <w:tcPr>
            <w:tcW w:w="0" w:type="auto"/>
            <w:vMerge w:val="restart"/>
            <w:shd w:val="clear" w:color="auto" w:fill="FFFFFF"/>
            <w:tcMar>
              <w:top w:w="150" w:type="dxa"/>
              <w:left w:w="240" w:type="dxa"/>
              <w:bottom w:w="150" w:type="dxa"/>
              <w:right w:w="240" w:type="dxa"/>
            </w:tcMar>
            <w:vAlign w:val="center"/>
            <w:hideMark/>
          </w:tcPr>
          <w:p w14:paraId="4A5E359D"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Institutional Ownership</w:t>
            </w:r>
          </w:p>
        </w:tc>
        <w:tc>
          <w:tcPr>
            <w:tcW w:w="0" w:type="auto"/>
            <w:shd w:val="clear" w:color="auto" w:fill="FFFFFF"/>
            <w:tcMar>
              <w:top w:w="150" w:type="dxa"/>
              <w:left w:w="240" w:type="dxa"/>
              <w:bottom w:w="150" w:type="dxa"/>
              <w:right w:w="240" w:type="dxa"/>
            </w:tcMar>
            <w:vAlign w:val="center"/>
            <w:hideMark/>
          </w:tcPr>
          <w:p w14:paraId="1B3BADDE"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Federal-level ownership</w:t>
            </w:r>
          </w:p>
        </w:tc>
        <w:tc>
          <w:tcPr>
            <w:tcW w:w="0" w:type="auto"/>
            <w:shd w:val="clear" w:color="auto" w:fill="FFFFFF"/>
            <w:tcMar>
              <w:top w:w="150" w:type="dxa"/>
              <w:left w:w="240" w:type="dxa"/>
              <w:bottom w:w="150" w:type="dxa"/>
              <w:right w:w="0" w:type="dxa"/>
            </w:tcMar>
            <w:vAlign w:val="center"/>
            <w:hideMark/>
          </w:tcPr>
          <w:p w14:paraId="5B89CB5A"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Degree to which NSA strategy is internalized and championed by federal MOA rather than externally driven by donors or partners.</w:t>
            </w:r>
          </w:p>
        </w:tc>
      </w:tr>
      <w:tr w:rsidR="00631846" w:rsidRPr="00B20046" w14:paraId="24DB125F" w14:textId="77777777" w:rsidTr="00B20046">
        <w:tc>
          <w:tcPr>
            <w:tcW w:w="0" w:type="auto"/>
            <w:vMerge/>
            <w:shd w:val="clear" w:color="auto" w:fill="FFFFFF"/>
            <w:tcMar>
              <w:top w:w="150" w:type="dxa"/>
              <w:left w:w="0" w:type="dxa"/>
              <w:bottom w:w="150" w:type="dxa"/>
              <w:right w:w="240" w:type="dxa"/>
            </w:tcMar>
            <w:vAlign w:val="center"/>
            <w:hideMark/>
          </w:tcPr>
          <w:p w14:paraId="7020856A"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2AAB319D"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49B227D"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Regional-level ownership</w:t>
            </w:r>
          </w:p>
        </w:tc>
        <w:tc>
          <w:tcPr>
            <w:tcW w:w="0" w:type="auto"/>
            <w:shd w:val="clear" w:color="auto" w:fill="FFFFFF"/>
            <w:tcMar>
              <w:top w:w="150" w:type="dxa"/>
              <w:left w:w="240" w:type="dxa"/>
              <w:bottom w:w="150" w:type="dxa"/>
              <w:right w:w="0" w:type="dxa"/>
            </w:tcMar>
            <w:vAlign w:val="center"/>
            <w:hideMark/>
          </w:tcPr>
          <w:p w14:paraId="4E86CFB4"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Extent to which regional bureaus demonstrate autonomous commitment to NSA implementation beyond federal directives.</w:t>
            </w:r>
          </w:p>
        </w:tc>
      </w:tr>
      <w:tr w:rsidR="00631846" w:rsidRPr="00B20046" w14:paraId="5C846478" w14:textId="77777777" w:rsidTr="00B20046">
        <w:tc>
          <w:tcPr>
            <w:tcW w:w="0" w:type="auto"/>
            <w:vMerge/>
            <w:shd w:val="clear" w:color="auto" w:fill="FFFFFF"/>
            <w:tcMar>
              <w:top w:w="150" w:type="dxa"/>
              <w:left w:w="0" w:type="dxa"/>
              <w:bottom w:w="150" w:type="dxa"/>
              <w:right w:w="240" w:type="dxa"/>
            </w:tcMar>
            <w:vAlign w:val="center"/>
            <w:hideMark/>
          </w:tcPr>
          <w:p w14:paraId="035C8229"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0EFA027D"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83E339A"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Woreda-level ownership</w:t>
            </w:r>
          </w:p>
        </w:tc>
        <w:tc>
          <w:tcPr>
            <w:tcW w:w="0" w:type="auto"/>
            <w:shd w:val="clear" w:color="auto" w:fill="FFFFFF"/>
            <w:tcMar>
              <w:top w:w="150" w:type="dxa"/>
              <w:left w:w="240" w:type="dxa"/>
              <w:bottom w:w="150" w:type="dxa"/>
              <w:right w:w="0" w:type="dxa"/>
            </w:tcMar>
            <w:vAlign w:val="center"/>
            <w:hideMark/>
          </w:tcPr>
          <w:p w14:paraId="754E6BA4"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Evidence of local ownership, including integration into woreda annual plans, budget allocation, and frontline activities.</w:t>
            </w:r>
          </w:p>
        </w:tc>
      </w:tr>
      <w:tr w:rsidR="00631846" w:rsidRPr="00B20046" w14:paraId="0FE92D09" w14:textId="77777777" w:rsidTr="00B20046">
        <w:tc>
          <w:tcPr>
            <w:tcW w:w="0" w:type="auto"/>
            <w:vMerge w:val="restart"/>
            <w:shd w:val="clear" w:color="auto" w:fill="FFFFFF"/>
            <w:tcMar>
              <w:top w:w="150" w:type="dxa"/>
              <w:left w:w="0" w:type="dxa"/>
              <w:bottom w:w="150" w:type="dxa"/>
              <w:right w:w="240" w:type="dxa"/>
            </w:tcMar>
            <w:vAlign w:val="center"/>
            <w:hideMark/>
          </w:tcPr>
          <w:p w14:paraId="5E0F2D07"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073F52CB"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357E2C8"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Leadership turnover effects</w:t>
            </w:r>
          </w:p>
        </w:tc>
        <w:tc>
          <w:tcPr>
            <w:tcW w:w="0" w:type="auto"/>
            <w:shd w:val="clear" w:color="auto" w:fill="FFFFFF"/>
            <w:tcMar>
              <w:top w:w="150" w:type="dxa"/>
              <w:left w:w="240" w:type="dxa"/>
              <w:bottom w:w="150" w:type="dxa"/>
              <w:right w:w="0" w:type="dxa"/>
            </w:tcMar>
            <w:vAlign w:val="center"/>
            <w:hideMark/>
          </w:tcPr>
          <w:p w14:paraId="7DA3CC7F"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Documented consequences of leadership changes on NSA implementation continuity, including delays, re-training needs, and loss of institutional knowledge.</w:t>
            </w:r>
          </w:p>
        </w:tc>
      </w:tr>
      <w:tr w:rsidR="00631846" w:rsidRPr="00B20046" w14:paraId="4A8879D8" w14:textId="77777777" w:rsidTr="00B20046">
        <w:tc>
          <w:tcPr>
            <w:tcW w:w="0" w:type="auto"/>
            <w:vMerge/>
            <w:shd w:val="clear" w:color="auto" w:fill="FFFFFF"/>
            <w:tcMar>
              <w:top w:w="150" w:type="dxa"/>
              <w:left w:w="0" w:type="dxa"/>
              <w:bottom w:w="150" w:type="dxa"/>
              <w:right w:w="240" w:type="dxa"/>
            </w:tcMar>
            <w:vAlign w:val="center"/>
            <w:hideMark/>
          </w:tcPr>
          <w:p w14:paraId="7F716059" w14:textId="77777777" w:rsidR="00631846" w:rsidRPr="00B20046" w:rsidRDefault="00631846" w:rsidP="00B20046">
            <w:pPr>
              <w:rPr>
                <w:rFonts w:ascii="Times New Roman" w:hAnsi="Times New Roman" w:cs="Times New Roman"/>
                <w:sz w:val="20"/>
                <w:szCs w:val="20"/>
              </w:rPr>
            </w:pPr>
          </w:p>
        </w:tc>
        <w:tc>
          <w:tcPr>
            <w:tcW w:w="0" w:type="auto"/>
            <w:vMerge w:val="restart"/>
            <w:shd w:val="clear" w:color="auto" w:fill="FFFFFF"/>
            <w:tcMar>
              <w:top w:w="150" w:type="dxa"/>
              <w:left w:w="240" w:type="dxa"/>
              <w:bottom w:w="150" w:type="dxa"/>
              <w:right w:w="240" w:type="dxa"/>
            </w:tcMar>
            <w:vAlign w:val="center"/>
            <w:hideMark/>
          </w:tcPr>
          <w:p w14:paraId="3B8A2B5F"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Political Economy</w:t>
            </w:r>
          </w:p>
        </w:tc>
        <w:tc>
          <w:tcPr>
            <w:tcW w:w="0" w:type="auto"/>
            <w:shd w:val="clear" w:color="auto" w:fill="FFFFFF"/>
            <w:tcMar>
              <w:top w:w="150" w:type="dxa"/>
              <w:left w:w="240" w:type="dxa"/>
              <w:bottom w:w="150" w:type="dxa"/>
              <w:right w:w="240" w:type="dxa"/>
            </w:tcMar>
            <w:vAlign w:val="center"/>
            <w:hideMark/>
          </w:tcPr>
          <w:p w14:paraId="3EAEAADC"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Stakeholder alignment</w:t>
            </w:r>
          </w:p>
        </w:tc>
        <w:tc>
          <w:tcPr>
            <w:tcW w:w="0" w:type="auto"/>
            <w:shd w:val="clear" w:color="auto" w:fill="FFFFFF"/>
            <w:tcMar>
              <w:top w:w="150" w:type="dxa"/>
              <w:left w:w="240" w:type="dxa"/>
              <w:bottom w:w="150" w:type="dxa"/>
              <w:right w:w="0" w:type="dxa"/>
            </w:tcMar>
            <w:vAlign w:val="center"/>
            <w:hideMark/>
          </w:tcPr>
          <w:p w14:paraId="4DDDA179"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Alignment of interests, incentives, and priorities among diverse stakeholders (government, donors, NGOs, private sector) supporting NSA.</w:t>
            </w:r>
          </w:p>
        </w:tc>
      </w:tr>
      <w:tr w:rsidR="00631846" w:rsidRPr="00B20046" w14:paraId="60EFAC71" w14:textId="77777777" w:rsidTr="00B20046">
        <w:tc>
          <w:tcPr>
            <w:tcW w:w="0" w:type="auto"/>
            <w:vMerge/>
            <w:shd w:val="clear" w:color="auto" w:fill="FFFFFF"/>
            <w:tcMar>
              <w:top w:w="150" w:type="dxa"/>
              <w:left w:w="0" w:type="dxa"/>
              <w:bottom w:w="150" w:type="dxa"/>
              <w:right w:w="240" w:type="dxa"/>
            </w:tcMar>
            <w:vAlign w:val="center"/>
            <w:hideMark/>
          </w:tcPr>
          <w:p w14:paraId="70B739F8"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4037CB84"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7875A80"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Power dynamics</w:t>
            </w:r>
          </w:p>
        </w:tc>
        <w:tc>
          <w:tcPr>
            <w:tcW w:w="0" w:type="auto"/>
            <w:shd w:val="clear" w:color="auto" w:fill="FFFFFF"/>
            <w:tcMar>
              <w:top w:w="150" w:type="dxa"/>
              <w:left w:w="240" w:type="dxa"/>
              <w:bottom w:w="150" w:type="dxa"/>
              <w:right w:w="0" w:type="dxa"/>
            </w:tcMar>
            <w:vAlign w:val="center"/>
            <w:hideMark/>
          </w:tcPr>
          <w:p w14:paraId="5EA7A848"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Influence relationships among actors that shape NSA decision-making, resource allocation, and implementation priorities.</w:t>
            </w:r>
          </w:p>
        </w:tc>
      </w:tr>
      <w:tr w:rsidR="00631846" w:rsidRPr="00B20046" w14:paraId="76450584" w14:textId="77777777" w:rsidTr="00B20046">
        <w:tc>
          <w:tcPr>
            <w:tcW w:w="0" w:type="auto"/>
            <w:vMerge/>
            <w:shd w:val="clear" w:color="auto" w:fill="FFFFFF"/>
            <w:tcMar>
              <w:top w:w="150" w:type="dxa"/>
              <w:left w:w="0" w:type="dxa"/>
              <w:bottom w:w="150" w:type="dxa"/>
              <w:right w:w="240" w:type="dxa"/>
            </w:tcMar>
            <w:vAlign w:val="center"/>
            <w:hideMark/>
          </w:tcPr>
          <w:p w14:paraId="65B76688"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47E5566F"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431B0CC"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Competing priorities</w:t>
            </w:r>
          </w:p>
        </w:tc>
        <w:tc>
          <w:tcPr>
            <w:tcW w:w="0" w:type="auto"/>
            <w:shd w:val="clear" w:color="auto" w:fill="FFFFFF"/>
            <w:tcMar>
              <w:top w:w="150" w:type="dxa"/>
              <w:left w:w="240" w:type="dxa"/>
              <w:bottom w:w="150" w:type="dxa"/>
              <w:right w:w="0" w:type="dxa"/>
            </w:tcMar>
            <w:vAlign w:val="center"/>
            <w:hideMark/>
          </w:tcPr>
          <w:p w14:paraId="41585F18"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Extent to which other sectoral priorities (e.g., production targets, food security emergencies) overshadow nutrition objectives.</w:t>
            </w:r>
          </w:p>
        </w:tc>
      </w:tr>
      <w:tr w:rsidR="00631846" w:rsidRPr="00B20046" w14:paraId="761C49AA" w14:textId="77777777" w:rsidTr="00B20046">
        <w:tc>
          <w:tcPr>
            <w:tcW w:w="0" w:type="auto"/>
            <w:vMerge w:val="restart"/>
            <w:shd w:val="clear" w:color="auto" w:fill="FFFFFF"/>
            <w:tcMar>
              <w:top w:w="150" w:type="dxa"/>
              <w:left w:w="0" w:type="dxa"/>
              <w:bottom w:w="150" w:type="dxa"/>
              <w:right w:w="240" w:type="dxa"/>
            </w:tcMar>
            <w:vAlign w:val="center"/>
            <w:hideMark/>
          </w:tcPr>
          <w:p w14:paraId="50F18513"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b/>
                <w:bCs/>
                <w:sz w:val="20"/>
                <w:szCs w:val="20"/>
              </w:rPr>
              <w:t>Financing</w:t>
            </w:r>
          </w:p>
        </w:tc>
        <w:tc>
          <w:tcPr>
            <w:tcW w:w="0" w:type="auto"/>
            <w:vMerge w:val="restart"/>
            <w:shd w:val="clear" w:color="auto" w:fill="FFFFFF"/>
            <w:tcMar>
              <w:top w:w="150" w:type="dxa"/>
              <w:left w:w="240" w:type="dxa"/>
              <w:bottom w:w="150" w:type="dxa"/>
              <w:right w:w="240" w:type="dxa"/>
            </w:tcMar>
            <w:vAlign w:val="center"/>
            <w:hideMark/>
          </w:tcPr>
          <w:p w14:paraId="5C8B07F0"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Budget Allocation</w:t>
            </w:r>
          </w:p>
        </w:tc>
        <w:tc>
          <w:tcPr>
            <w:tcW w:w="0" w:type="auto"/>
            <w:shd w:val="clear" w:color="auto" w:fill="FFFFFF"/>
            <w:tcMar>
              <w:top w:w="150" w:type="dxa"/>
              <w:left w:w="240" w:type="dxa"/>
              <w:bottom w:w="150" w:type="dxa"/>
              <w:right w:w="240" w:type="dxa"/>
            </w:tcMar>
            <w:vAlign w:val="center"/>
            <w:hideMark/>
          </w:tcPr>
          <w:p w14:paraId="5CBC5A74"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Dedicated budget lines</w:t>
            </w:r>
          </w:p>
        </w:tc>
        <w:tc>
          <w:tcPr>
            <w:tcW w:w="0" w:type="auto"/>
            <w:shd w:val="clear" w:color="auto" w:fill="FFFFFF"/>
            <w:tcMar>
              <w:top w:w="150" w:type="dxa"/>
              <w:left w:w="240" w:type="dxa"/>
              <w:bottom w:w="150" w:type="dxa"/>
              <w:right w:w="0" w:type="dxa"/>
            </w:tcMar>
            <w:vAlign w:val="center"/>
            <w:hideMark/>
          </w:tcPr>
          <w:p w14:paraId="40E6ECEE"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Existence of specific, identifiable budget lines for NSA activities at federal, regional, and woreda levels (not merged into general agriculture budgets).</w:t>
            </w:r>
          </w:p>
        </w:tc>
      </w:tr>
      <w:tr w:rsidR="00631846" w:rsidRPr="00B20046" w14:paraId="134D03E0" w14:textId="77777777" w:rsidTr="00B20046">
        <w:tc>
          <w:tcPr>
            <w:tcW w:w="0" w:type="auto"/>
            <w:vMerge/>
            <w:shd w:val="clear" w:color="auto" w:fill="FFFFFF"/>
            <w:tcMar>
              <w:top w:w="150" w:type="dxa"/>
              <w:left w:w="0" w:type="dxa"/>
              <w:bottom w:w="150" w:type="dxa"/>
              <w:right w:w="240" w:type="dxa"/>
            </w:tcMar>
            <w:vAlign w:val="center"/>
            <w:hideMark/>
          </w:tcPr>
          <w:p w14:paraId="3642EB7B"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405096BD"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EB3AE51"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Budget adequacy</w:t>
            </w:r>
          </w:p>
        </w:tc>
        <w:tc>
          <w:tcPr>
            <w:tcW w:w="0" w:type="auto"/>
            <w:shd w:val="clear" w:color="auto" w:fill="FFFFFF"/>
            <w:tcMar>
              <w:top w:w="150" w:type="dxa"/>
              <w:left w:w="240" w:type="dxa"/>
              <w:bottom w:w="150" w:type="dxa"/>
              <w:right w:w="0" w:type="dxa"/>
            </w:tcMar>
            <w:vAlign w:val="center"/>
            <w:hideMark/>
          </w:tcPr>
          <w:p w14:paraId="7E335B93"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Sufficiency of allocated funds relative to planned activities and strategic objectives. Coded as "sufficient," "insufficient," or "severely inadequate."</w:t>
            </w:r>
          </w:p>
        </w:tc>
      </w:tr>
      <w:tr w:rsidR="00631846" w:rsidRPr="00B20046" w14:paraId="63713742" w14:textId="77777777" w:rsidTr="00B20046">
        <w:tc>
          <w:tcPr>
            <w:tcW w:w="0" w:type="auto"/>
            <w:vMerge/>
            <w:shd w:val="clear" w:color="auto" w:fill="FFFFFF"/>
            <w:tcMar>
              <w:top w:w="150" w:type="dxa"/>
              <w:left w:w="0" w:type="dxa"/>
              <w:bottom w:w="150" w:type="dxa"/>
              <w:right w:w="240" w:type="dxa"/>
            </w:tcMar>
            <w:vAlign w:val="center"/>
            <w:hideMark/>
          </w:tcPr>
          <w:p w14:paraId="0C9A6A64" w14:textId="77777777" w:rsidR="00631846" w:rsidRPr="00B20046" w:rsidRDefault="00631846" w:rsidP="00B20046">
            <w:pPr>
              <w:rPr>
                <w:rFonts w:ascii="Times New Roman" w:hAnsi="Times New Roman" w:cs="Times New Roman"/>
                <w:sz w:val="20"/>
                <w:szCs w:val="20"/>
              </w:rPr>
            </w:pPr>
          </w:p>
        </w:tc>
        <w:tc>
          <w:tcPr>
            <w:tcW w:w="0" w:type="auto"/>
            <w:vMerge w:val="restart"/>
            <w:shd w:val="clear" w:color="auto" w:fill="FFFFFF"/>
            <w:tcMar>
              <w:top w:w="150" w:type="dxa"/>
              <w:left w:w="240" w:type="dxa"/>
              <w:bottom w:w="150" w:type="dxa"/>
              <w:right w:w="240" w:type="dxa"/>
            </w:tcMar>
            <w:vAlign w:val="center"/>
            <w:hideMark/>
          </w:tcPr>
          <w:p w14:paraId="1AF032C8"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BD8DBD4"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Budget predictability</w:t>
            </w:r>
          </w:p>
        </w:tc>
        <w:tc>
          <w:tcPr>
            <w:tcW w:w="0" w:type="auto"/>
            <w:shd w:val="clear" w:color="auto" w:fill="FFFFFF"/>
            <w:tcMar>
              <w:top w:w="150" w:type="dxa"/>
              <w:left w:w="240" w:type="dxa"/>
              <w:bottom w:w="150" w:type="dxa"/>
              <w:right w:w="0" w:type="dxa"/>
            </w:tcMar>
            <w:vAlign w:val="center"/>
            <w:hideMark/>
          </w:tcPr>
          <w:p w14:paraId="19761E33"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Consistency and reliability of fund disbursement throughout the fiscal year. Extent to which delays or cuts disrupt implementation.</w:t>
            </w:r>
          </w:p>
        </w:tc>
      </w:tr>
      <w:tr w:rsidR="00631846" w:rsidRPr="00B20046" w14:paraId="0875925B" w14:textId="77777777" w:rsidTr="00B20046">
        <w:tc>
          <w:tcPr>
            <w:tcW w:w="0" w:type="auto"/>
            <w:vMerge/>
            <w:shd w:val="clear" w:color="auto" w:fill="FFFFFF"/>
            <w:tcMar>
              <w:top w:w="150" w:type="dxa"/>
              <w:left w:w="0" w:type="dxa"/>
              <w:bottom w:w="150" w:type="dxa"/>
              <w:right w:w="240" w:type="dxa"/>
            </w:tcMar>
            <w:vAlign w:val="center"/>
            <w:hideMark/>
          </w:tcPr>
          <w:p w14:paraId="0961C9AE"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0782BE81"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DD3075F"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Budget execution rate</w:t>
            </w:r>
          </w:p>
        </w:tc>
        <w:tc>
          <w:tcPr>
            <w:tcW w:w="0" w:type="auto"/>
            <w:shd w:val="clear" w:color="auto" w:fill="FFFFFF"/>
            <w:tcMar>
              <w:top w:w="150" w:type="dxa"/>
              <w:left w:w="240" w:type="dxa"/>
              <w:bottom w:w="150" w:type="dxa"/>
              <w:right w:w="0" w:type="dxa"/>
            </w:tcMar>
            <w:vAlign w:val="center"/>
            <w:hideMark/>
          </w:tcPr>
          <w:p w14:paraId="63CE9D4E"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Proportion of allocated budget actually spent on NSA activities. Comparison of planned versus actual expenditure.</w:t>
            </w:r>
          </w:p>
        </w:tc>
      </w:tr>
      <w:tr w:rsidR="00631846" w:rsidRPr="00B20046" w14:paraId="637B61B1" w14:textId="77777777" w:rsidTr="00B20046">
        <w:tc>
          <w:tcPr>
            <w:tcW w:w="0" w:type="auto"/>
            <w:vMerge w:val="restart"/>
            <w:shd w:val="clear" w:color="auto" w:fill="FFFFFF"/>
            <w:tcMar>
              <w:top w:w="150" w:type="dxa"/>
              <w:left w:w="0" w:type="dxa"/>
              <w:bottom w:w="150" w:type="dxa"/>
              <w:right w:w="240" w:type="dxa"/>
            </w:tcMar>
            <w:vAlign w:val="center"/>
            <w:hideMark/>
          </w:tcPr>
          <w:p w14:paraId="217C5872" w14:textId="77777777" w:rsidR="00631846" w:rsidRPr="00B20046" w:rsidRDefault="00631846" w:rsidP="00B20046">
            <w:pPr>
              <w:rPr>
                <w:rFonts w:ascii="Times New Roman" w:hAnsi="Times New Roman" w:cs="Times New Roman"/>
                <w:sz w:val="20"/>
                <w:szCs w:val="20"/>
              </w:rPr>
            </w:pPr>
          </w:p>
        </w:tc>
        <w:tc>
          <w:tcPr>
            <w:tcW w:w="0" w:type="auto"/>
            <w:vMerge w:val="restart"/>
            <w:shd w:val="clear" w:color="auto" w:fill="FFFFFF"/>
            <w:tcMar>
              <w:top w:w="150" w:type="dxa"/>
              <w:left w:w="240" w:type="dxa"/>
              <w:bottom w:w="150" w:type="dxa"/>
              <w:right w:w="240" w:type="dxa"/>
            </w:tcMar>
            <w:vAlign w:val="center"/>
            <w:hideMark/>
          </w:tcPr>
          <w:p w14:paraId="3A59C769"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Resource Mobilization</w:t>
            </w:r>
          </w:p>
        </w:tc>
        <w:tc>
          <w:tcPr>
            <w:tcW w:w="0" w:type="auto"/>
            <w:shd w:val="clear" w:color="auto" w:fill="FFFFFF"/>
            <w:tcMar>
              <w:top w:w="150" w:type="dxa"/>
              <w:left w:w="240" w:type="dxa"/>
              <w:bottom w:w="150" w:type="dxa"/>
              <w:right w:w="240" w:type="dxa"/>
            </w:tcMar>
            <w:vAlign w:val="center"/>
            <w:hideMark/>
          </w:tcPr>
          <w:p w14:paraId="2143D140"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Domestic resource mobilization</w:t>
            </w:r>
          </w:p>
        </w:tc>
        <w:tc>
          <w:tcPr>
            <w:tcW w:w="0" w:type="auto"/>
            <w:shd w:val="clear" w:color="auto" w:fill="FFFFFF"/>
            <w:tcMar>
              <w:top w:w="150" w:type="dxa"/>
              <w:left w:w="240" w:type="dxa"/>
              <w:bottom w:w="150" w:type="dxa"/>
              <w:right w:w="0" w:type="dxa"/>
            </w:tcMar>
            <w:vAlign w:val="center"/>
            <w:hideMark/>
          </w:tcPr>
          <w:p w14:paraId="41BF5061"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Extent to which government allocated its own revenues (not donor funds) to NSA activities.</w:t>
            </w:r>
          </w:p>
        </w:tc>
      </w:tr>
      <w:tr w:rsidR="00631846" w:rsidRPr="00B20046" w14:paraId="4E138C3A" w14:textId="77777777" w:rsidTr="00B20046">
        <w:tc>
          <w:tcPr>
            <w:tcW w:w="0" w:type="auto"/>
            <w:vMerge/>
            <w:shd w:val="clear" w:color="auto" w:fill="FFFFFF"/>
            <w:tcMar>
              <w:top w:w="150" w:type="dxa"/>
              <w:left w:w="0" w:type="dxa"/>
              <w:bottom w:w="150" w:type="dxa"/>
              <w:right w:w="240" w:type="dxa"/>
            </w:tcMar>
            <w:vAlign w:val="center"/>
            <w:hideMark/>
          </w:tcPr>
          <w:p w14:paraId="0F5FB5F2"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65D3B4F1"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5D16BF4"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Donor funding reliance</w:t>
            </w:r>
          </w:p>
        </w:tc>
        <w:tc>
          <w:tcPr>
            <w:tcW w:w="0" w:type="auto"/>
            <w:shd w:val="clear" w:color="auto" w:fill="FFFFFF"/>
            <w:tcMar>
              <w:top w:w="150" w:type="dxa"/>
              <w:left w:w="240" w:type="dxa"/>
              <w:bottom w:w="150" w:type="dxa"/>
              <w:right w:w="0" w:type="dxa"/>
            </w:tcMar>
            <w:vAlign w:val="center"/>
            <w:hideMark/>
          </w:tcPr>
          <w:p w14:paraId="4E27206B"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Degree of dependence on external development partners for NSA implementation. Evidence of projectized, time-limited funding.</w:t>
            </w:r>
          </w:p>
        </w:tc>
      </w:tr>
      <w:tr w:rsidR="00631846" w:rsidRPr="00B20046" w14:paraId="71D8D09D" w14:textId="77777777" w:rsidTr="00B20046">
        <w:tc>
          <w:tcPr>
            <w:tcW w:w="0" w:type="auto"/>
            <w:vMerge/>
            <w:shd w:val="clear" w:color="auto" w:fill="FFFFFF"/>
            <w:tcMar>
              <w:top w:w="150" w:type="dxa"/>
              <w:left w:w="0" w:type="dxa"/>
              <w:bottom w:w="150" w:type="dxa"/>
              <w:right w:w="240" w:type="dxa"/>
            </w:tcMar>
            <w:vAlign w:val="center"/>
            <w:hideMark/>
          </w:tcPr>
          <w:p w14:paraId="5EF7615D"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535F13E3"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18AC2E9"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Funding fragmentation</w:t>
            </w:r>
          </w:p>
        </w:tc>
        <w:tc>
          <w:tcPr>
            <w:tcW w:w="0" w:type="auto"/>
            <w:shd w:val="clear" w:color="auto" w:fill="FFFFFF"/>
            <w:tcMar>
              <w:top w:w="150" w:type="dxa"/>
              <w:left w:w="240" w:type="dxa"/>
              <w:bottom w:w="150" w:type="dxa"/>
              <w:right w:w="0" w:type="dxa"/>
            </w:tcMar>
            <w:vAlign w:val="center"/>
            <w:hideMark/>
          </w:tcPr>
          <w:p w14:paraId="43641725"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Extent to which NSA funding is dispersed across multiple sources, projects, and channels, creating coordination challenges.</w:t>
            </w:r>
          </w:p>
        </w:tc>
      </w:tr>
      <w:tr w:rsidR="00631846" w:rsidRPr="00B20046" w14:paraId="09ACD901" w14:textId="77777777" w:rsidTr="00B20046">
        <w:tc>
          <w:tcPr>
            <w:tcW w:w="0" w:type="auto"/>
            <w:vMerge/>
            <w:shd w:val="clear" w:color="auto" w:fill="FFFFFF"/>
            <w:tcMar>
              <w:top w:w="150" w:type="dxa"/>
              <w:left w:w="0" w:type="dxa"/>
              <w:bottom w:w="150" w:type="dxa"/>
              <w:right w:w="240" w:type="dxa"/>
            </w:tcMar>
            <w:vAlign w:val="center"/>
            <w:hideMark/>
          </w:tcPr>
          <w:p w14:paraId="25C80B1A"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065EA5DD"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80DB259"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Co-financing mechanisms</w:t>
            </w:r>
          </w:p>
        </w:tc>
        <w:tc>
          <w:tcPr>
            <w:tcW w:w="0" w:type="auto"/>
            <w:shd w:val="clear" w:color="auto" w:fill="FFFFFF"/>
            <w:tcMar>
              <w:top w:w="150" w:type="dxa"/>
              <w:left w:w="240" w:type="dxa"/>
              <w:bottom w:w="150" w:type="dxa"/>
              <w:right w:w="0" w:type="dxa"/>
            </w:tcMar>
            <w:vAlign w:val="center"/>
            <w:hideMark/>
          </w:tcPr>
          <w:p w14:paraId="408000D6"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Existence of arrangements where government and partners jointly fund NSA activities with shared accountability.</w:t>
            </w:r>
          </w:p>
        </w:tc>
      </w:tr>
      <w:tr w:rsidR="00631846" w:rsidRPr="00B20046" w14:paraId="20A8A927" w14:textId="77777777" w:rsidTr="00B20046">
        <w:tc>
          <w:tcPr>
            <w:tcW w:w="0" w:type="auto"/>
            <w:vMerge/>
            <w:shd w:val="clear" w:color="auto" w:fill="FFFFFF"/>
            <w:tcMar>
              <w:top w:w="150" w:type="dxa"/>
              <w:left w:w="0" w:type="dxa"/>
              <w:bottom w:w="150" w:type="dxa"/>
              <w:right w:w="240" w:type="dxa"/>
            </w:tcMar>
            <w:vAlign w:val="center"/>
            <w:hideMark/>
          </w:tcPr>
          <w:p w14:paraId="470DA4E0" w14:textId="77777777" w:rsidR="00631846" w:rsidRPr="00B20046" w:rsidRDefault="00631846" w:rsidP="00B20046">
            <w:pPr>
              <w:rPr>
                <w:rFonts w:ascii="Times New Roman" w:hAnsi="Times New Roman" w:cs="Times New Roman"/>
                <w:sz w:val="20"/>
                <w:szCs w:val="20"/>
              </w:rPr>
            </w:pPr>
          </w:p>
        </w:tc>
        <w:tc>
          <w:tcPr>
            <w:tcW w:w="0" w:type="auto"/>
            <w:vMerge w:val="restart"/>
            <w:shd w:val="clear" w:color="auto" w:fill="FFFFFF"/>
            <w:tcMar>
              <w:top w:w="150" w:type="dxa"/>
              <w:left w:w="240" w:type="dxa"/>
              <w:bottom w:w="150" w:type="dxa"/>
              <w:right w:w="240" w:type="dxa"/>
            </w:tcMar>
            <w:vAlign w:val="center"/>
            <w:hideMark/>
          </w:tcPr>
          <w:p w14:paraId="717AF0FA"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Fiscal Decentralization</w:t>
            </w:r>
          </w:p>
        </w:tc>
        <w:tc>
          <w:tcPr>
            <w:tcW w:w="0" w:type="auto"/>
            <w:shd w:val="clear" w:color="auto" w:fill="FFFFFF"/>
            <w:tcMar>
              <w:top w:w="150" w:type="dxa"/>
              <w:left w:w="240" w:type="dxa"/>
              <w:bottom w:w="150" w:type="dxa"/>
              <w:right w:w="240" w:type="dxa"/>
            </w:tcMar>
            <w:vAlign w:val="center"/>
            <w:hideMark/>
          </w:tcPr>
          <w:p w14:paraId="147B8B3A"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Sub-national fiscal authority</w:t>
            </w:r>
          </w:p>
        </w:tc>
        <w:tc>
          <w:tcPr>
            <w:tcW w:w="0" w:type="auto"/>
            <w:shd w:val="clear" w:color="auto" w:fill="FFFFFF"/>
            <w:tcMar>
              <w:top w:w="150" w:type="dxa"/>
              <w:left w:w="240" w:type="dxa"/>
              <w:bottom w:w="150" w:type="dxa"/>
              <w:right w:w="0" w:type="dxa"/>
            </w:tcMar>
            <w:vAlign w:val="center"/>
            <w:hideMark/>
          </w:tcPr>
          <w:p w14:paraId="6298F2D4"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Degree to which regional and woreda levels have autonomy to allocate, reallocate, and disburse NSA budgets according to local priorities.</w:t>
            </w:r>
          </w:p>
        </w:tc>
      </w:tr>
      <w:tr w:rsidR="00631846" w:rsidRPr="00B20046" w14:paraId="63A5AC61" w14:textId="77777777" w:rsidTr="00B20046">
        <w:tc>
          <w:tcPr>
            <w:tcW w:w="0" w:type="auto"/>
            <w:vMerge/>
            <w:shd w:val="clear" w:color="auto" w:fill="FFFFFF"/>
            <w:tcMar>
              <w:top w:w="150" w:type="dxa"/>
              <w:left w:w="0" w:type="dxa"/>
              <w:bottom w:w="150" w:type="dxa"/>
              <w:right w:w="240" w:type="dxa"/>
            </w:tcMar>
            <w:vAlign w:val="center"/>
            <w:hideMark/>
          </w:tcPr>
          <w:p w14:paraId="016DF37F"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7222F6B2"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25F0745"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Resource flow efficiency</w:t>
            </w:r>
          </w:p>
        </w:tc>
        <w:tc>
          <w:tcPr>
            <w:tcW w:w="0" w:type="auto"/>
            <w:shd w:val="clear" w:color="auto" w:fill="FFFFFF"/>
            <w:tcMar>
              <w:top w:w="150" w:type="dxa"/>
              <w:left w:w="240" w:type="dxa"/>
              <w:bottom w:w="150" w:type="dxa"/>
              <w:right w:w="0" w:type="dxa"/>
            </w:tcMar>
            <w:vAlign w:val="center"/>
            <w:hideMark/>
          </w:tcPr>
          <w:p w14:paraId="52A6CA24"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Timeliness and completeness of fund transfers from federal to regional to woreda levels. Evidence of delays or leakage.</w:t>
            </w:r>
          </w:p>
        </w:tc>
      </w:tr>
      <w:tr w:rsidR="00631846" w:rsidRPr="00B20046" w14:paraId="0FB67F40" w14:textId="77777777" w:rsidTr="00B20046">
        <w:tc>
          <w:tcPr>
            <w:tcW w:w="0" w:type="auto"/>
            <w:vMerge/>
            <w:shd w:val="clear" w:color="auto" w:fill="FFFFFF"/>
            <w:tcMar>
              <w:top w:w="150" w:type="dxa"/>
              <w:left w:w="0" w:type="dxa"/>
              <w:bottom w:w="150" w:type="dxa"/>
              <w:right w:w="240" w:type="dxa"/>
            </w:tcMar>
            <w:vAlign w:val="center"/>
            <w:hideMark/>
          </w:tcPr>
          <w:p w14:paraId="65D2F541"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6917ADA8"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C6DE736"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Minimum allocation floors</w:t>
            </w:r>
          </w:p>
        </w:tc>
        <w:tc>
          <w:tcPr>
            <w:tcW w:w="0" w:type="auto"/>
            <w:shd w:val="clear" w:color="auto" w:fill="FFFFFF"/>
            <w:tcMar>
              <w:top w:w="150" w:type="dxa"/>
              <w:left w:w="240" w:type="dxa"/>
              <w:bottom w:w="150" w:type="dxa"/>
              <w:right w:w="0" w:type="dxa"/>
            </w:tcMar>
            <w:vAlign w:val="center"/>
            <w:hideMark/>
          </w:tcPr>
          <w:p w14:paraId="2F4BF303"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Existence of mandated minimum budget percentages for nutrition activities within agriculture sector budgets at all levels.</w:t>
            </w:r>
          </w:p>
        </w:tc>
      </w:tr>
      <w:tr w:rsidR="00631846" w:rsidRPr="00B20046" w14:paraId="69898E29" w14:textId="77777777" w:rsidTr="00B20046">
        <w:tc>
          <w:tcPr>
            <w:tcW w:w="0" w:type="auto"/>
            <w:vMerge/>
            <w:shd w:val="clear" w:color="auto" w:fill="FFFFFF"/>
            <w:tcMar>
              <w:top w:w="150" w:type="dxa"/>
              <w:left w:w="0" w:type="dxa"/>
              <w:bottom w:w="150" w:type="dxa"/>
              <w:right w:w="240" w:type="dxa"/>
            </w:tcMar>
            <w:vAlign w:val="center"/>
            <w:hideMark/>
          </w:tcPr>
          <w:p w14:paraId="673C86D3" w14:textId="77777777" w:rsidR="00631846" w:rsidRPr="00B20046" w:rsidRDefault="00631846" w:rsidP="00B20046">
            <w:pPr>
              <w:rPr>
                <w:rFonts w:ascii="Times New Roman" w:hAnsi="Times New Roman" w:cs="Times New Roman"/>
                <w:sz w:val="20"/>
                <w:szCs w:val="20"/>
              </w:rPr>
            </w:pPr>
          </w:p>
        </w:tc>
        <w:tc>
          <w:tcPr>
            <w:tcW w:w="0" w:type="auto"/>
            <w:vMerge w:val="restart"/>
            <w:shd w:val="clear" w:color="auto" w:fill="FFFFFF"/>
            <w:tcMar>
              <w:top w:w="150" w:type="dxa"/>
              <w:left w:w="240" w:type="dxa"/>
              <w:bottom w:w="150" w:type="dxa"/>
              <w:right w:w="240" w:type="dxa"/>
            </w:tcMar>
            <w:vAlign w:val="center"/>
            <w:hideMark/>
          </w:tcPr>
          <w:p w14:paraId="180D3EEC"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Sustainability</w:t>
            </w:r>
          </w:p>
        </w:tc>
        <w:tc>
          <w:tcPr>
            <w:tcW w:w="0" w:type="auto"/>
            <w:shd w:val="clear" w:color="auto" w:fill="FFFFFF"/>
            <w:tcMar>
              <w:top w:w="150" w:type="dxa"/>
              <w:left w:w="240" w:type="dxa"/>
              <w:bottom w:w="150" w:type="dxa"/>
              <w:right w:w="240" w:type="dxa"/>
            </w:tcMar>
            <w:vAlign w:val="center"/>
            <w:hideMark/>
          </w:tcPr>
          <w:p w14:paraId="4F339749"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Post-project sustainability</w:t>
            </w:r>
          </w:p>
        </w:tc>
        <w:tc>
          <w:tcPr>
            <w:tcW w:w="0" w:type="auto"/>
            <w:shd w:val="clear" w:color="auto" w:fill="FFFFFF"/>
            <w:tcMar>
              <w:top w:w="150" w:type="dxa"/>
              <w:left w:w="240" w:type="dxa"/>
              <w:bottom w:w="150" w:type="dxa"/>
              <w:right w:w="0" w:type="dxa"/>
            </w:tcMar>
            <w:vAlign w:val="center"/>
            <w:hideMark/>
          </w:tcPr>
          <w:p w14:paraId="093FA42A"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Extent to which NSA activities continued after donor project closeout. Evidence of institutionalization beyond project cycles.</w:t>
            </w:r>
          </w:p>
        </w:tc>
      </w:tr>
      <w:tr w:rsidR="00631846" w:rsidRPr="00B20046" w14:paraId="50E4EBC2" w14:textId="77777777" w:rsidTr="00631846">
        <w:tc>
          <w:tcPr>
            <w:tcW w:w="0" w:type="auto"/>
            <w:tcBorders>
              <w:top w:val="nil"/>
            </w:tcBorders>
            <w:shd w:val="clear" w:color="auto" w:fill="FFFFFF"/>
            <w:tcMar>
              <w:top w:w="150" w:type="dxa"/>
              <w:left w:w="0" w:type="dxa"/>
              <w:bottom w:w="150" w:type="dxa"/>
              <w:right w:w="240" w:type="dxa"/>
            </w:tcMar>
            <w:vAlign w:val="center"/>
            <w:hideMark/>
          </w:tcPr>
          <w:p w14:paraId="5D1FAFDB" w14:textId="77777777" w:rsidR="00631846" w:rsidRPr="00B20046" w:rsidRDefault="00631846" w:rsidP="00B20046">
            <w:pPr>
              <w:rPr>
                <w:rFonts w:ascii="Times New Roman" w:hAnsi="Times New Roman" w:cs="Times New Roman"/>
                <w:sz w:val="20"/>
                <w:szCs w:val="20"/>
              </w:rPr>
            </w:pPr>
          </w:p>
        </w:tc>
        <w:tc>
          <w:tcPr>
            <w:tcW w:w="0" w:type="auto"/>
            <w:vMerge/>
            <w:shd w:val="clear" w:color="auto" w:fill="FFFFFF"/>
            <w:tcMar>
              <w:top w:w="150" w:type="dxa"/>
              <w:left w:w="240" w:type="dxa"/>
              <w:bottom w:w="150" w:type="dxa"/>
              <w:right w:w="240" w:type="dxa"/>
            </w:tcMar>
            <w:vAlign w:val="center"/>
            <w:hideMark/>
          </w:tcPr>
          <w:p w14:paraId="23AA5328" w14:textId="77777777" w:rsidR="00631846" w:rsidRPr="00B20046" w:rsidRDefault="006318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844DCE7"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Predictable recurrent funding</w:t>
            </w:r>
          </w:p>
        </w:tc>
        <w:tc>
          <w:tcPr>
            <w:tcW w:w="0" w:type="auto"/>
            <w:shd w:val="clear" w:color="auto" w:fill="FFFFFF"/>
            <w:tcMar>
              <w:top w:w="150" w:type="dxa"/>
              <w:left w:w="240" w:type="dxa"/>
              <w:bottom w:w="150" w:type="dxa"/>
              <w:right w:w="0" w:type="dxa"/>
            </w:tcMar>
            <w:vAlign w:val="center"/>
            <w:hideMark/>
          </w:tcPr>
          <w:p w14:paraId="64DB6CAC" w14:textId="77777777" w:rsidR="00631846" w:rsidRPr="00B20046" w:rsidRDefault="00631846" w:rsidP="00B20046">
            <w:pPr>
              <w:rPr>
                <w:rFonts w:ascii="Times New Roman" w:hAnsi="Times New Roman" w:cs="Times New Roman"/>
                <w:sz w:val="20"/>
                <w:szCs w:val="20"/>
              </w:rPr>
            </w:pPr>
            <w:r w:rsidRPr="00B20046">
              <w:rPr>
                <w:rFonts w:ascii="Times New Roman" w:hAnsi="Times New Roman" w:cs="Times New Roman"/>
                <w:sz w:val="20"/>
                <w:szCs w:val="20"/>
              </w:rPr>
              <w:t>Availability of ongoing operational budget (salaries, supervision, monitoring) rather than only project-based activity funding.</w:t>
            </w:r>
          </w:p>
        </w:tc>
      </w:tr>
      <w:tr w:rsidR="00B20046" w:rsidRPr="00B20046" w14:paraId="57032276" w14:textId="77777777" w:rsidTr="00B20046">
        <w:tc>
          <w:tcPr>
            <w:tcW w:w="0" w:type="auto"/>
            <w:vMerge w:val="restart"/>
            <w:shd w:val="clear" w:color="auto" w:fill="FFFFFF"/>
            <w:tcMar>
              <w:top w:w="150" w:type="dxa"/>
              <w:left w:w="0" w:type="dxa"/>
              <w:bottom w:w="150" w:type="dxa"/>
              <w:right w:w="240" w:type="dxa"/>
            </w:tcMar>
            <w:vAlign w:val="center"/>
            <w:hideMark/>
          </w:tcPr>
          <w:p w14:paraId="7935532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b/>
                <w:bCs/>
                <w:sz w:val="20"/>
                <w:szCs w:val="20"/>
              </w:rPr>
              <w:lastRenderedPageBreak/>
              <w:t>Coordination</w:t>
            </w:r>
          </w:p>
        </w:tc>
        <w:tc>
          <w:tcPr>
            <w:tcW w:w="0" w:type="auto"/>
            <w:shd w:val="clear" w:color="auto" w:fill="FFFFFF"/>
            <w:tcMar>
              <w:top w:w="150" w:type="dxa"/>
              <w:left w:w="240" w:type="dxa"/>
              <w:bottom w:w="150" w:type="dxa"/>
              <w:right w:w="240" w:type="dxa"/>
            </w:tcMar>
            <w:vAlign w:val="center"/>
            <w:hideMark/>
          </w:tcPr>
          <w:p w14:paraId="0DC5068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Horizontal Coordination</w:t>
            </w:r>
          </w:p>
        </w:tc>
        <w:tc>
          <w:tcPr>
            <w:tcW w:w="0" w:type="auto"/>
            <w:shd w:val="clear" w:color="auto" w:fill="FFFFFF"/>
            <w:tcMar>
              <w:top w:w="150" w:type="dxa"/>
              <w:left w:w="240" w:type="dxa"/>
              <w:bottom w:w="150" w:type="dxa"/>
              <w:right w:w="240" w:type="dxa"/>
            </w:tcMar>
            <w:vAlign w:val="center"/>
            <w:hideMark/>
          </w:tcPr>
          <w:p w14:paraId="5A97EB11"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Federal-level inter-sectoral coordination</w:t>
            </w:r>
          </w:p>
        </w:tc>
        <w:tc>
          <w:tcPr>
            <w:tcW w:w="0" w:type="auto"/>
            <w:shd w:val="clear" w:color="auto" w:fill="FFFFFF"/>
            <w:tcMar>
              <w:top w:w="150" w:type="dxa"/>
              <w:left w:w="240" w:type="dxa"/>
              <w:bottom w:w="150" w:type="dxa"/>
              <w:right w:w="0" w:type="dxa"/>
            </w:tcMar>
            <w:vAlign w:val="center"/>
            <w:hideMark/>
          </w:tcPr>
          <w:p w14:paraId="1121C159"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Functioning of coordination mechanisms between MOA and other sectors (Health, Education, Trade, Women's Affairs) on NSA. Example: Joint planning, budgeting, or review meetings.</w:t>
            </w:r>
          </w:p>
        </w:tc>
      </w:tr>
      <w:tr w:rsidR="00B20046" w:rsidRPr="00B20046" w14:paraId="44537DE2" w14:textId="77777777" w:rsidTr="00B20046">
        <w:tc>
          <w:tcPr>
            <w:tcW w:w="0" w:type="auto"/>
            <w:vMerge/>
            <w:shd w:val="clear" w:color="auto" w:fill="FFFFFF"/>
            <w:tcMar>
              <w:top w:w="150" w:type="dxa"/>
              <w:left w:w="0" w:type="dxa"/>
              <w:bottom w:w="150" w:type="dxa"/>
              <w:right w:w="240" w:type="dxa"/>
            </w:tcMar>
            <w:vAlign w:val="center"/>
            <w:hideMark/>
          </w:tcPr>
          <w:p w14:paraId="2E4DEC60"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E71DABD"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0E189E1"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Intra-sectoral coordination</w:t>
            </w:r>
          </w:p>
        </w:tc>
        <w:tc>
          <w:tcPr>
            <w:tcW w:w="0" w:type="auto"/>
            <w:shd w:val="clear" w:color="auto" w:fill="FFFFFF"/>
            <w:tcMar>
              <w:top w:w="150" w:type="dxa"/>
              <w:left w:w="240" w:type="dxa"/>
              <w:bottom w:w="150" w:type="dxa"/>
              <w:right w:w="0" w:type="dxa"/>
            </w:tcMar>
            <w:vAlign w:val="center"/>
            <w:hideMark/>
          </w:tcPr>
          <w:p w14:paraId="17737B72"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Coordination among MOA directorates (Crop, Livestock, Horticulture, Extension, PSNP) on nutrition integration.</w:t>
            </w:r>
          </w:p>
        </w:tc>
      </w:tr>
      <w:tr w:rsidR="00B20046" w:rsidRPr="00B20046" w14:paraId="6B9A4B98" w14:textId="77777777" w:rsidTr="00B20046">
        <w:tc>
          <w:tcPr>
            <w:tcW w:w="0" w:type="auto"/>
            <w:vMerge/>
            <w:shd w:val="clear" w:color="auto" w:fill="FFFFFF"/>
            <w:tcMar>
              <w:top w:w="150" w:type="dxa"/>
              <w:left w:w="0" w:type="dxa"/>
              <w:bottom w:w="150" w:type="dxa"/>
              <w:right w:w="240" w:type="dxa"/>
            </w:tcMar>
            <w:vAlign w:val="center"/>
            <w:hideMark/>
          </w:tcPr>
          <w:p w14:paraId="52112D27"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7FE1A24"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A3DC34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Partner coordination</w:t>
            </w:r>
          </w:p>
        </w:tc>
        <w:tc>
          <w:tcPr>
            <w:tcW w:w="0" w:type="auto"/>
            <w:shd w:val="clear" w:color="auto" w:fill="FFFFFF"/>
            <w:tcMar>
              <w:top w:w="150" w:type="dxa"/>
              <w:left w:w="240" w:type="dxa"/>
              <w:bottom w:w="150" w:type="dxa"/>
              <w:right w:w="0" w:type="dxa"/>
            </w:tcMar>
            <w:vAlign w:val="center"/>
            <w:hideMark/>
          </w:tcPr>
          <w:p w14:paraId="5E79395B"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Mechanisms for aligning donor, NGO, and private sector NSA activities with government priorities. Example: Sector working groups or technical working groups.</w:t>
            </w:r>
          </w:p>
        </w:tc>
      </w:tr>
      <w:tr w:rsidR="00B20046" w:rsidRPr="00B20046" w14:paraId="0C65040D" w14:textId="77777777" w:rsidTr="00B20046">
        <w:tc>
          <w:tcPr>
            <w:tcW w:w="0" w:type="auto"/>
            <w:vMerge/>
            <w:shd w:val="clear" w:color="auto" w:fill="FFFFFF"/>
            <w:tcMar>
              <w:top w:w="150" w:type="dxa"/>
              <w:left w:w="0" w:type="dxa"/>
              <w:bottom w:w="150" w:type="dxa"/>
              <w:right w:w="240" w:type="dxa"/>
            </w:tcMar>
            <w:vAlign w:val="center"/>
            <w:hideMark/>
          </w:tcPr>
          <w:p w14:paraId="195309DF"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1AE6909"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B003A83"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Coordination forum functionality</w:t>
            </w:r>
          </w:p>
        </w:tc>
        <w:tc>
          <w:tcPr>
            <w:tcW w:w="0" w:type="auto"/>
            <w:shd w:val="clear" w:color="auto" w:fill="FFFFFF"/>
            <w:tcMar>
              <w:top w:w="150" w:type="dxa"/>
              <w:left w:w="240" w:type="dxa"/>
              <w:bottom w:w="150" w:type="dxa"/>
              <w:right w:w="0" w:type="dxa"/>
            </w:tcMar>
            <w:vAlign w:val="center"/>
            <w:hideMark/>
          </w:tcPr>
          <w:p w14:paraId="12D18EE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Regularity, attendance, decision-making effectiveness, and follow-through of established NSA coordination platforms.</w:t>
            </w:r>
          </w:p>
        </w:tc>
      </w:tr>
      <w:tr w:rsidR="00B20046" w:rsidRPr="00B20046" w14:paraId="04F83B15" w14:textId="77777777" w:rsidTr="00B20046">
        <w:tc>
          <w:tcPr>
            <w:tcW w:w="0" w:type="auto"/>
            <w:vMerge/>
            <w:shd w:val="clear" w:color="auto" w:fill="FFFFFF"/>
            <w:tcMar>
              <w:top w:w="150" w:type="dxa"/>
              <w:left w:w="0" w:type="dxa"/>
              <w:bottom w:w="150" w:type="dxa"/>
              <w:right w:w="240" w:type="dxa"/>
            </w:tcMar>
            <w:vAlign w:val="center"/>
            <w:hideMark/>
          </w:tcPr>
          <w:p w14:paraId="1A59140F"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66332CD"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Vertical Coordination</w:t>
            </w:r>
          </w:p>
        </w:tc>
        <w:tc>
          <w:tcPr>
            <w:tcW w:w="0" w:type="auto"/>
            <w:shd w:val="clear" w:color="auto" w:fill="FFFFFF"/>
            <w:tcMar>
              <w:top w:w="150" w:type="dxa"/>
              <w:left w:w="240" w:type="dxa"/>
              <w:bottom w:w="150" w:type="dxa"/>
              <w:right w:w="240" w:type="dxa"/>
            </w:tcMar>
            <w:vAlign w:val="center"/>
            <w:hideMark/>
          </w:tcPr>
          <w:p w14:paraId="06A0DAE3"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Federal–regional linkages</w:t>
            </w:r>
          </w:p>
        </w:tc>
        <w:tc>
          <w:tcPr>
            <w:tcW w:w="0" w:type="auto"/>
            <w:shd w:val="clear" w:color="auto" w:fill="FFFFFF"/>
            <w:tcMar>
              <w:top w:w="150" w:type="dxa"/>
              <w:left w:w="240" w:type="dxa"/>
              <w:bottom w:w="150" w:type="dxa"/>
              <w:right w:w="0" w:type="dxa"/>
            </w:tcMar>
            <w:vAlign w:val="center"/>
            <w:hideMark/>
          </w:tcPr>
          <w:p w14:paraId="63F9E5F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Effectiveness of communication, reporting, and feedback between federal MOA and regional bureaus on NSA implementation.</w:t>
            </w:r>
          </w:p>
        </w:tc>
      </w:tr>
      <w:tr w:rsidR="00B20046" w:rsidRPr="00B20046" w14:paraId="183DA857" w14:textId="77777777" w:rsidTr="00B20046">
        <w:tc>
          <w:tcPr>
            <w:tcW w:w="0" w:type="auto"/>
            <w:vMerge/>
            <w:shd w:val="clear" w:color="auto" w:fill="FFFFFF"/>
            <w:tcMar>
              <w:top w:w="150" w:type="dxa"/>
              <w:left w:w="0" w:type="dxa"/>
              <w:bottom w:w="150" w:type="dxa"/>
              <w:right w:w="240" w:type="dxa"/>
            </w:tcMar>
            <w:vAlign w:val="center"/>
            <w:hideMark/>
          </w:tcPr>
          <w:p w14:paraId="41FF3BE4"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7A97A8F"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BCFACE5"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Regional–woreda linkages</w:t>
            </w:r>
          </w:p>
        </w:tc>
        <w:tc>
          <w:tcPr>
            <w:tcW w:w="0" w:type="auto"/>
            <w:shd w:val="clear" w:color="auto" w:fill="FFFFFF"/>
            <w:tcMar>
              <w:top w:w="150" w:type="dxa"/>
              <w:left w:w="240" w:type="dxa"/>
              <w:bottom w:w="150" w:type="dxa"/>
              <w:right w:w="0" w:type="dxa"/>
            </w:tcMar>
            <w:vAlign w:val="center"/>
            <w:hideMark/>
          </w:tcPr>
          <w:p w14:paraId="2928AB3A"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Strength of coordination between regional bureaus and woreda agriculture offices. Evidence of joint planning, supervision, and support.</w:t>
            </w:r>
          </w:p>
        </w:tc>
      </w:tr>
      <w:tr w:rsidR="00B20046" w:rsidRPr="00B20046" w14:paraId="4C33E0AD" w14:textId="77777777" w:rsidTr="00B20046">
        <w:tc>
          <w:tcPr>
            <w:tcW w:w="0" w:type="auto"/>
            <w:vMerge w:val="restart"/>
            <w:shd w:val="clear" w:color="auto" w:fill="FFFFFF"/>
            <w:tcMar>
              <w:top w:w="150" w:type="dxa"/>
              <w:left w:w="0" w:type="dxa"/>
              <w:bottom w:w="150" w:type="dxa"/>
              <w:right w:w="240" w:type="dxa"/>
            </w:tcMar>
            <w:vAlign w:val="center"/>
            <w:hideMark/>
          </w:tcPr>
          <w:p w14:paraId="106FC409"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AC04A1D"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DE800E5"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Woreda–kebele linkages</w:t>
            </w:r>
          </w:p>
        </w:tc>
        <w:tc>
          <w:tcPr>
            <w:tcW w:w="0" w:type="auto"/>
            <w:shd w:val="clear" w:color="auto" w:fill="FFFFFF"/>
            <w:tcMar>
              <w:top w:w="150" w:type="dxa"/>
              <w:left w:w="240" w:type="dxa"/>
              <w:bottom w:w="150" w:type="dxa"/>
              <w:right w:w="0" w:type="dxa"/>
            </w:tcMar>
            <w:vAlign w:val="center"/>
            <w:hideMark/>
          </w:tcPr>
          <w:p w14:paraId="38771A2C"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Functioning of coordination between woreda offices and frontline kebele-level development agents and extension workers.</w:t>
            </w:r>
          </w:p>
        </w:tc>
      </w:tr>
      <w:tr w:rsidR="00B20046" w:rsidRPr="00B20046" w14:paraId="7EA1231B" w14:textId="77777777" w:rsidTr="00B20046">
        <w:tc>
          <w:tcPr>
            <w:tcW w:w="0" w:type="auto"/>
            <w:vMerge/>
            <w:shd w:val="clear" w:color="auto" w:fill="FFFFFF"/>
            <w:tcMar>
              <w:top w:w="150" w:type="dxa"/>
              <w:left w:w="0" w:type="dxa"/>
              <w:bottom w:w="150" w:type="dxa"/>
              <w:right w:w="240" w:type="dxa"/>
            </w:tcMar>
            <w:vAlign w:val="center"/>
            <w:hideMark/>
          </w:tcPr>
          <w:p w14:paraId="7D3F2CC1"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BA4D521"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D915E47"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Bottom-up feedback mechanisms</w:t>
            </w:r>
          </w:p>
        </w:tc>
        <w:tc>
          <w:tcPr>
            <w:tcW w:w="0" w:type="auto"/>
            <w:shd w:val="clear" w:color="auto" w:fill="FFFFFF"/>
            <w:tcMar>
              <w:top w:w="150" w:type="dxa"/>
              <w:left w:w="240" w:type="dxa"/>
              <w:bottom w:w="150" w:type="dxa"/>
              <w:right w:w="0" w:type="dxa"/>
            </w:tcMar>
            <w:vAlign w:val="center"/>
            <w:hideMark/>
          </w:tcPr>
          <w:p w14:paraId="4CDABD6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Existence and use of systems for local-level implementation challenges to inform higher-level decision-making and adaptive management.</w:t>
            </w:r>
          </w:p>
        </w:tc>
      </w:tr>
      <w:tr w:rsidR="00B20046" w:rsidRPr="00B20046" w14:paraId="20317B41" w14:textId="77777777" w:rsidTr="00B20046">
        <w:tc>
          <w:tcPr>
            <w:tcW w:w="0" w:type="auto"/>
            <w:vMerge/>
            <w:shd w:val="clear" w:color="auto" w:fill="FFFFFF"/>
            <w:tcMar>
              <w:top w:w="150" w:type="dxa"/>
              <w:left w:w="0" w:type="dxa"/>
              <w:bottom w:w="150" w:type="dxa"/>
              <w:right w:w="240" w:type="dxa"/>
            </w:tcMar>
            <w:vAlign w:val="center"/>
            <w:hideMark/>
          </w:tcPr>
          <w:p w14:paraId="06CCCB55"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9A12D8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Coordination Barriers</w:t>
            </w:r>
          </w:p>
        </w:tc>
        <w:tc>
          <w:tcPr>
            <w:tcW w:w="0" w:type="auto"/>
            <w:shd w:val="clear" w:color="auto" w:fill="FFFFFF"/>
            <w:tcMar>
              <w:top w:w="150" w:type="dxa"/>
              <w:left w:w="240" w:type="dxa"/>
              <w:bottom w:w="150" w:type="dxa"/>
              <w:right w:w="240" w:type="dxa"/>
            </w:tcMar>
            <w:vAlign w:val="center"/>
            <w:hideMark/>
          </w:tcPr>
          <w:p w14:paraId="375D8AD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Planning cycle misalignment</w:t>
            </w:r>
          </w:p>
        </w:tc>
        <w:tc>
          <w:tcPr>
            <w:tcW w:w="0" w:type="auto"/>
            <w:shd w:val="clear" w:color="auto" w:fill="FFFFFF"/>
            <w:tcMar>
              <w:top w:w="150" w:type="dxa"/>
              <w:left w:w="240" w:type="dxa"/>
              <w:bottom w:w="150" w:type="dxa"/>
              <w:right w:w="0" w:type="dxa"/>
            </w:tcMar>
            <w:vAlign w:val="center"/>
            <w:hideMark/>
          </w:tcPr>
          <w:p w14:paraId="1AA3FD19"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Extent to which different sectors operate on incompatible planning, budgeting, and reporting calendars, hindering joint action.</w:t>
            </w:r>
          </w:p>
        </w:tc>
      </w:tr>
      <w:tr w:rsidR="00B20046" w:rsidRPr="00B20046" w14:paraId="157549D2" w14:textId="77777777" w:rsidTr="00B20046">
        <w:tc>
          <w:tcPr>
            <w:tcW w:w="0" w:type="auto"/>
            <w:vMerge/>
            <w:shd w:val="clear" w:color="auto" w:fill="FFFFFF"/>
            <w:tcMar>
              <w:top w:w="150" w:type="dxa"/>
              <w:left w:w="0" w:type="dxa"/>
              <w:bottom w:w="150" w:type="dxa"/>
              <w:right w:w="240" w:type="dxa"/>
            </w:tcMar>
            <w:vAlign w:val="center"/>
            <w:hideMark/>
          </w:tcPr>
          <w:p w14:paraId="255237EB"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E37FAE6"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4A1432A"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Competing mandates</w:t>
            </w:r>
          </w:p>
        </w:tc>
        <w:tc>
          <w:tcPr>
            <w:tcW w:w="0" w:type="auto"/>
            <w:shd w:val="clear" w:color="auto" w:fill="FFFFFF"/>
            <w:tcMar>
              <w:top w:w="150" w:type="dxa"/>
              <w:left w:w="240" w:type="dxa"/>
              <w:bottom w:w="150" w:type="dxa"/>
              <w:right w:w="0" w:type="dxa"/>
            </w:tcMar>
            <w:vAlign w:val="center"/>
            <w:hideMark/>
          </w:tcPr>
          <w:p w14:paraId="599A7487"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Situations where sectoral mandates create conflicts or disincentives for collaboration on NSA.</w:t>
            </w:r>
          </w:p>
        </w:tc>
      </w:tr>
      <w:tr w:rsidR="00B20046" w:rsidRPr="00B20046" w14:paraId="469066D4" w14:textId="77777777" w:rsidTr="00B20046">
        <w:tc>
          <w:tcPr>
            <w:tcW w:w="0" w:type="auto"/>
            <w:vMerge/>
            <w:shd w:val="clear" w:color="auto" w:fill="FFFFFF"/>
            <w:tcMar>
              <w:top w:w="150" w:type="dxa"/>
              <w:left w:w="0" w:type="dxa"/>
              <w:bottom w:w="150" w:type="dxa"/>
              <w:right w:w="240" w:type="dxa"/>
            </w:tcMar>
            <w:vAlign w:val="center"/>
            <w:hideMark/>
          </w:tcPr>
          <w:p w14:paraId="4F9DAA8C"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EA48B9B"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98CB5D7"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Limited enforcement authority</w:t>
            </w:r>
          </w:p>
        </w:tc>
        <w:tc>
          <w:tcPr>
            <w:tcW w:w="0" w:type="auto"/>
            <w:shd w:val="clear" w:color="auto" w:fill="FFFFFF"/>
            <w:tcMar>
              <w:top w:w="150" w:type="dxa"/>
              <w:left w:w="240" w:type="dxa"/>
              <w:bottom w:w="150" w:type="dxa"/>
              <w:right w:w="0" w:type="dxa"/>
            </w:tcMar>
            <w:vAlign w:val="center"/>
            <w:hideMark/>
          </w:tcPr>
          <w:p w14:paraId="6628CEBF"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Absence of mechanisms to hold sectors or levels accountable for coordination commitments.</w:t>
            </w:r>
          </w:p>
        </w:tc>
      </w:tr>
      <w:tr w:rsidR="00B20046" w:rsidRPr="00B20046" w14:paraId="5464393A" w14:textId="77777777" w:rsidTr="00B20046">
        <w:tc>
          <w:tcPr>
            <w:tcW w:w="0" w:type="auto"/>
            <w:vMerge/>
            <w:shd w:val="clear" w:color="auto" w:fill="FFFFFF"/>
            <w:tcMar>
              <w:top w:w="150" w:type="dxa"/>
              <w:left w:w="0" w:type="dxa"/>
              <w:bottom w:w="150" w:type="dxa"/>
              <w:right w:w="240" w:type="dxa"/>
            </w:tcMar>
            <w:vAlign w:val="center"/>
            <w:hideMark/>
          </w:tcPr>
          <w:p w14:paraId="2CC5AD02"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68ADEF9"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898C79C"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Resource competition</w:t>
            </w:r>
          </w:p>
        </w:tc>
        <w:tc>
          <w:tcPr>
            <w:tcW w:w="0" w:type="auto"/>
            <w:shd w:val="clear" w:color="auto" w:fill="FFFFFF"/>
            <w:tcMar>
              <w:top w:w="150" w:type="dxa"/>
              <w:left w:w="240" w:type="dxa"/>
              <w:bottom w:w="150" w:type="dxa"/>
              <w:right w:w="0" w:type="dxa"/>
            </w:tcMar>
            <w:vAlign w:val="center"/>
            <w:hideMark/>
          </w:tcPr>
          <w:p w14:paraId="682E544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Tensions arising from competition for limited budgets, staff, or other resources across sectors and levels.</w:t>
            </w:r>
          </w:p>
        </w:tc>
      </w:tr>
      <w:tr w:rsidR="00B20046" w:rsidRPr="00B20046" w14:paraId="05AC1C4E" w14:textId="77777777" w:rsidTr="00B20046">
        <w:tc>
          <w:tcPr>
            <w:tcW w:w="0" w:type="auto"/>
            <w:vMerge w:val="restart"/>
            <w:shd w:val="clear" w:color="auto" w:fill="FFFFFF"/>
            <w:tcMar>
              <w:top w:w="150" w:type="dxa"/>
              <w:left w:w="0" w:type="dxa"/>
              <w:bottom w:w="150" w:type="dxa"/>
              <w:right w:w="240" w:type="dxa"/>
            </w:tcMar>
            <w:vAlign w:val="center"/>
            <w:hideMark/>
          </w:tcPr>
          <w:p w14:paraId="23F45591"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b/>
                <w:bCs/>
                <w:sz w:val="20"/>
                <w:szCs w:val="20"/>
              </w:rPr>
              <w:t>Accountability</w:t>
            </w:r>
          </w:p>
        </w:tc>
        <w:tc>
          <w:tcPr>
            <w:tcW w:w="0" w:type="auto"/>
            <w:shd w:val="clear" w:color="auto" w:fill="FFFFFF"/>
            <w:tcMar>
              <w:top w:w="150" w:type="dxa"/>
              <w:left w:w="240" w:type="dxa"/>
              <w:bottom w:w="150" w:type="dxa"/>
              <w:right w:w="240" w:type="dxa"/>
            </w:tcMar>
            <w:vAlign w:val="center"/>
            <w:hideMark/>
          </w:tcPr>
          <w:p w14:paraId="6F8359F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Monitoring Systems</w:t>
            </w:r>
          </w:p>
        </w:tc>
        <w:tc>
          <w:tcPr>
            <w:tcW w:w="0" w:type="auto"/>
            <w:shd w:val="clear" w:color="auto" w:fill="FFFFFF"/>
            <w:tcMar>
              <w:top w:w="150" w:type="dxa"/>
              <w:left w:w="240" w:type="dxa"/>
              <w:bottom w:w="150" w:type="dxa"/>
              <w:right w:w="240" w:type="dxa"/>
            </w:tcMar>
            <w:vAlign w:val="center"/>
            <w:hideMark/>
          </w:tcPr>
          <w:p w14:paraId="1D1E4A3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Output-oriented monitoring</w:t>
            </w:r>
          </w:p>
        </w:tc>
        <w:tc>
          <w:tcPr>
            <w:tcW w:w="0" w:type="auto"/>
            <w:shd w:val="clear" w:color="auto" w:fill="FFFFFF"/>
            <w:tcMar>
              <w:top w:w="150" w:type="dxa"/>
              <w:left w:w="240" w:type="dxa"/>
              <w:bottom w:w="150" w:type="dxa"/>
              <w:right w:w="0" w:type="dxa"/>
            </w:tcMar>
            <w:vAlign w:val="center"/>
            <w:hideMark/>
          </w:tcPr>
          <w:p w14:paraId="2E120DE7"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Predominance of production/output indicators (e.g., hectares cultivated, seeds distributed) over outcome indicators.</w:t>
            </w:r>
          </w:p>
        </w:tc>
      </w:tr>
      <w:tr w:rsidR="00B20046" w:rsidRPr="00B20046" w14:paraId="42651705" w14:textId="77777777" w:rsidTr="00B20046">
        <w:tc>
          <w:tcPr>
            <w:tcW w:w="0" w:type="auto"/>
            <w:vMerge/>
            <w:shd w:val="clear" w:color="auto" w:fill="FFFFFF"/>
            <w:tcMar>
              <w:top w:w="150" w:type="dxa"/>
              <w:left w:w="0" w:type="dxa"/>
              <w:bottom w:w="150" w:type="dxa"/>
              <w:right w:w="240" w:type="dxa"/>
            </w:tcMar>
            <w:vAlign w:val="center"/>
            <w:hideMark/>
          </w:tcPr>
          <w:p w14:paraId="36C69775"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BAD230A"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C263809"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Outcome-oriented monitoring</w:t>
            </w:r>
          </w:p>
        </w:tc>
        <w:tc>
          <w:tcPr>
            <w:tcW w:w="0" w:type="auto"/>
            <w:shd w:val="clear" w:color="auto" w:fill="FFFFFF"/>
            <w:tcMar>
              <w:top w:w="150" w:type="dxa"/>
              <w:left w:w="240" w:type="dxa"/>
              <w:bottom w:w="150" w:type="dxa"/>
              <w:right w:w="0" w:type="dxa"/>
            </w:tcMar>
            <w:vAlign w:val="center"/>
            <w:hideMark/>
          </w:tcPr>
          <w:p w14:paraId="21407F6C"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Presence and use of indicators tracking nutrition-relevant outcomes (e.g., dietary diversity, food access, women's income control, post-harvest loss reduction).</w:t>
            </w:r>
          </w:p>
        </w:tc>
      </w:tr>
      <w:tr w:rsidR="00B20046" w:rsidRPr="00B20046" w14:paraId="710E45E2" w14:textId="77777777" w:rsidTr="00B20046">
        <w:tc>
          <w:tcPr>
            <w:tcW w:w="0" w:type="auto"/>
            <w:vMerge w:val="restart"/>
            <w:shd w:val="clear" w:color="auto" w:fill="FFFFFF"/>
            <w:tcMar>
              <w:top w:w="150" w:type="dxa"/>
              <w:left w:w="0" w:type="dxa"/>
              <w:bottom w:w="150" w:type="dxa"/>
              <w:right w:w="240" w:type="dxa"/>
            </w:tcMar>
            <w:vAlign w:val="center"/>
            <w:hideMark/>
          </w:tcPr>
          <w:p w14:paraId="3B30EAEA"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EB0F384"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57AE6F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Baseline data availability</w:t>
            </w:r>
          </w:p>
        </w:tc>
        <w:tc>
          <w:tcPr>
            <w:tcW w:w="0" w:type="auto"/>
            <w:shd w:val="clear" w:color="auto" w:fill="FFFFFF"/>
            <w:tcMar>
              <w:top w:w="150" w:type="dxa"/>
              <w:left w:w="240" w:type="dxa"/>
              <w:bottom w:w="150" w:type="dxa"/>
              <w:right w:w="0" w:type="dxa"/>
            </w:tcMar>
            <w:vAlign w:val="center"/>
            <w:hideMark/>
          </w:tcPr>
          <w:p w14:paraId="16FC888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Existence of baseline data against which progress can be measured for key NSA indicators (e.g., biofortified crop production, dietary diversity).</w:t>
            </w:r>
          </w:p>
        </w:tc>
      </w:tr>
      <w:tr w:rsidR="00B20046" w:rsidRPr="00B20046" w14:paraId="59E3B4FA" w14:textId="77777777" w:rsidTr="00B20046">
        <w:tc>
          <w:tcPr>
            <w:tcW w:w="0" w:type="auto"/>
            <w:vMerge/>
            <w:shd w:val="clear" w:color="auto" w:fill="FFFFFF"/>
            <w:tcMar>
              <w:top w:w="150" w:type="dxa"/>
              <w:left w:w="0" w:type="dxa"/>
              <w:bottom w:w="150" w:type="dxa"/>
              <w:right w:w="240" w:type="dxa"/>
            </w:tcMar>
            <w:vAlign w:val="center"/>
            <w:hideMark/>
          </w:tcPr>
          <w:p w14:paraId="4B9BDAB3"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521D893"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E7E472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Data quality assurance</w:t>
            </w:r>
          </w:p>
        </w:tc>
        <w:tc>
          <w:tcPr>
            <w:tcW w:w="0" w:type="auto"/>
            <w:shd w:val="clear" w:color="auto" w:fill="FFFFFF"/>
            <w:tcMar>
              <w:top w:w="150" w:type="dxa"/>
              <w:left w:w="240" w:type="dxa"/>
              <w:bottom w:w="150" w:type="dxa"/>
              <w:right w:w="0" w:type="dxa"/>
            </w:tcMar>
            <w:vAlign w:val="center"/>
            <w:hideMark/>
          </w:tcPr>
          <w:p w14:paraId="7D7DB05C"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Systems and processes to ensure accuracy, completeness, and reliability of NSA monitoring data.</w:t>
            </w:r>
          </w:p>
        </w:tc>
      </w:tr>
      <w:tr w:rsidR="00B20046" w:rsidRPr="00B20046" w14:paraId="1A1FD12C" w14:textId="77777777" w:rsidTr="00B20046">
        <w:tc>
          <w:tcPr>
            <w:tcW w:w="0" w:type="auto"/>
            <w:vMerge/>
            <w:shd w:val="clear" w:color="auto" w:fill="FFFFFF"/>
            <w:tcMar>
              <w:top w:w="150" w:type="dxa"/>
              <w:left w:w="0" w:type="dxa"/>
              <w:bottom w:w="150" w:type="dxa"/>
              <w:right w:w="240" w:type="dxa"/>
            </w:tcMar>
            <w:vAlign w:val="center"/>
            <w:hideMark/>
          </w:tcPr>
          <w:p w14:paraId="0FA2C8E5"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301A625"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14FD90C"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Indicator harmonization</w:t>
            </w:r>
          </w:p>
        </w:tc>
        <w:tc>
          <w:tcPr>
            <w:tcW w:w="0" w:type="auto"/>
            <w:shd w:val="clear" w:color="auto" w:fill="FFFFFF"/>
            <w:tcMar>
              <w:top w:w="150" w:type="dxa"/>
              <w:left w:w="240" w:type="dxa"/>
              <w:bottom w:w="150" w:type="dxa"/>
              <w:right w:w="0" w:type="dxa"/>
            </w:tcMar>
            <w:vAlign w:val="center"/>
            <w:hideMark/>
          </w:tcPr>
          <w:p w14:paraId="0F4661BA"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Consistency of indicators, definitions, and measurement methods across levels (federal, regional, woreda) and sectors.</w:t>
            </w:r>
          </w:p>
        </w:tc>
      </w:tr>
      <w:tr w:rsidR="00B20046" w:rsidRPr="00B20046" w14:paraId="1BBE4BDD" w14:textId="77777777" w:rsidTr="00B20046">
        <w:tc>
          <w:tcPr>
            <w:tcW w:w="0" w:type="auto"/>
            <w:vMerge/>
            <w:shd w:val="clear" w:color="auto" w:fill="FFFFFF"/>
            <w:tcMar>
              <w:top w:w="150" w:type="dxa"/>
              <w:left w:w="0" w:type="dxa"/>
              <w:bottom w:w="150" w:type="dxa"/>
              <w:right w:w="240" w:type="dxa"/>
            </w:tcMar>
            <w:vAlign w:val="center"/>
            <w:hideMark/>
          </w:tcPr>
          <w:p w14:paraId="51A84C17"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07BF6A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Reporting Systems</w:t>
            </w:r>
          </w:p>
        </w:tc>
        <w:tc>
          <w:tcPr>
            <w:tcW w:w="0" w:type="auto"/>
            <w:shd w:val="clear" w:color="auto" w:fill="FFFFFF"/>
            <w:tcMar>
              <w:top w:w="150" w:type="dxa"/>
              <w:left w:w="240" w:type="dxa"/>
              <w:bottom w:w="150" w:type="dxa"/>
              <w:right w:w="240" w:type="dxa"/>
            </w:tcMar>
            <w:vAlign w:val="center"/>
            <w:hideMark/>
          </w:tcPr>
          <w:p w14:paraId="6EB25EE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Regular reporting compliance</w:t>
            </w:r>
          </w:p>
        </w:tc>
        <w:tc>
          <w:tcPr>
            <w:tcW w:w="0" w:type="auto"/>
            <w:shd w:val="clear" w:color="auto" w:fill="FFFFFF"/>
            <w:tcMar>
              <w:top w:w="150" w:type="dxa"/>
              <w:left w:w="240" w:type="dxa"/>
              <w:bottom w:w="150" w:type="dxa"/>
              <w:right w:w="0" w:type="dxa"/>
            </w:tcMar>
            <w:vAlign w:val="center"/>
            <w:hideMark/>
          </w:tcPr>
          <w:p w14:paraId="4BEE9B07"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Timeliness and completeness of NSA progress reporting from lower to higher administrative levels.</w:t>
            </w:r>
          </w:p>
        </w:tc>
      </w:tr>
      <w:tr w:rsidR="00B20046" w:rsidRPr="00B20046" w14:paraId="2C602A8E" w14:textId="77777777" w:rsidTr="00B20046">
        <w:tc>
          <w:tcPr>
            <w:tcW w:w="0" w:type="auto"/>
            <w:vMerge/>
            <w:shd w:val="clear" w:color="auto" w:fill="FFFFFF"/>
            <w:tcMar>
              <w:top w:w="150" w:type="dxa"/>
              <w:left w:w="0" w:type="dxa"/>
              <w:bottom w:w="150" w:type="dxa"/>
              <w:right w:w="240" w:type="dxa"/>
            </w:tcMar>
            <w:vAlign w:val="center"/>
            <w:hideMark/>
          </w:tcPr>
          <w:p w14:paraId="6E711B79"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437E806"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FCCD36B"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Data use for decision-making</w:t>
            </w:r>
          </w:p>
        </w:tc>
        <w:tc>
          <w:tcPr>
            <w:tcW w:w="0" w:type="auto"/>
            <w:shd w:val="clear" w:color="auto" w:fill="FFFFFF"/>
            <w:tcMar>
              <w:top w:w="150" w:type="dxa"/>
              <w:left w:w="240" w:type="dxa"/>
              <w:bottom w:w="150" w:type="dxa"/>
              <w:right w:w="0" w:type="dxa"/>
            </w:tcMar>
            <w:vAlign w:val="center"/>
            <w:hideMark/>
          </w:tcPr>
          <w:p w14:paraId="1FD79447"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Extent to which monitoring data actively inform programmatic adjustments, resource reallocation, and strategic decisions (adaptive management).</w:t>
            </w:r>
          </w:p>
        </w:tc>
      </w:tr>
      <w:tr w:rsidR="00B20046" w:rsidRPr="00B20046" w14:paraId="47E717F7" w14:textId="77777777" w:rsidTr="00B20046">
        <w:tc>
          <w:tcPr>
            <w:tcW w:w="0" w:type="auto"/>
            <w:vMerge/>
            <w:shd w:val="clear" w:color="auto" w:fill="FFFFFF"/>
            <w:tcMar>
              <w:top w:w="150" w:type="dxa"/>
              <w:left w:w="0" w:type="dxa"/>
              <w:bottom w:w="150" w:type="dxa"/>
              <w:right w:w="240" w:type="dxa"/>
            </w:tcMar>
            <w:vAlign w:val="center"/>
            <w:hideMark/>
          </w:tcPr>
          <w:p w14:paraId="004D5D5C"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30348BF"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00A9551"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Reporting burden versus value</w:t>
            </w:r>
          </w:p>
        </w:tc>
        <w:tc>
          <w:tcPr>
            <w:tcW w:w="0" w:type="auto"/>
            <w:shd w:val="clear" w:color="auto" w:fill="FFFFFF"/>
            <w:tcMar>
              <w:top w:w="150" w:type="dxa"/>
              <w:left w:w="240" w:type="dxa"/>
              <w:bottom w:w="150" w:type="dxa"/>
              <w:right w:w="0" w:type="dxa"/>
            </w:tcMar>
            <w:vAlign w:val="center"/>
            <w:hideMark/>
          </w:tcPr>
          <w:p w14:paraId="510F02B1"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Balance between data collection/reporting requirements and their utility for improving implementation.</w:t>
            </w:r>
          </w:p>
        </w:tc>
      </w:tr>
      <w:tr w:rsidR="00B20046" w:rsidRPr="00B20046" w14:paraId="5A64040B" w14:textId="77777777" w:rsidTr="00B20046">
        <w:tc>
          <w:tcPr>
            <w:tcW w:w="0" w:type="auto"/>
            <w:vMerge/>
            <w:shd w:val="clear" w:color="auto" w:fill="FFFFFF"/>
            <w:tcMar>
              <w:top w:w="150" w:type="dxa"/>
              <w:left w:w="0" w:type="dxa"/>
              <w:bottom w:w="150" w:type="dxa"/>
              <w:right w:w="240" w:type="dxa"/>
            </w:tcMar>
            <w:vAlign w:val="center"/>
            <w:hideMark/>
          </w:tcPr>
          <w:p w14:paraId="078F4C81"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F76A850"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623C86D"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Integration with health/nutrition data</w:t>
            </w:r>
          </w:p>
        </w:tc>
        <w:tc>
          <w:tcPr>
            <w:tcW w:w="0" w:type="auto"/>
            <w:shd w:val="clear" w:color="auto" w:fill="FFFFFF"/>
            <w:tcMar>
              <w:top w:w="150" w:type="dxa"/>
              <w:left w:w="240" w:type="dxa"/>
              <w:bottom w:w="150" w:type="dxa"/>
              <w:right w:w="0" w:type="dxa"/>
            </w:tcMar>
            <w:vAlign w:val="center"/>
            <w:hideMark/>
          </w:tcPr>
          <w:p w14:paraId="45CCBC63"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Linkages between agriculture monitoring systems and health/nutrition data platforms (e.g., DHIS2, EDHS).</w:t>
            </w:r>
          </w:p>
        </w:tc>
      </w:tr>
      <w:tr w:rsidR="00B20046" w:rsidRPr="00B20046" w14:paraId="08CC1A6E" w14:textId="77777777" w:rsidTr="00B20046">
        <w:tc>
          <w:tcPr>
            <w:tcW w:w="0" w:type="auto"/>
            <w:vMerge/>
            <w:shd w:val="clear" w:color="auto" w:fill="FFFFFF"/>
            <w:tcMar>
              <w:top w:w="150" w:type="dxa"/>
              <w:left w:w="0" w:type="dxa"/>
              <w:bottom w:w="150" w:type="dxa"/>
              <w:right w:w="240" w:type="dxa"/>
            </w:tcMar>
            <w:vAlign w:val="center"/>
            <w:hideMark/>
          </w:tcPr>
          <w:p w14:paraId="49FC1148"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62FD79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Supportive Supervision</w:t>
            </w:r>
          </w:p>
        </w:tc>
        <w:tc>
          <w:tcPr>
            <w:tcW w:w="0" w:type="auto"/>
            <w:shd w:val="clear" w:color="auto" w:fill="FFFFFF"/>
            <w:tcMar>
              <w:top w:w="150" w:type="dxa"/>
              <w:left w:w="240" w:type="dxa"/>
              <w:bottom w:w="150" w:type="dxa"/>
              <w:right w:w="240" w:type="dxa"/>
            </w:tcMar>
            <w:vAlign w:val="center"/>
            <w:hideMark/>
          </w:tcPr>
          <w:p w14:paraId="546E8CED"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Regularity of supervision</w:t>
            </w:r>
          </w:p>
        </w:tc>
        <w:tc>
          <w:tcPr>
            <w:tcW w:w="0" w:type="auto"/>
            <w:shd w:val="clear" w:color="auto" w:fill="FFFFFF"/>
            <w:tcMar>
              <w:top w:w="150" w:type="dxa"/>
              <w:left w:w="240" w:type="dxa"/>
              <w:bottom w:w="150" w:type="dxa"/>
              <w:right w:w="0" w:type="dxa"/>
            </w:tcMar>
            <w:vAlign w:val="center"/>
            <w:hideMark/>
          </w:tcPr>
          <w:p w14:paraId="30214E7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Frequency of field supervision visits to support frontline NSA implementation.</w:t>
            </w:r>
          </w:p>
        </w:tc>
      </w:tr>
      <w:tr w:rsidR="00B20046" w:rsidRPr="00B20046" w14:paraId="740A5B00" w14:textId="77777777" w:rsidTr="00B20046">
        <w:tc>
          <w:tcPr>
            <w:tcW w:w="0" w:type="auto"/>
            <w:vMerge w:val="restart"/>
            <w:shd w:val="clear" w:color="auto" w:fill="FFFFFF"/>
            <w:tcMar>
              <w:top w:w="150" w:type="dxa"/>
              <w:left w:w="0" w:type="dxa"/>
              <w:bottom w:w="150" w:type="dxa"/>
              <w:right w:w="240" w:type="dxa"/>
            </w:tcMar>
            <w:vAlign w:val="center"/>
            <w:hideMark/>
          </w:tcPr>
          <w:p w14:paraId="191E905B"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494B4D8"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7EAAEB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Quality of supervision</w:t>
            </w:r>
          </w:p>
        </w:tc>
        <w:tc>
          <w:tcPr>
            <w:tcW w:w="0" w:type="auto"/>
            <w:shd w:val="clear" w:color="auto" w:fill="FFFFFF"/>
            <w:tcMar>
              <w:top w:w="150" w:type="dxa"/>
              <w:left w:w="240" w:type="dxa"/>
              <w:bottom w:w="150" w:type="dxa"/>
              <w:right w:w="0" w:type="dxa"/>
            </w:tcMar>
            <w:vAlign w:val="center"/>
            <w:hideMark/>
          </w:tcPr>
          <w:p w14:paraId="213E748F"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Extent to which supervision provides constructive feedback, problem-solving support, and capacity building (not just compliance checking).</w:t>
            </w:r>
          </w:p>
        </w:tc>
      </w:tr>
      <w:tr w:rsidR="00B20046" w:rsidRPr="00B20046" w14:paraId="2C942C60" w14:textId="77777777" w:rsidTr="00B20046">
        <w:tc>
          <w:tcPr>
            <w:tcW w:w="0" w:type="auto"/>
            <w:vMerge/>
            <w:shd w:val="clear" w:color="auto" w:fill="FFFFFF"/>
            <w:tcMar>
              <w:top w:w="150" w:type="dxa"/>
              <w:left w:w="0" w:type="dxa"/>
              <w:bottom w:w="150" w:type="dxa"/>
              <w:right w:w="240" w:type="dxa"/>
            </w:tcMar>
            <w:vAlign w:val="center"/>
            <w:hideMark/>
          </w:tcPr>
          <w:p w14:paraId="4C521306"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3B0A91F"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B54B8D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Resource availability for supervision</w:t>
            </w:r>
          </w:p>
        </w:tc>
        <w:tc>
          <w:tcPr>
            <w:tcW w:w="0" w:type="auto"/>
            <w:shd w:val="clear" w:color="auto" w:fill="FFFFFF"/>
            <w:tcMar>
              <w:top w:w="150" w:type="dxa"/>
              <w:left w:w="240" w:type="dxa"/>
              <w:bottom w:w="150" w:type="dxa"/>
              <w:right w:w="0" w:type="dxa"/>
            </w:tcMar>
            <w:vAlign w:val="center"/>
            <w:hideMark/>
          </w:tcPr>
          <w:p w14:paraId="6C44F5BC"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Adequacy of transport, per diem, and other resources to conduct regular supervision visits.</w:t>
            </w:r>
          </w:p>
        </w:tc>
      </w:tr>
      <w:tr w:rsidR="00B20046" w:rsidRPr="00B20046" w14:paraId="22F628E9" w14:textId="77777777" w:rsidTr="00B20046">
        <w:tc>
          <w:tcPr>
            <w:tcW w:w="0" w:type="auto"/>
            <w:vMerge/>
            <w:shd w:val="clear" w:color="auto" w:fill="FFFFFF"/>
            <w:tcMar>
              <w:top w:w="150" w:type="dxa"/>
              <w:left w:w="0" w:type="dxa"/>
              <w:bottom w:w="150" w:type="dxa"/>
              <w:right w:w="240" w:type="dxa"/>
            </w:tcMar>
            <w:vAlign w:val="center"/>
            <w:hideMark/>
          </w:tcPr>
          <w:p w14:paraId="4B773B1D"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8239204"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7A56C0F"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Follow-up on supervision findings</w:t>
            </w:r>
          </w:p>
        </w:tc>
        <w:tc>
          <w:tcPr>
            <w:tcW w:w="0" w:type="auto"/>
            <w:shd w:val="clear" w:color="auto" w:fill="FFFFFF"/>
            <w:tcMar>
              <w:top w:w="150" w:type="dxa"/>
              <w:left w:w="240" w:type="dxa"/>
              <w:bottom w:w="150" w:type="dxa"/>
              <w:right w:w="0" w:type="dxa"/>
            </w:tcMar>
            <w:vAlign w:val="center"/>
            <w:hideMark/>
          </w:tcPr>
          <w:p w14:paraId="302F55AA"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Evidence that issues identified during supervision are addressed through corrective actions.</w:t>
            </w:r>
          </w:p>
        </w:tc>
      </w:tr>
      <w:tr w:rsidR="00B20046" w:rsidRPr="00B20046" w14:paraId="04983D40" w14:textId="77777777" w:rsidTr="00B20046">
        <w:tc>
          <w:tcPr>
            <w:tcW w:w="0" w:type="auto"/>
            <w:vMerge/>
            <w:shd w:val="clear" w:color="auto" w:fill="FFFFFF"/>
            <w:tcMar>
              <w:top w:w="150" w:type="dxa"/>
              <w:left w:w="0" w:type="dxa"/>
              <w:bottom w:w="150" w:type="dxa"/>
              <w:right w:w="240" w:type="dxa"/>
            </w:tcMar>
            <w:vAlign w:val="center"/>
            <w:hideMark/>
          </w:tcPr>
          <w:p w14:paraId="588C376D"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637471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Feedback Loops</w:t>
            </w:r>
          </w:p>
        </w:tc>
        <w:tc>
          <w:tcPr>
            <w:tcW w:w="0" w:type="auto"/>
            <w:shd w:val="clear" w:color="auto" w:fill="FFFFFF"/>
            <w:tcMar>
              <w:top w:w="150" w:type="dxa"/>
              <w:left w:w="240" w:type="dxa"/>
              <w:bottom w:w="150" w:type="dxa"/>
              <w:right w:w="240" w:type="dxa"/>
            </w:tcMar>
            <w:vAlign w:val="center"/>
            <w:hideMark/>
          </w:tcPr>
          <w:p w14:paraId="61ADEAF5"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Bottom-up accountability</w:t>
            </w:r>
          </w:p>
        </w:tc>
        <w:tc>
          <w:tcPr>
            <w:tcW w:w="0" w:type="auto"/>
            <w:shd w:val="clear" w:color="auto" w:fill="FFFFFF"/>
            <w:tcMar>
              <w:top w:w="150" w:type="dxa"/>
              <w:left w:w="240" w:type="dxa"/>
              <w:bottom w:w="150" w:type="dxa"/>
              <w:right w:w="0" w:type="dxa"/>
            </w:tcMar>
            <w:vAlign w:val="center"/>
            <w:hideMark/>
          </w:tcPr>
          <w:p w14:paraId="681B910B"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Mechanisms for communities, farmers, and frontline workers to raise concerns and influence NSA implementation decisions.</w:t>
            </w:r>
          </w:p>
        </w:tc>
      </w:tr>
      <w:tr w:rsidR="00B20046" w:rsidRPr="00B20046" w14:paraId="1E19DBA2" w14:textId="77777777" w:rsidTr="00B20046">
        <w:tc>
          <w:tcPr>
            <w:tcW w:w="0" w:type="auto"/>
            <w:vMerge/>
            <w:shd w:val="clear" w:color="auto" w:fill="FFFFFF"/>
            <w:tcMar>
              <w:top w:w="150" w:type="dxa"/>
              <w:left w:w="0" w:type="dxa"/>
              <w:bottom w:w="150" w:type="dxa"/>
              <w:right w:w="240" w:type="dxa"/>
            </w:tcMar>
            <w:vAlign w:val="center"/>
            <w:hideMark/>
          </w:tcPr>
          <w:p w14:paraId="5F726317"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25054F4"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ED7E83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Performance consequences</w:t>
            </w:r>
          </w:p>
        </w:tc>
        <w:tc>
          <w:tcPr>
            <w:tcW w:w="0" w:type="auto"/>
            <w:shd w:val="clear" w:color="auto" w:fill="FFFFFF"/>
            <w:tcMar>
              <w:top w:w="150" w:type="dxa"/>
              <w:left w:w="240" w:type="dxa"/>
              <w:bottom w:w="150" w:type="dxa"/>
              <w:right w:w="0" w:type="dxa"/>
            </w:tcMar>
            <w:vAlign w:val="center"/>
            <w:hideMark/>
          </w:tcPr>
          <w:p w14:paraId="5BF3413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Existence of rewards, recognition, or sanctions linked to NSA performance at individual, team, and institutional levels.</w:t>
            </w:r>
          </w:p>
        </w:tc>
      </w:tr>
      <w:tr w:rsidR="00B20046" w:rsidRPr="00B20046" w14:paraId="5399F4F4" w14:textId="77777777" w:rsidTr="00B20046">
        <w:tc>
          <w:tcPr>
            <w:tcW w:w="0" w:type="auto"/>
            <w:vMerge/>
            <w:shd w:val="clear" w:color="auto" w:fill="FFFFFF"/>
            <w:tcMar>
              <w:top w:w="150" w:type="dxa"/>
              <w:left w:w="0" w:type="dxa"/>
              <w:bottom w:w="150" w:type="dxa"/>
              <w:right w:w="240" w:type="dxa"/>
            </w:tcMar>
            <w:vAlign w:val="center"/>
            <w:hideMark/>
          </w:tcPr>
          <w:p w14:paraId="610BAAF8"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7AAD31F"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F721CBD"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Grievance mechanisms</w:t>
            </w:r>
          </w:p>
        </w:tc>
        <w:tc>
          <w:tcPr>
            <w:tcW w:w="0" w:type="auto"/>
            <w:shd w:val="clear" w:color="auto" w:fill="FFFFFF"/>
            <w:tcMar>
              <w:top w:w="150" w:type="dxa"/>
              <w:left w:w="240" w:type="dxa"/>
              <w:bottom w:w="150" w:type="dxa"/>
              <w:right w:w="0" w:type="dxa"/>
            </w:tcMar>
            <w:vAlign w:val="center"/>
            <w:hideMark/>
          </w:tcPr>
          <w:p w14:paraId="27C53549"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Systems for reporting and resolving complaints related to NSA implementation (e.g., input distribution, targeting, benefit sharing).</w:t>
            </w:r>
          </w:p>
        </w:tc>
      </w:tr>
      <w:tr w:rsidR="00B20046" w:rsidRPr="00B20046" w14:paraId="6867E426" w14:textId="77777777" w:rsidTr="00B20046">
        <w:tc>
          <w:tcPr>
            <w:tcW w:w="0" w:type="auto"/>
            <w:vMerge/>
            <w:shd w:val="clear" w:color="auto" w:fill="FFFFFF"/>
            <w:tcMar>
              <w:top w:w="150" w:type="dxa"/>
              <w:left w:w="0" w:type="dxa"/>
              <w:bottom w:w="150" w:type="dxa"/>
              <w:right w:w="240" w:type="dxa"/>
            </w:tcMar>
            <w:vAlign w:val="center"/>
            <w:hideMark/>
          </w:tcPr>
          <w:p w14:paraId="545720C3"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D90B6CD"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3C1A7C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Transparency</w:t>
            </w:r>
          </w:p>
        </w:tc>
        <w:tc>
          <w:tcPr>
            <w:tcW w:w="0" w:type="auto"/>
            <w:shd w:val="clear" w:color="auto" w:fill="FFFFFF"/>
            <w:tcMar>
              <w:top w:w="150" w:type="dxa"/>
              <w:left w:w="240" w:type="dxa"/>
              <w:bottom w:w="150" w:type="dxa"/>
              <w:right w:w="0" w:type="dxa"/>
            </w:tcMar>
            <w:vAlign w:val="center"/>
            <w:hideMark/>
          </w:tcPr>
          <w:p w14:paraId="574E0D7A"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Public availability of NSA plans, budgets, expenditures, and performance data for stakeholder scrutiny.</w:t>
            </w:r>
          </w:p>
        </w:tc>
      </w:tr>
      <w:tr w:rsidR="00B20046" w:rsidRPr="00B20046" w14:paraId="078A9C80" w14:textId="77777777" w:rsidTr="00B20046">
        <w:tc>
          <w:tcPr>
            <w:tcW w:w="0" w:type="auto"/>
            <w:shd w:val="clear" w:color="auto" w:fill="FFFFFF"/>
            <w:tcMar>
              <w:top w:w="150" w:type="dxa"/>
              <w:left w:w="0" w:type="dxa"/>
              <w:bottom w:w="150" w:type="dxa"/>
              <w:right w:w="240" w:type="dxa"/>
            </w:tcMar>
            <w:vAlign w:val="center"/>
            <w:hideMark/>
          </w:tcPr>
          <w:p w14:paraId="74A8760B"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b/>
                <w:bCs/>
                <w:sz w:val="20"/>
                <w:szCs w:val="20"/>
              </w:rPr>
              <w:t>Institutional Capacity</w:t>
            </w:r>
          </w:p>
        </w:tc>
        <w:tc>
          <w:tcPr>
            <w:tcW w:w="0" w:type="auto"/>
            <w:shd w:val="clear" w:color="auto" w:fill="FFFFFF"/>
            <w:tcMar>
              <w:top w:w="150" w:type="dxa"/>
              <w:left w:w="240" w:type="dxa"/>
              <w:bottom w:w="150" w:type="dxa"/>
              <w:right w:w="240" w:type="dxa"/>
            </w:tcMar>
            <w:vAlign w:val="center"/>
            <w:hideMark/>
          </w:tcPr>
          <w:p w14:paraId="7DC587F1"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Human Resources</w:t>
            </w:r>
          </w:p>
        </w:tc>
        <w:tc>
          <w:tcPr>
            <w:tcW w:w="0" w:type="auto"/>
            <w:shd w:val="clear" w:color="auto" w:fill="FFFFFF"/>
            <w:tcMar>
              <w:top w:w="150" w:type="dxa"/>
              <w:left w:w="240" w:type="dxa"/>
              <w:bottom w:w="150" w:type="dxa"/>
              <w:right w:w="240" w:type="dxa"/>
            </w:tcMar>
            <w:vAlign w:val="center"/>
            <w:hideMark/>
          </w:tcPr>
          <w:p w14:paraId="1DFD23CF"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Staffing adequacy</w:t>
            </w:r>
          </w:p>
        </w:tc>
        <w:tc>
          <w:tcPr>
            <w:tcW w:w="0" w:type="auto"/>
            <w:shd w:val="clear" w:color="auto" w:fill="FFFFFF"/>
            <w:tcMar>
              <w:top w:w="150" w:type="dxa"/>
              <w:left w:w="240" w:type="dxa"/>
              <w:bottom w:w="150" w:type="dxa"/>
              <w:right w:w="0" w:type="dxa"/>
            </w:tcMar>
            <w:vAlign w:val="center"/>
            <w:hideMark/>
          </w:tcPr>
          <w:p w14:paraId="13538E6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Sufficient number of staff (nutrition focal persons, extension workers, supervisors) at each administrative level relative to requirements.</w:t>
            </w:r>
          </w:p>
        </w:tc>
      </w:tr>
      <w:tr w:rsidR="00B20046" w:rsidRPr="00B20046" w14:paraId="365F1340" w14:textId="77777777" w:rsidTr="00B20046">
        <w:tc>
          <w:tcPr>
            <w:tcW w:w="0" w:type="auto"/>
            <w:vMerge w:val="restart"/>
            <w:shd w:val="clear" w:color="auto" w:fill="FFFFFF"/>
            <w:tcMar>
              <w:top w:w="150" w:type="dxa"/>
              <w:left w:w="0" w:type="dxa"/>
              <w:bottom w:w="150" w:type="dxa"/>
              <w:right w:w="240" w:type="dxa"/>
            </w:tcMar>
            <w:vAlign w:val="center"/>
            <w:hideMark/>
          </w:tcPr>
          <w:p w14:paraId="6BA28BE0"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5DD051D"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B1A036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Qualification and skills</w:t>
            </w:r>
          </w:p>
        </w:tc>
        <w:tc>
          <w:tcPr>
            <w:tcW w:w="0" w:type="auto"/>
            <w:shd w:val="clear" w:color="auto" w:fill="FFFFFF"/>
            <w:tcMar>
              <w:top w:w="150" w:type="dxa"/>
              <w:left w:w="240" w:type="dxa"/>
              <w:bottom w:w="150" w:type="dxa"/>
              <w:right w:w="0" w:type="dxa"/>
            </w:tcMar>
            <w:vAlign w:val="center"/>
            <w:hideMark/>
          </w:tcPr>
          <w:p w14:paraId="50004B8C"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Appropriate educational background, technical training, and competencies of staff assigned to NSA roles.</w:t>
            </w:r>
          </w:p>
        </w:tc>
      </w:tr>
      <w:tr w:rsidR="00B20046" w:rsidRPr="00B20046" w14:paraId="18637E2D" w14:textId="77777777" w:rsidTr="00B20046">
        <w:tc>
          <w:tcPr>
            <w:tcW w:w="0" w:type="auto"/>
            <w:vMerge/>
            <w:shd w:val="clear" w:color="auto" w:fill="FFFFFF"/>
            <w:tcMar>
              <w:top w:w="150" w:type="dxa"/>
              <w:left w:w="0" w:type="dxa"/>
              <w:bottom w:w="150" w:type="dxa"/>
              <w:right w:w="240" w:type="dxa"/>
            </w:tcMar>
            <w:vAlign w:val="center"/>
            <w:hideMark/>
          </w:tcPr>
          <w:p w14:paraId="78724C79"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3ECB012"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A2B94F5"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Career structure</w:t>
            </w:r>
          </w:p>
        </w:tc>
        <w:tc>
          <w:tcPr>
            <w:tcW w:w="0" w:type="auto"/>
            <w:shd w:val="clear" w:color="auto" w:fill="FFFFFF"/>
            <w:tcMar>
              <w:top w:w="150" w:type="dxa"/>
              <w:left w:w="240" w:type="dxa"/>
              <w:bottom w:w="150" w:type="dxa"/>
              <w:right w:w="0" w:type="dxa"/>
            </w:tcMar>
            <w:vAlign w:val="center"/>
            <w:hideMark/>
          </w:tcPr>
          <w:p w14:paraId="34FE3C7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Existence of formal career pathways, job descriptions, and promotion criteria for nutrition-sensitive agriculture positions.</w:t>
            </w:r>
          </w:p>
        </w:tc>
      </w:tr>
      <w:tr w:rsidR="00B20046" w:rsidRPr="00B20046" w14:paraId="707E9EE1" w14:textId="77777777" w:rsidTr="00B20046">
        <w:tc>
          <w:tcPr>
            <w:tcW w:w="0" w:type="auto"/>
            <w:vMerge/>
            <w:shd w:val="clear" w:color="auto" w:fill="FFFFFF"/>
            <w:tcMar>
              <w:top w:w="150" w:type="dxa"/>
              <w:left w:w="0" w:type="dxa"/>
              <w:bottom w:w="150" w:type="dxa"/>
              <w:right w:w="240" w:type="dxa"/>
            </w:tcMar>
            <w:vAlign w:val="center"/>
            <w:hideMark/>
          </w:tcPr>
          <w:p w14:paraId="3BEC3401"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F93D1EB"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4E9101F"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Vacancy rates</w:t>
            </w:r>
          </w:p>
        </w:tc>
        <w:tc>
          <w:tcPr>
            <w:tcW w:w="0" w:type="auto"/>
            <w:shd w:val="clear" w:color="auto" w:fill="FFFFFF"/>
            <w:tcMar>
              <w:top w:w="150" w:type="dxa"/>
              <w:left w:w="240" w:type="dxa"/>
              <w:bottom w:w="150" w:type="dxa"/>
              <w:right w:w="0" w:type="dxa"/>
            </w:tcMar>
            <w:vAlign w:val="center"/>
            <w:hideMark/>
          </w:tcPr>
          <w:p w14:paraId="4C1C308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Proportion of approved NSA positions that are filled (not vacant) at federal, regional, zonal, and woreda levels.</w:t>
            </w:r>
          </w:p>
        </w:tc>
      </w:tr>
      <w:tr w:rsidR="00B20046" w:rsidRPr="00B20046" w14:paraId="4597F30B" w14:textId="77777777" w:rsidTr="00B20046">
        <w:tc>
          <w:tcPr>
            <w:tcW w:w="0" w:type="auto"/>
            <w:vMerge/>
            <w:shd w:val="clear" w:color="auto" w:fill="FFFFFF"/>
            <w:tcMar>
              <w:top w:w="150" w:type="dxa"/>
              <w:left w:w="0" w:type="dxa"/>
              <w:bottom w:w="150" w:type="dxa"/>
              <w:right w:w="240" w:type="dxa"/>
            </w:tcMar>
            <w:vAlign w:val="center"/>
            <w:hideMark/>
          </w:tcPr>
          <w:p w14:paraId="44A216E6"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9554475"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72FFA3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Turnover and retention</w:t>
            </w:r>
          </w:p>
        </w:tc>
        <w:tc>
          <w:tcPr>
            <w:tcW w:w="0" w:type="auto"/>
            <w:shd w:val="clear" w:color="auto" w:fill="FFFFFF"/>
            <w:tcMar>
              <w:top w:w="150" w:type="dxa"/>
              <w:left w:w="240" w:type="dxa"/>
              <w:bottom w:w="150" w:type="dxa"/>
              <w:right w:w="0" w:type="dxa"/>
            </w:tcMar>
            <w:vAlign w:val="center"/>
            <w:hideMark/>
          </w:tcPr>
          <w:p w14:paraId="06A01024"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Frequency of staff departure from NSA positions and effectiveness of retention strategies.</w:t>
            </w:r>
          </w:p>
        </w:tc>
      </w:tr>
      <w:tr w:rsidR="00B20046" w:rsidRPr="00B20046" w14:paraId="7E7D8942" w14:textId="77777777" w:rsidTr="00B20046">
        <w:tc>
          <w:tcPr>
            <w:tcW w:w="0" w:type="auto"/>
            <w:vMerge/>
            <w:shd w:val="clear" w:color="auto" w:fill="FFFFFF"/>
            <w:tcMar>
              <w:top w:w="150" w:type="dxa"/>
              <w:left w:w="0" w:type="dxa"/>
              <w:bottom w:w="150" w:type="dxa"/>
              <w:right w:w="240" w:type="dxa"/>
            </w:tcMar>
            <w:vAlign w:val="center"/>
            <w:hideMark/>
          </w:tcPr>
          <w:p w14:paraId="7153CF26"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73EE30F"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Training and Capacity Building</w:t>
            </w:r>
          </w:p>
        </w:tc>
        <w:tc>
          <w:tcPr>
            <w:tcW w:w="0" w:type="auto"/>
            <w:shd w:val="clear" w:color="auto" w:fill="FFFFFF"/>
            <w:tcMar>
              <w:top w:w="150" w:type="dxa"/>
              <w:left w:w="240" w:type="dxa"/>
              <w:bottom w:w="150" w:type="dxa"/>
              <w:right w:w="240" w:type="dxa"/>
            </w:tcMar>
            <w:vAlign w:val="center"/>
            <w:hideMark/>
          </w:tcPr>
          <w:p w14:paraId="029992D7"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Pre-service training</w:t>
            </w:r>
          </w:p>
        </w:tc>
        <w:tc>
          <w:tcPr>
            <w:tcW w:w="0" w:type="auto"/>
            <w:shd w:val="clear" w:color="auto" w:fill="FFFFFF"/>
            <w:tcMar>
              <w:top w:w="150" w:type="dxa"/>
              <w:left w:w="240" w:type="dxa"/>
              <w:bottom w:w="150" w:type="dxa"/>
              <w:right w:w="0" w:type="dxa"/>
            </w:tcMar>
            <w:vAlign w:val="center"/>
            <w:hideMark/>
          </w:tcPr>
          <w:p w14:paraId="58A2F42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Integration of NSA content into agricultural university, college, and TVET curricula.</w:t>
            </w:r>
          </w:p>
        </w:tc>
      </w:tr>
      <w:tr w:rsidR="00B20046" w:rsidRPr="00B20046" w14:paraId="61536758" w14:textId="77777777" w:rsidTr="00B20046">
        <w:tc>
          <w:tcPr>
            <w:tcW w:w="0" w:type="auto"/>
            <w:vMerge/>
            <w:shd w:val="clear" w:color="auto" w:fill="FFFFFF"/>
            <w:tcMar>
              <w:top w:w="150" w:type="dxa"/>
              <w:left w:w="0" w:type="dxa"/>
              <w:bottom w:w="150" w:type="dxa"/>
              <w:right w:w="240" w:type="dxa"/>
            </w:tcMar>
            <w:vAlign w:val="center"/>
            <w:hideMark/>
          </w:tcPr>
          <w:p w14:paraId="31079AF2"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BCFF408"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3D1A0A3"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In-service training</w:t>
            </w:r>
          </w:p>
        </w:tc>
        <w:tc>
          <w:tcPr>
            <w:tcW w:w="0" w:type="auto"/>
            <w:shd w:val="clear" w:color="auto" w:fill="FFFFFF"/>
            <w:tcMar>
              <w:top w:w="150" w:type="dxa"/>
              <w:left w:w="240" w:type="dxa"/>
              <w:bottom w:w="150" w:type="dxa"/>
              <w:right w:w="0" w:type="dxa"/>
            </w:tcMar>
            <w:vAlign w:val="center"/>
            <w:hideMark/>
          </w:tcPr>
          <w:p w14:paraId="5C0C5CDD"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Ongoing professional development opportunities for MOA and extension staff on NSA concepts, interventions, and monitoring.</w:t>
            </w:r>
          </w:p>
        </w:tc>
      </w:tr>
      <w:tr w:rsidR="00B20046" w:rsidRPr="00B20046" w14:paraId="0C0463C3" w14:textId="77777777" w:rsidTr="00B20046">
        <w:tc>
          <w:tcPr>
            <w:tcW w:w="0" w:type="auto"/>
            <w:vMerge/>
            <w:shd w:val="clear" w:color="auto" w:fill="FFFFFF"/>
            <w:tcMar>
              <w:top w:w="150" w:type="dxa"/>
              <w:left w:w="0" w:type="dxa"/>
              <w:bottom w:w="150" w:type="dxa"/>
              <w:right w:w="240" w:type="dxa"/>
            </w:tcMar>
            <w:vAlign w:val="center"/>
            <w:hideMark/>
          </w:tcPr>
          <w:p w14:paraId="57B08BBC"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AED934D"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7738A8F1"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Training reach and coverage</w:t>
            </w:r>
          </w:p>
        </w:tc>
        <w:tc>
          <w:tcPr>
            <w:tcW w:w="0" w:type="auto"/>
            <w:shd w:val="clear" w:color="auto" w:fill="FFFFFF"/>
            <w:tcMar>
              <w:top w:w="150" w:type="dxa"/>
              <w:left w:w="240" w:type="dxa"/>
              <w:bottom w:w="150" w:type="dxa"/>
              <w:right w:w="0" w:type="dxa"/>
            </w:tcMar>
            <w:vAlign w:val="center"/>
            <w:hideMark/>
          </w:tcPr>
          <w:p w14:paraId="53B619B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Proportion of relevant staff who have received NSA training, disaggregated by level, region, and cadre.</w:t>
            </w:r>
          </w:p>
        </w:tc>
      </w:tr>
      <w:tr w:rsidR="00B20046" w:rsidRPr="00B20046" w14:paraId="694E3509" w14:textId="77777777" w:rsidTr="00B20046">
        <w:tc>
          <w:tcPr>
            <w:tcW w:w="0" w:type="auto"/>
            <w:vMerge/>
            <w:shd w:val="clear" w:color="auto" w:fill="FFFFFF"/>
            <w:tcMar>
              <w:top w:w="150" w:type="dxa"/>
              <w:left w:w="0" w:type="dxa"/>
              <w:bottom w:w="150" w:type="dxa"/>
              <w:right w:w="240" w:type="dxa"/>
            </w:tcMar>
            <w:vAlign w:val="center"/>
            <w:hideMark/>
          </w:tcPr>
          <w:p w14:paraId="1F73D5C2"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9DC2382"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D4AF643"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Training effectiveness</w:t>
            </w:r>
          </w:p>
        </w:tc>
        <w:tc>
          <w:tcPr>
            <w:tcW w:w="0" w:type="auto"/>
            <w:shd w:val="clear" w:color="auto" w:fill="FFFFFF"/>
            <w:tcMar>
              <w:top w:w="150" w:type="dxa"/>
              <w:left w:w="240" w:type="dxa"/>
              <w:bottom w:w="150" w:type="dxa"/>
              <w:right w:w="0" w:type="dxa"/>
            </w:tcMar>
            <w:vAlign w:val="center"/>
            <w:hideMark/>
          </w:tcPr>
          <w:p w14:paraId="4FD63F7B"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Extent to which training translates into improved knowledge, skills, and practice at the workplace.</w:t>
            </w:r>
          </w:p>
        </w:tc>
      </w:tr>
      <w:tr w:rsidR="00B20046" w:rsidRPr="00B20046" w14:paraId="487FD92D" w14:textId="77777777" w:rsidTr="00B20046">
        <w:tc>
          <w:tcPr>
            <w:tcW w:w="0" w:type="auto"/>
            <w:vMerge w:val="restart"/>
            <w:shd w:val="clear" w:color="auto" w:fill="FFFFFF"/>
            <w:tcMar>
              <w:top w:w="150" w:type="dxa"/>
              <w:left w:w="0" w:type="dxa"/>
              <w:bottom w:w="150" w:type="dxa"/>
              <w:right w:w="240" w:type="dxa"/>
            </w:tcMar>
            <w:vAlign w:val="center"/>
            <w:hideMark/>
          </w:tcPr>
          <w:p w14:paraId="785594ED"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63F2F34"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Organizational Structures</w:t>
            </w:r>
          </w:p>
        </w:tc>
        <w:tc>
          <w:tcPr>
            <w:tcW w:w="0" w:type="auto"/>
            <w:shd w:val="clear" w:color="auto" w:fill="FFFFFF"/>
            <w:tcMar>
              <w:top w:w="150" w:type="dxa"/>
              <w:left w:w="240" w:type="dxa"/>
              <w:bottom w:w="150" w:type="dxa"/>
              <w:right w:w="240" w:type="dxa"/>
            </w:tcMar>
            <w:vAlign w:val="center"/>
            <w:hideMark/>
          </w:tcPr>
          <w:p w14:paraId="41028EF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FNCO establishment</w:t>
            </w:r>
          </w:p>
        </w:tc>
        <w:tc>
          <w:tcPr>
            <w:tcW w:w="0" w:type="auto"/>
            <w:shd w:val="clear" w:color="auto" w:fill="FFFFFF"/>
            <w:tcMar>
              <w:top w:w="150" w:type="dxa"/>
              <w:left w:w="240" w:type="dxa"/>
              <w:bottom w:w="150" w:type="dxa"/>
              <w:right w:w="0" w:type="dxa"/>
            </w:tcMar>
            <w:vAlign w:val="center"/>
            <w:hideMark/>
          </w:tcPr>
          <w:p w14:paraId="1A3398F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Presence, authority, and functionality of Food and Nutrition Coordination Offices at federal and regional levels.</w:t>
            </w:r>
          </w:p>
        </w:tc>
      </w:tr>
      <w:tr w:rsidR="00B20046" w:rsidRPr="00B20046" w14:paraId="4352E878" w14:textId="77777777" w:rsidTr="00B20046">
        <w:tc>
          <w:tcPr>
            <w:tcW w:w="0" w:type="auto"/>
            <w:vMerge/>
            <w:shd w:val="clear" w:color="auto" w:fill="FFFFFF"/>
            <w:tcMar>
              <w:top w:w="150" w:type="dxa"/>
              <w:left w:w="0" w:type="dxa"/>
              <w:bottom w:w="150" w:type="dxa"/>
              <w:right w:w="240" w:type="dxa"/>
            </w:tcMar>
            <w:vAlign w:val="center"/>
            <w:hideMark/>
          </w:tcPr>
          <w:p w14:paraId="6BBB7BF2"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28EE2A3"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E99341A"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Nutrition focal points</w:t>
            </w:r>
          </w:p>
        </w:tc>
        <w:tc>
          <w:tcPr>
            <w:tcW w:w="0" w:type="auto"/>
            <w:shd w:val="clear" w:color="auto" w:fill="FFFFFF"/>
            <w:tcMar>
              <w:top w:w="150" w:type="dxa"/>
              <w:left w:w="240" w:type="dxa"/>
              <w:bottom w:w="150" w:type="dxa"/>
              <w:right w:w="0" w:type="dxa"/>
            </w:tcMar>
            <w:vAlign w:val="center"/>
            <w:hideMark/>
          </w:tcPr>
          <w:p w14:paraId="2670755B"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Assignment and functioning of dedicated nutrition focal persons within agriculture structures at each administrative level.</w:t>
            </w:r>
          </w:p>
        </w:tc>
      </w:tr>
      <w:tr w:rsidR="00B20046" w:rsidRPr="00B20046" w14:paraId="39BB2BB1" w14:textId="77777777" w:rsidTr="00B20046">
        <w:tc>
          <w:tcPr>
            <w:tcW w:w="0" w:type="auto"/>
            <w:vMerge/>
            <w:shd w:val="clear" w:color="auto" w:fill="FFFFFF"/>
            <w:tcMar>
              <w:top w:w="150" w:type="dxa"/>
              <w:left w:w="0" w:type="dxa"/>
              <w:bottom w:w="150" w:type="dxa"/>
              <w:right w:w="240" w:type="dxa"/>
            </w:tcMar>
            <w:vAlign w:val="center"/>
            <w:hideMark/>
          </w:tcPr>
          <w:p w14:paraId="5EAD1736"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16067BB"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A78471A"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Integration into existing structures</w:t>
            </w:r>
          </w:p>
        </w:tc>
        <w:tc>
          <w:tcPr>
            <w:tcW w:w="0" w:type="auto"/>
            <w:shd w:val="clear" w:color="auto" w:fill="FFFFFF"/>
            <w:tcMar>
              <w:top w:w="150" w:type="dxa"/>
              <w:left w:w="240" w:type="dxa"/>
              <w:bottom w:w="150" w:type="dxa"/>
              <w:right w:w="0" w:type="dxa"/>
            </w:tcMar>
            <w:vAlign w:val="center"/>
            <w:hideMark/>
          </w:tcPr>
          <w:p w14:paraId="534C85F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Extent to which NSA responsibilities are embedded within regular organizational structures rather than parallel project units.</w:t>
            </w:r>
          </w:p>
        </w:tc>
      </w:tr>
      <w:tr w:rsidR="00B20046" w:rsidRPr="00B20046" w14:paraId="1FE1506B" w14:textId="77777777" w:rsidTr="00B20046">
        <w:tc>
          <w:tcPr>
            <w:tcW w:w="0" w:type="auto"/>
            <w:vMerge/>
            <w:shd w:val="clear" w:color="auto" w:fill="FFFFFF"/>
            <w:tcMar>
              <w:top w:w="150" w:type="dxa"/>
              <w:left w:w="0" w:type="dxa"/>
              <w:bottom w:w="150" w:type="dxa"/>
              <w:right w:w="240" w:type="dxa"/>
            </w:tcMar>
            <w:vAlign w:val="center"/>
            <w:hideMark/>
          </w:tcPr>
          <w:p w14:paraId="5C880788"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995CB43"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2A3C7E5"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Sub-national institutionalization</w:t>
            </w:r>
          </w:p>
        </w:tc>
        <w:tc>
          <w:tcPr>
            <w:tcW w:w="0" w:type="auto"/>
            <w:shd w:val="clear" w:color="auto" w:fill="FFFFFF"/>
            <w:tcMar>
              <w:top w:w="150" w:type="dxa"/>
              <w:left w:w="240" w:type="dxa"/>
              <w:bottom w:w="150" w:type="dxa"/>
              <w:right w:w="0" w:type="dxa"/>
            </w:tcMar>
            <w:vAlign w:val="center"/>
            <w:hideMark/>
          </w:tcPr>
          <w:p w14:paraId="50386E03"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Presence of functional NSA structures at regional, zonal, woreda, and kebele levels.</w:t>
            </w:r>
          </w:p>
        </w:tc>
      </w:tr>
      <w:tr w:rsidR="00B20046" w:rsidRPr="00B20046" w14:paraId="21B8BE81" w14:textId="77777777" w:rsidTr="00B20046">
        <w:tc>
          <w:tcPr>
            <w:tcW w:w="0" w:type="auto"/>
            <w:vMerge/>
            <w:shd w:val="clear" w:color="auto" w:fill="FFFFFF"/>
            <w:tcMar>
              <w:top w:w="150" w:type="dxa"/>
              <w:left w:w="0" w:type="dxa"/>
              <w:bottom w:w="150" w:type="dxa"/>
              <w:right w:w="240" w:type="dxa"/>
            </w:tcMar>
            <w:vAlign w:val="center"/>
            <w:hideMark/>
          </w:tcPr>
          <w:p w14:paraId="21D6DEDB"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B30440F"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5AFDEC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Direct line of command</w:t>
            </w:r>
          </w:p>
        </w:tc>
        <w:tc>
          <w:tcPr>
            <w:tcW w:w="0" w:type="auto"/>
            <w:shd w:val="clear" w:color="auto" w:fill="FFFFFF"/>
            <w:tcMar>
              <w:top w:w="150" w:type="dxa"/>
              <w:left w:w="240" w:type="dxa"/>
              <w:bottom w:w="150" w:type="dxa"/>
              <w:right w:w="0" w:type="dxa"/>
            </w:tcMar>
            <w:vAlign w:val="center"/>
            <w:hideMark/>
          </w:tcPr>
          <w:p w14:paraId="1701236D"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Existence of clear reporting and supervision lines for NSA functions (not fragmented or ambiguous).</w:t>
            </w:r>
          </w:p>
        </w:tc>
      </w:tr>
      <w:tr w:rsidR="00B20046" w:rsidRPr="00B20046" w14:paraId="31FA3D8F" w14:textId="77777777" w:rsidTr="00B20046">
        <w:tc>
          <w:tcPr>
            <w:tcW w:w="0" w:type="auto"/>
            <w:vMerge/>
            <w:shd w:val="clear" w:color="auto" w:fill="FFFFFF"/>
            <w:tcMar>
              <w:top w:w="150" w:type="dxa"/>
              <w:left w:w="0" w:type="dxa"/>
              <w:bottom w:w="150" w:type="dxa"/>
              <w:right w:w="240" w:type="dxa"/>
            </w:tcMar>
            <w:vAlign w:val="center"/>
            <w:hideMark/>
          </w:tcPr>
          <w:p w14:paraId="47710D4A"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717B31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System Constraints</w:t>
            </w:r>
          </w:p>
        </w:tc>
        <w:tc>
          <w:tcPr>
            <w:tcW w:w="0" w:type="auto"/>
            <w:shd w:val="clear" w:color="auto" w:fill="FFFFFF"/>
            <w:tcMar>
              <w:top w:w="150" w:type="dxa"/>
              <w:left w:w="240" w:type="dxa"/>
              <w:bottom w:w="150" w:type="dxa"/>
              <w:right w:w="240" w:type="dxa"/>
            </w:tcMar>
            <w:vAlign w:val="center"/>
            <w:hideMark/>
          </w:tcPr>
          <w:p w14:paraId="433E3FB7"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Seed systems</w:t>
            </w:r>
          </w:p>
        </w:tc>
        <w:tc>
          <w:tcPr>
            <w:tcW w:w="0" w:type="auto"/>
            <w:shd w:val="clear" w:color="auto" w:fill="FFFFFF"/>
            <w:tcMar>
              <w:top w:w="150" w:type="dxa"/>
              <w:left w:w="240" w:type="dxa"/>
              <w:bottom w:w="150" w:type="dxa"/>
              <w:right w:w="0" w:type="dxa"/>
            </w:tcMar>
            <w:vAlign w:val="center"/>
            <w:hideMark/>
          </w:tcPr>
          <w:p w14:paraId="461F1876"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Availability, accessibility, and affordability of quality seeds for nutrient-dense crops (horticulture, biofortified varieties).</w:t>
            </w:r>
          </w:p>
        </w:tc>
      </w:tr>
      <w:tr w:rsidR="00B20046" w:rsidRPr="00B20046" w14:paraId="78CDCE7F" w14:textId="77777777" w:rsidTr="00B20046">
        <w:tc>
          <w:tcPr>
            <w:tcW w:w="0" w:type="auto"/>
            <w:vMerge/>
            <w:shd w:val="clear" w:color="auto" w:fill="FFFFFF"/>
            <w:tcMar>
              <w:top w:w="150" w:type="dxa"/>
              <w:left w:w="0" w:type="dxa"/>
              <w:bottom w:w="150" w:type="dxa"/>
              <w:right w:w="240" w:type="dxa"/>
            </w:tcMar>
            <w:vAlign w:val="center"/>
            <w:hideMark/>
          </w:tcPr>
          <w:p w14:paraId="681876DB"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0D949C95"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1947BE9F"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Post-harvest management</w:t>
            </w:r>
          </w:p>
        </w:tc>
        <w:tc>
          <w:tcPr>
            <w:tcW w:w="0" w:type="auto"/>
            <w:shd w:val="clear" w:color="auto" w:fill="FFFFFF"/>
            <w:tcMar>
              <w:top w:w="150" w:type="dxa"/>
              <w:left w:w="240" w:type="dxa"/>
              <w:bottom w:w="150" w:type="dxa"/>
              <w:right w:w="0" w:type="dxa"/>
            </w:tcMar>
            <w:vAlign w:val="center"/>
            <w:hideMark/>
          </w:tcPr>
          <w:p w14:paraId="70689FF8"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Infrastructure, technologies, and practices to reduce losses of perishable nutrient-dense foods.</w:t>
            </w:r>
          </w:p>
        </w:tc>
      </w:tr>
      <w:tr w:rsidR="00B20046" w:rsidRPr="00B20046" w14:paraId="4B0B5A18" w14:textId="77777777" w:rsidTr="00B20046">
        <w:tc>
          <w:tcPr>
            <w:tcW w:w="0" w:type="auto"/>
            <w:vMerge/>
            <w:shd w:val="clear" w:color="auto" w:fill="FFFFFF"/>
            <w:tcMar>
              <w:top w:w="150" w:type="dxa"/>
              <w:left w:w="0" w:type="dxa"/>
              <w:bottom w:w="150" w:type="dxa"/>
              <w:right w:w="240" w:type="dxa"/>
            </w:tcMar>
            <w:vAlign w:val="center"/>
            <w:hideMark/>
          </w:tcPr>
          <w:p w14:paraId="0A77E370"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45CF88F"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6DB85A9E"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Market infrastructure</w:t>
            </w:r>
          </w:p>
        </w:tc>
        <w:tc>
          <w:tcPr>
            <w:tcW w:w="0" w:type="auto"/>
            <w:shd w:val="clear" w:color="auto" w:fill="FFFFFF"/>
            <w:tcMar>
              <w:top w:w="150" w:type="dxa"/>
              <w:left w:w="240" w:type="dxa"/>
              <w:bottom w:w="150" w:type="dxa"/>
              <w:right w:w="0" w:type="dxa"/>
            </w:tcMar>
            <w:vAlign w:val="center"/>
            <w:hideMark/>
          </w:tcPr>
          <w:p w14:paraId="547942FA"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Availability of functioning markets, storage, transport, and processing facilities for nutrient-dense agricultural products.</w:t>
            </w:r>
          </w:p>
        </w:tc>
      </w:tr>
      <w:tr w:rsidR="00B20046" w:rsidRPr="00B20046" w14:paraId="0BCC0631" w14:textId="77777777" w:rsidTr="00B20046">
        <w:tc>
          <w:tcPr>
            <w:tcW w:w="0" w:type="auto"/>
            <w:vMerge w:val="restart"/>
            <w:shd w:val="clear" w:color="auto" w:fill="FFFFFF"/>
            <w:tcMar>
              <w:top w:w="150" w:type="dxa"/>
              <w:left w:w="0" w:type="dxa"/>
              <w:bottom w:w="150" w:type="dxa"/>
              <w:right w:w="240" w:type="dxa"/>
            </w:tcMar>
            <w:vAlign w:val="center"/>
            <w:hideMark/>
          </w:tcPr>
          <w:p w14:paraId="0D8C2C6E"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5591260A"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3C6D42AC"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Extension system capacity</w:t>
            </w:r>
          </w:p>
        </w:tc>
        <w:tc>
          <w:tcPr>
            <w:tcW w:w="0" w:type="auto"/>
            <w:shd w:val="clear" w:color="auto" w:fill="FFFFFF"/>
            <w:tcMar>
              <w:top w:w="150" w:type="dxa"/>
              <w:left w:w="240" w:type="dxa"/>
              <w:bottom w:w="150" w:type="dxa"/>
              <w:right w:w="0" w:type="dxa"/>
            </w:tcMar>
            <w:vAlign w:val="center"/>
            <w:hideMark/>
          </w:tcPr>
          <w:p w14:paraId="46A38FAF"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Ability of agricultural extension system to deliver nutrition-sensitive messaging, demonstrations, and technical support.</w:t>
            </w:r>
          </w:p>
        </w:tc>
      </w:tr>
      <w:tr w:rsidR="00B20046" w:rsidRPr="00B20046" w14:paraId="0ACCF46C" w14:textId="77777777" w:rsidTr="00B20046">
        <w:tc>
          <w:tcPr>
            <w:tcW w:w="0" w:type="auto"/>
            <w:vMerge/>
            <w:shd w:val="clear" w:color="auto" w:fill="FFFFFF"/>
            <w:tcMar>
              <w:top w:w="150" w:type="dxa"/>
              <w:left w:w="0" w:type="dxa"/>
              <w:bottom w:w="150" w:type="dxa"/>
              <w:right w:w="240" w:type="dxa"/>
            </w:tcMar>
            <w:vAlign w:val="center"/>
            <w:hideMark/>
          </w:tcPr>
          <w:p w14:paraId="2D164292"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4A049A6E" w14:textId="77777777" w:rsidR="00B20046" w:rsidRPr="00B20046" w:rsidRDefault="00B20046" w:rsidP="00B20046">
            <w:pPr>
              <w:rPr>
                <w:rFonts w:ascii="Times New Roman" w:hAnsi="Times New Roman" w:cs="Times New Roman"/>
                <w:sz w:val="20"/>
                <w:szCs w:val="20"/>
              </w:rPr>
            </w:pPr>
          </w:p>
        </w:tc>
        <w:tc>
          <w:tcPr>
            <w:tcW w:w="0" w:type="auto"/>
            <w:shd w:val="clear" w:color="auto" w:fill="FFFFFF"/>
            <w:tcMar>
              <w:top w:w="150" w:type="dxa"/>
              <w:left w:w="240" w:type="dxa"/>
              <w:bottom w:w="150" w:type="dxa"/>
              <w:right w:w="240" w:type="dxa"/>
            </w:tcMar>
            <w:vAlign w:val="center"/>
            <w:hideMark/>
          </w:tcPr>
          <w:p w14:paraId="2DA53B10"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Value chain integration</w:t>
            </w:r>
          </w:p>
        </w:tc>
        <w:tc>
          <w:tcPr>
            <w:tcW w:w="0" w:type="auto"/>
            <w:shd w:val="clear" w:color="auto" w:fill="FFFFFF"/>
            <w:tcMar>
              <w:top w:w="150" w:type="dxa"/>
              <w:left w:w="240" w:type="dxa"/>
              <w:bottom w:w="150" w:type="dxa"/>
              <w:right w:w="0" w:type="dxa"/>
            </w:tcMar>
            <w:vAlign w:val="center"/>
            <w:hideMark/>
          </w:tcPr>
          <w:p w14:paraId="36D7AB21" w14:textId="77777777" w:rsidR="00B20046" w:rsidRPr="00B20046" w:rsidRDefault="00B20046" w:rsidP="00B20046">
            <w:pPr>
              <w:rPr>
                <w:rFonts w:ascii="Times New Roman" w:hAnsi="Times New Roman" w:cs="Times New Roman"/>
                <w:sz w:val="20"/>
                <w:szCs w:val="20"/>
              </w:rPr>
            </w:pPr>
            <w:r w:rsidRPr="00B20046">
              <w:rPr>
                <w:rFonts w:ascii="Times New Roman" w:hAnsi="Times New Roman" w:cs="Times New Roman"/>
                <w:sz w:val="20"/>
                <w:szCs w:val="20"/>
              </w:rPr>
              <w:t>Coordination among input suppliers, producers, aggregators, processors, and retailers for nutrient-dense foods.</w:t>
            </w:r>
          </w:p>
        </w:tc>
      </w:tr>
    </w:tbl>
    <w:p w14:paraId="649CB4C9" w14:textId="77777777" w:rsidR="005A36B3" w:rsidRDefault="005A36B3"/>
    <w:p w14:paraId="470E549B" w14:textId="4F9983C1" w:rsidR="00AA27A5" w:rsidRDefault="00AA27A5">
      <w:r w:rsidRPr="00AA27A5">
        <w:t>The codebook supported the deductive–inductive thematic analysis of governance and implementation evidence. Food Systems Governance Depth (FSGD) was subsequently developed as a higher-order analytical construct during integration of the qualitative, documentary, and quantitative evidence. It was therefore not treated as an independently measured variable or as an a priori qualitative code. Instead, FSGD was used to synthesize how governance functions became embedded, mutually reinforcing, and sustained across administrative levels and to interpret their relationship with implementation performance and the production–availability–dietary diversity pathway.</w:t>
      </w:r>
    </w:p>
    <w:p w14:paraId="69349430" w14:textId="77777777" w:rsidR="00AA27A5" w:rsidRDefault="00AA27A5" w:rsidP="00D82686">
      <w:pPr>
        <w:rPr>
          <w:b/>
          <w:bCs/>
        </w:rPr>
      </w:pPr>
    </w:p>
    <w:p w14:paraId="56D09BEC" w14:textId="48AB2844" w:rsidR="00D82686" w:rsidRPr="00D82686" w:rsidRDefault="00D82686" w:rsidP="00D82686">
      <w:pPr>
        <w:rPr>
          <w:b/>
          <w:bCs/>
        </w:rPr>
      </w:pPr>
      <w:r w:rsidRPr="00D82686">
        <w:rPr>
          <w:b/>
          <w:bCs/>
        </w:rPr>
        <w:t>4. Analytical Integration and Synthesis</w:t>
      </w:r>
    </w:p>
    <w:p w14:paraId="1BFA8EF8" w14:textId="77777777" w:rsidR="00D82686" w:rsidRPr="00D82686" w:rsidRDefault="00D82686" w:rsidP="00D82686">
      <w:r w:rsidRPr="00D82686">
        <w:t>Following first-order coding, coded evidence was compared across governance domains and administrative levels to identify recurring patterns in implementation strength, constraints, and institutionalization. The analysis then examined whether governance functions operated independently or reinforced one another across levels. Findings from the qualitative analysis were subsequently triangulated with evidence from the structured document review and quantitative analyses of agricultural production, food availability, and dietary diversity. This integration informed the development of Governance Depth as a higher-order analytical construct rather than a directly coded category.</w:t>
      </w:r>
    </w:p>
    <w:p w14:paraId="70C9E869" w14:textId="77777777" w:rsidR="005E5625" w:rsidRDefault="005E5625"/>
    <w:p w14:paraId="5C27B49D" w14:textId="74077DDC" w:rsidR="005E5625" w:rsidRPr="005E5625" w:rsidRDefault="00D82686" w:rsidP="005E5625">
      <w:r>
        <w:rPr>
          <w:b/>
          <w:bCs/>
        </w:rPr>
        <w:t>5</w:t>
      </w:r>
      <w:r w:rsidR="005E5625" w:rsidRPr="005E5625">
        <w:rPr>
          <w:b/>
          <w:bCs/>
        </w:rPr>
        <w:t>. Higher-Order Analytical Synthesis: Governance Depth</w:t>
      </w:r>
    </w:p>
    <w:p w14:paraId="7A48C35F" w14:textId="122BC1D1" w:rsidR="005E5625" w:rsidRDefault="00911700" w:rsidP="005E5625">
      <w:r w:rsidRPr="00911700">
        <w:t xml:space="preserve">Governance Depth was not developed as an a priori coding category and was not coded independently during the first stage of qualitative analysis. Rather, it emerged during the integration and interpretation phase through systematic comparison of first-order findings across governance domains and administrative levels. </w:t>
      </w:r>
      <w:r w:rsidR="005E5625" w:rsidRPr="005E5625">
        <w:t>Initial coding was conducted using the five governance domains defined in the conceptual framework: leadership, financing, coordination, accountability, and institutional capacity. During the integration phase, findings across these domains were compared across administrative levels and triangulated with evidence from the structured document review and quantitative analyses, including agricultural production, food availability, and dietary diversity indicators. This cross-domain synthesis identified a consistent pattern in which implementation strength depended not on the presence of individual governance functions alone, but on the extent to which these functions were embedded, mutually reinforcing, and sustained across successive administrative levels. Governance Depth was therefore developed as a higher-order analytical construct to integrate these findings and interpret variation in implementation performance.</w:t>
      </w:r>
    </w:p>
    <w:p w14:paraId="63376F50" w14:textId="64260D7E" w:rsidR="008C28E8" w:rsidRDefault="008C28E8" w:rsidP="005E5625">
      <w:r w:rsidRPr="008C28E8">
        <w:t>Four higher-order dimensions were identified through this synthesis: predictable financing, outcome-oriented accountability, institutionalized sub-national capacity, and cross-level implementation coherence.</w:t>
      </w:r>
    </w:p>
    <w:p w14:paraId="744F6A59" w14:textId="77777777" w:rsidR="009A0451" w:rsidRDefault="009A0451" w:rsidP="005E5625">
      <w:pPr>
        <w:rPr>
          <w:b/>
          <w:bCs/>
        </w:rPr>
      </w:pPr>
    </w:p>
    <w:p w14:paraId="26FFE1C9" w14:textId="249EF85E" w:rsidR="00B80609" w:rsidRPr="005E5625" w:rsidRDefault="00B80609" w:rsidP="005E5625">
      <w:r w:rsidRPr="00BB3818">
        <w:rPr>
          <w:b/>
          <w:bCs/>
        </w:rPr>
        <w:t xml:space="preserve">Table </w:t>
      </w:r>
      <w:r w:rsidR="00BB3818" w:rsidRPr="00BB3818">
        <w:rPr>
          <w:b/>
          <w:bCs/>
        </w:rPr>
        <w:t>B</w:t>
      </w:r>
      <w:r w:rsidRPr="00BB3818">
        <w:rPr>
          <w:b/>
          <w:bCs/>
        </w:rPr>
        <w:t>:</w:t>
      </w:r>
      <w:r>
        <w:t xml:space="preserve"> </w:t>
      </w:r>
      <w:r w:rsidR="009A0451">
        <w:t xml:space="preserve">Food Systems </w:t>
      </w:r>
      <w:r>
        <w:t>Governance Depth Dimensions</w:t>
      </w:r>
    </w:p>
    <w:tbl>
      <w:tblPr>
        <w:tblW w:w="11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36"/>
        <w:gridCol w:w="2899"/>
        <w:gridCol w:w="5845"/>
      </w:tblGrid>
      <w:tr w:rsidR="005E5625" w:rsidRPr="005E5625" w14:paraId="20EF29FA" w14:textId="77777777" w:rsidTr="005E5625">
        <w:trPr>
          <w:tblHeader/>
        </w:trPr>
        <w:tc>
          <w:tcPr>
            <w:tcW w:w="0" w:type="auto"/>
            <w:tcMar>
              <w:top w:w="150" w:type="dxa"/>
              <w:left w:w="0" w:type="dxa"/>
              <w:bottom w:w="150" w:type="dxa"/>
              <w:right w:w="240" w:type="dxa"/>
            </w:tcMar>
            <w:vAlign w:val="center"/>
            <w:hideMark/>
          </w:tcPr>
          <w:p w14:paraId="547C19A2" w14:textId="489379C0" w:rsidR="005E5625" w:rsidRPr="005E5625" w:rsidRDefault="005E5625" w:rsidP="005E5625">
            <w:r w:rsidRPr="005E5625">
              <w:rPr>
                <w:b/>
                <w:bCs/>
              </w:rPr>
              <w:lastRenderedPageBreak/>
              <w:t>Governance Depth Dimension</w:t>
            </w:r>
            <w:r w:rsidR="00CD6D53">
              <w:rPr>
                <w:b/>
                <w:bCs/>
              </w:rPr>
              <w:t>s</w:t>
            </w:r>
          </w:p>
        </w:tc>
        <w:tc>
          <w:tcPr>
            <w:tcW w:w="0" w:type="auto"/>
            <w:tcMar>
              <w:top w:w="150" w:type="dxa"/>
              <w:left w:w="240" w:type="dxa"/>
              <w:bottom w:w="150" w:type="dxa"/>
              <w:right w:w="240" w:type="dxa"/>
            </w:tcMar>
            <w:vAlign w:val="center"/>
            <w:hideMark/>
          </w:tcPr>
          <w:p w14:paraId="37F03B16" w14:textId="77777777" w:rsidR="005E5625" w:rsidRPr="005E5625" w:rsidRDefault="005E5625" w:rsidP="005E5625">
            <w:r w:rsidRPr="005E5625">
              <w:rPr>
                <w:b/>
                <w:bCs/>
              </w:rPr>
              <w:t>Derived From</w:t>
            </w:r>
          </w:p>
        </w:tc>
        <w:tc>
          <w:tcPr>
            <w:tcW w:w="0" w:type="auto"/>
            <w:tcMar>
              <w:top w:w="150" w:type="dxa"/>
              <w:left w:w="240" w:type="dxa"/>
              <w:bottom w:w="150" w:type="dxa"/>
              <w:right w:w="240" w:type="dxa"/>
            </w:tcMar>
            <w:vAlign w:val="center"/>
            <w:hideMark/>
          </w:tcPr>
          <w:p w14:paraId="16178FAA" w14:textId="77777777" w:rsidR="005E5625" w:rsidRPr="005E5625" w:rsidRDefault="005E5625" w:rsidP="005E5625">
            <w:r w:rsidRPr="005E5625">
              <w:rPr>
                <w:b/>
                <w:bCs/>
              </w:rPr>
              <w:t>Interpretation</w:t>
            </w:r>
          </w:p>
        </w:tc>
      </w:tr>
      <w:tr w:rsidR="005E5625" w:rsidRPr="005E5625" w14:paraId="5CB321CD" w14:textId="77777777" w:rsidTr="005E5625">
        <w:tc>
          <w:tcPr>
            <w:tcW w:w="0" w:type="auto"/>
            <w:tcMar>
              <w:top w:w="150" w:type="dxa"/>
              <w:left w:w="0" w:type="dxa"/>
              <w:bottom w:w="150" w:type="dxa"/>
              <w:right w:w="240" w:type="dxa"/>
            </w:tcMar>
            <w:vAlign w:val="center"/>
            <w:hideMark/>
          </w:tcPr>
          <w:p w14:paraId="122A1EA9" w14:textId="77777777" w:rsidR="005E5625" w:rsidRPr="005E5625" w:rsidRDefault="005E5625" w:rsidP="005E5625">
            <w:r w:rsidRPr="005E5625">
              <w:t>Predictable financing</w:t>
            </w:r>
          </w:p>
        </w:tc>
        <w:tc>
          <w:tcPr>
            <w:tcW w:w="0" w:type="auto"/>
            <w:tcMar>
              <w:top w:w="150" w:type="dxa"/>
              <w:left w:w="240" w:type="dxa"/>
              <w:bottom w:w="150" w:type="dxa"/>
              <w:right w:w="240" w:type="dxa"/>
            </w:tcMar>
            <w:vAlign w:val="center"/>
            <w:hideMark/>
          </w:tcPr>
          <w:p w14:paraId="74E6EDC4" w14:textId="77777777" w:rsidR="005E5625" w:rsidRPr="005E5625" w:rsidRDefault="005E5625" w:rsidP="005E5625">
            <w:r w:rsidRPr="005E5625">
              <w:t>Financing</w:t>
            </w:r>
          </w:p>
        </w:tc>
        <w:tc>
          <w:tcPr>
            <w:tcW w:w="0" w:type="auto"/>
            <w:tcMar>
              <w:top w:w="150" w:type="dxa"/>
              <w:left w:w="240" w:type="dxa"/>
              <w:bottom w:w="150" w:type="dxa"/>
              <w:right w:w="0" w:type="dxa"/>
            </w:tcMar>
            <w:vAlign w:val="center"/>
            <w:hideMark/>
          </w:tcPr>
          <w:p w14:paraId="5A3C7721" w14:textId="00A24217" w:rsidR="005E5625" w:rsidRPr="005E5625" w:rsidRDefault="00EF0CD6" w:rsidP="005E5625">
            <w:r w:rsidRPr="00EF0CD6">
              <w:t>Stable and institutionalized financing supporting implementation continuity across administrative levels.</w:t>
            </w:r>
          </w:p>
        </w:tc>
      </w:tr>
      <w:tr w:rsidR="005E5625" w:rsidRPr="005E5625" w14:paraId="4CEB0A9D" w14:textId="77777777" w:rsidTr="005E5625">
        <w:tc>
          <w:tcPr>
            <w:tcW w:w="0" w:type="auto"/>
            <w:tcMar>
              <w:top w:w="150" w:type="dxa"/>
              <w:left w:w="0" w:type="dxa"/>
              <w:bottom w:w="150" w:type="dxa"/>
              <w:right w:w="240" w:type="dxa"/>
            </w:tcMar>
            <w:vAlign w:val="center"/>
            <w:hideMark/>
          </w:tcPr>
          <w:p w14:paraId="5F249621" w14:textId="77777777" w:rsidR="005E5625" w:rsidRPr="005E5625" w:rsidRDefault="005E5625" w:rsidP="005E5625">
            <w:r w:rsidRPr="005E5625">
              <w:t>Outcome-oriented accountability</w:t>
            </w:r>
          </w:p>
        </w:tc>
        <w:tc>
          <w:tcPr>
            <w:tcW w:w="0" w:type="auto"/>
            <w:tcMar>
              <w:top w:w="150" w:type="dxa"/>
              <w:left w:w="240" w:type="dxa"/>
              <w:bottom w:w="150" w:type="dxa"/>
              <w:right w:w="240" w:type="dxa"/>
            </w:tcMar>
            <w:vAlign w:val="center"/>
            <w:hideMark/>
          </w:tcPr>
          <w:p w14:paraId="19A055F8" w14:textId="77777777" w:rsidR="005E5625" w:rsidRPr="005E5625" w:rsidRDefault="005E5625" w:rsidP="005E5625">
            <w:r w:rsidRPr="005E5625">
              <w:t>Accountability</w:t>
            </w:r>
          </w:p>
        </w:tc>
        <w:tc>
          <w:tcPr>
            <w:tcW w:w="0" w:type="auto"/>
            <w:tcMar>
              <w:top w:w="150" w:type="dxa"/>
              <w:left w:w="240" w:type="dxa"/>
              <w:bottom w:w="150" w:type="dxa"/>
              <w:right w:w="0" w:type="dxa"/>
            </w:tcMar>
            <w:vAlign w:val="center"/>
            <w:hideMark/>
          </w:tcPr>
          <w:p w14:paraId="370EC6BD" w14:textId="343D0301" w:rsidR="005E5625" w:rsidRPr="005E5625" w:rsidRDefault="009A0451" w:rsidP="005E5625">
            <w:r w:rsidRPr="009A0451">
              <w:t>Monitoring, verification, data use, and feedback mechanisms that support performance assessment and adaptive management.</w:t>
            </w:r>
          </w:p>
        </w:tc>
      </w:tr>
      <w:tr w:rsidR="005E5625" w:rsidRPr="005E5625" w14:paraId="16BEF6D8" w14:textId="77777777" w:rsidTr="005E5625">
        <w:tc>
          <w:tcPr>
            <w:tcW w:w="0" w:type="auto"/>
            <w:tcMar>
              <w:top w:w="150" w:type="dxa"/>
              <w:left w:w="0" w:type="dxa"/>
              <w:bottom w:w="150" w:type="dxa"/>
              <w:right w:w="240" w:type="dxa"/>
            </w:tcMar>
            <w:vAlign w:val="center"/>
            <w:hideMark/>
          </w:tcPr>
          <w:p w14:paraId="70030D96" w14:textId="77777777" w:rsidR="005E5625" w:rsidRPr="005E5625" w:rsidRDefault="005E5625" w:rsidP="005E5625">
            <w:r w:rsidRPr="005E5625">
              <w:t>Institutionalized sub-national capacity</w:t>
            </w:r>
          </w:p>
        </w:tc>
        <w:tc>
          <w:tcPr>
            <w:tcW w:w="0" w:type="auto"/>
            <w:tcMar>
              <w:top w:w="150" w:type="dxa"/>
              <w:left w:w="240" w:type="dxa"/>
              <w:bottom w:w="150" w:type="dxa"/>
              <w:right w:w="240" w:type="dxa"/>
            </w:tcMar>
            <w:vAlign w:val="center"/>
            <w:hideMark/>
          </w:tcPr>
          <w:p w14:paraId="402D2A8E" w14:textId="77777777" w:rsidR="005E5625" w:rsidRPr="005E5625" w:rsidRDefault="005E5625" w:rsidP="005E5625">
            <w:r w:rsidRPr="005E5625">
              <w:t>Leadership, Coordination, Institutional Capacity</w:t>
            </w:r>
          </w:p>
        </w:tc>
        <w:tc>
          <w:tcPr>
            <w:tcW w:w="0" w:type="auto"/>
            <w:tcMar>
              <w:top w:w="150" w:type="dxa"/>
              <w:left w:w="240" w:type="dxa"/>
              <w:bottom w:w="150" w:type="dxa"/>
              <w:right w:w="0" w:type="dxa"/>
            </w:tcMar>
            <w:vAlign w:val="center"/>
            <w:hideMark/>
          </w:tcPr>
          <w:p w14:paraId="1FC65531" w14:textId="1AB31454" w:rsidR="005E5625" w:rsidRPr="005E5625" w:rsidRDefault="009A0451" w:rsidP="005E5625">
            <w:r w:rsidRPr="009A0451">
              <w:t>Sustained staffing, leadership continuity, technical capacity, organizational structures, and coordination across decentralized levels.</w:t>
            </w:r>
          </w:p>
        </w:tc>
      </w:tr>
      <w:tr w:rsidR="005E5625" w:rsidRPr="005E5625" w14:paraId="7E3A64B0" w14:textId="77777777" w:rsidTr="005E5625">
        <w:tc>
          <w:tcPr>
            <w:tcW w:w="0" w:type="auto"/>
            <w:tcMar>
              <w:top w:w="150" w:type="dxa"/>
              <w:left w:w="0" w:type="dxa"/>
              <w:bottom w:w="150" w:type="dxa"/>
              <w:right w:w="240" w:type="dxa"/>
            </w:tcMar>
            <w:vAlign w:val="center"/>
            <w:hideMark/>
          </w:tcPr>
          <w:p w14:paraId="37107F3B" w14:textId="77777777" w:rsidR="005E5625" w:rsidRPr="005E5625" w:rsidRDefault="005E5625" w:rsidP="005E5625">
            <w:r w:rsidRPr="005E5625">
              <w:t>Cross-level implementation coherence</w:t>
            </w:r>
          </w:p>
        </w:tc>
        <w:tc>
          <w:tcPr>
            <w:tcW w:w="0" w:type="auto"/>
            <w:tcMar>
              <w:top w:w="150" w:type="dxa"/>
              <w:left w:w="240" w:type="dxa"/>
              <w:bottom w:w="150" w:type="dxa"/>
              <w:right w:w="240" w:type="dxa"/>
            </w:tcMar>
            <w:vAlign w:val="center"/>
            <w:hideMark/>
          </w:tcPr>
          <w:p w14:paraId="0EEDCE35" w14:textId="77777777" w:rsidR="005E5625" w:rsidRPr="005E5625" w:rsidRDefault="005E5625" w:rsidP="005E5625">
            <w:r w:rsidRPr="005E5625">
              <w:t>Evidence across all governance domains</w:t>
            </w:r>
          </w:p>
        </w:tc>
        <w:tc>
          <w:tcPr>
            <w:tcW w:w="0" w:type="auto"/>
            <w:tcMar>
              <w:top w:w="150" w:type="dxa"/>
              <w:left w:w="240" w:type="dxa"/>
              <w:bottom w:w="150" w:type="dxa"/>
              <w:right w:w="0" w:type="dxa"/>
            </w:tcMar>
            <w:vAlign w:val="center"/>
            <w:hideMark/>
          </w:tcPr>
          <w:p w14:paraId="540C7D93" w14:textId="264D6867" w:rsidR="005E5625" w:rsidRPr="005E5625" w:rsidRDefault="009A0451" w:rsidP="005E5625">
            <w:r>
              <w:t>The extent to which governance functions remain aligned, mutually reinforcing, and sustained from national policy formulation through local implementation.</w:t>
            </w:r>
          </w:p>
        </w:tc>
      </w:tr>
    </w:tbl>
    <w:p w14:paraId="6E2508CE" w14:textId="77777777" w:rsidR="005E5625" w:rsidRDefault="005E5625"/>
    <w:sectPr w:rsidR="005E5625" w:rsidSect="00B2004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126E3"/>
    <w:multiLevelType w:val="multilevel"/>
    <w:tmpl w:val="1EEEF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EA2DE4"/>
    <w:multiLevelType w:val="multilevel"/>
    <w:tmpl w:val="6A3617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D101E3"/>
    <w:multiLevelType w:val="multilevel"/>
    <w:tmpl w:val="3E0A55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1248277">
    <w:abstractNumId w:val="0"/>
  </w:num>
  <w:num w:numId="2" w16cid:durableId="1252279336">
    <w:abstractNumId w:val="1"/>
  </w:num>
  <w:num w:numId="3" w16cid:durableId="1926063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046"/>
    <w:rsid w:val="00107457"/>
    <w:rsid w:val="00142D56"/>
    <w:rsid w:val="002C6D19"/>
    <w:rsid w:val="00334EC8"/>
    <w:rsid w:val="004E4927"/>
    <w:rsid w:val="00510340"/>
    <w:rsid w:val="005A36B3"/>
    <w:rsid w:val="005E0F6C"/>
    <w:rsid w:val="005E5625"/>
    <w:rsid w:val="00601724"/>
    <w:rsid w:val="00631846"/>
    <w:rsid w:val="0073237F"/>
    <w:rsid w:val="00752539"/>
    <w:rsid w:val="007D553C"/>
    <w:rsid w:val="008C28E8"/>
    <w:rsid w:val="008D61CA"/>
    <w:rsid w:val="00911700"/>
    <w:rsid w:val="009A0451"/>
    <w:rsid w:val="00A30955"/>
    <w:rsid w:val="00AA27A5"/>
    <w:rsid w:val="00B20046"/>
    <w:rsid w:val="00B80609"/>
    <w:rsid w:val="00BB3818"/>
    <w:rsid w:val="00CD6D53"/>
    <w:rsid w:val="00CE059B"/>
    <w:rsid w:val="00D82686"/>
    <w:rsid w:val="00DA58E8"/>
    <w:rsid w:val="00DF6366"/>
    <w:rsid w:val="00EF0CD6"/>
    <w:rsid w:val="00FA1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F91C1"/>
  <w15:chartTrackingRefBased/>
  <w15:docId w15:val="{7101719A-414F-4316-BFE3-E7B17E38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0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0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046"/>
    <w:rPr>
      <w:rFonts w:eastAsiaTheme="majorEastAsia" w:cstheme="majorBidi"/>
      <w:color w:val="272727" w:themeColor="text1" w:themeTint="D8"/>
    </w:rPr>
  </w:style>
  <w:style w:type="paragraph" w:styleId="Title">
    <w:name w:val="Title"/>
    <w:basedOn w:val="Normal"/>
    <w:next w:val="Normal"/>
    <w:link w:val="TitleChar"/>
    <w:uiPriority w:val="10"/>
    <w:qFormat/>
    <w:rsid w:val="00B20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046"/>
    <w:pPr>
      <w:spacing w:before="160"/>
      <w:jc w:val="center"/>
    </w:pPr>
    <w:rPr>
      <w:i/>
      <w:iCs/>
      <w:color w:val="404040" w:themeColor="text1" w:themeTint="BF"/>
    </w:rPr>
  </w:style>
  <w:style w:type="character" w:customStyle="1" w:styleId="QuoteChar">
    <w:name w:val="Quote Char"/>
    <w:basedOn w:val="DefaultParagraphFont"/>
    <w:link w:val="Quote"/>
    <w:uiPriority w:val="29"/>
    <w:rsid w:val="00B20046"/>
    <w:rPr>
      <w:i/>
      <w:iCs/>
      <w:color w:val="404040" w:themeColor="text1" w:themeTint="BF"/>
    </w:rPr>
  </w:style>
  <w:style w:type="paragraph" w:styleId="ListParagraph">
    <w:name w:val="List Paragraph"/>
    <w:basedOn w:val="Normal"/>
    <w:uiPriority w:val="34"/>
    <w:qFormat/>
    <w:rsid w:val="00B20046"/>
    <w:pPr>
      <w:ind w:left="720"/>
      <w:contextualSpacing/>
    </w:pPr>
  </w:style>
  <w:style w:type="character" w:styleId="IntenseEmphasis">
    <w:name w:val="Intense Emphasis"/>
    <w:basedOn w:val="DefaultParagraphFont"/>
    <w:uiPriority w:val="21"/>
    <w:qFormat/>
    <w:rsid w:val="00B20046"/>
    <w:rPr>
      <w:i/>
      <w:iCs/>
      <w:color w:val="0F4761" w:themeColor="accent1" w:themeShade="BF"/>
    </w:rPr>
  </w:style>
  <w:style w:type="paragraph" w:styleId="IntenseQuote">
    <w:name w:val="Intense Quote"/>
    <w:basedOn w:val="Normal"/>
    <w:next w:val="Normal"/>
    <w:link w:val="IntenseQuoteChar"/>
    <w:uiPriority w:val="30"/>
    <w:qFormat/>
    <w:rsid w:val="00B20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046"/>
    <w:rPr>
      <w:i/>
      <w:iCs/>
      <w:color w:val="0F4761" w:themeColor="accent1" w:themeShade="BF"/>
    </w:rPr>
  </w:style>
  <w:style w:type="character" w:styleId="IntenseReference">
    <w:name w:val="Intense Reference"/>
    <w:basedOn w:val="DefaultParagraphFont"/>
    <w:uiPriority w:val="32"/>
    <w:qFormat/>
    <w:rsid w:val="00B200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631</TotalTime>
  <Pages>14</Pages>
  <Words>2776</Words>
  <Characters>15829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Taye, Tamene</dc:creator>
  <cp:keywords/>
  <dc:description/>
  <cp:lastModifiedBy>Taye, Tamene</cp:lastModifiedBy>
  <cp:revision>25</cp:revision>
  <dcterms:created xsi:type="dcterms:W3CDTF">2026-08-10T14:25:00Z</dcterms:created>
  <dcterms:modified xsi:type="dcterms:W3CDTF">2026-08-14T11:31:00Z</dcterms:modified>
</cp:coreProperties>
</file>