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AC8640E" w14:textId="5FE4F5A6" w:rsidR="002C01E6" w:rsidRPr="002C01E6" w:rsidRDefault="002C01E6" w:rsidP="002C01E6">
      <w:pPr>
        <w:pStyle w:val="Zkladntext"/>
        <w:spacing w:after="0" w:line="360" w:lineRule="auto"/>
        <w:jc w:val="center"/>
        <w:rPr>
          <w:rFonts w:ascii="Times New Roman" w:hAnsi="Times New Roman" w:cs="Times New Roman"/>
          <w:b/>
          <w:bCs/>
          <w:sz w:val="28"/>
          <w:szCs w:val="28"/>
        </w:rPr>
      </w:pPr>
      <w:r w:rsidRPr="002C01E6">
        <w:rPr>
          <w:rFonts w:ascii="Times New Roman" w:hAnsi="Times New Roman" w:cs="Times New Roman"/>
          <w:b/>
          <w:bCs/>
          <w:sz w:val="28"/>
          <w:szCs w:val="28"/>
        </w:rPr>
        <w:t>Supplementary Methods</w:t>
      </w:r>
    </w:p>
    <w:p w14:paraId="6EA32D86" w14:textId="77777777" w:rsidR="002C01E6" w:rsidRDefault="002C01E6" w:rsidP="00E6645C">
      <w:pPr>
        <w:pStyle w:val="Zkladntext"/>
        <w:spacing w:after="0" w:line="360" w:lineRule="auto"/>
        <w:jc w:val="both"/>
        <w:rPr>
          <w:rFonts w:ascii="Times New Roman" w:hAnsi="Times New Roman" w:cs="Times New Roman"/>
        </w:rPr>
      </w:pPr>
    </w:p>
    <w:p w14:paraId="32FC4A1A" w14:textId="2C9A842D" w:rsidR="002C01E6" w:rsidRPr="002C01E6" w:rsidRDefault="002C01E6" w:rsidP="00E6645C">
      <w:pPr>
        <w:pStyle w:val="Zkladntext"/>
        <w:spacing w:after="0" w:line="360" w:lineRule="auto"/>
        <w:jc w:val="both"/>
        <w:rPr>
          <w:rFonts w:ascii="Times New Roman" w:hAnsi="Times New Roman" w:cs="Times New Roman"/>
          <w:b/>
          <w:bCs/>
        </w:rPr>
      </w:pPr>
      <w:r w:rsidRPr="002C01E6">
        <w:rPr>
          <w:rFonts w:ascii="Times New Roman" w:hAnsi="Times New Roman" w:cs="Times New Roman"/>
          <w:b/>
          <w:bCs/>
        </w:rPr>
        <w:t xml:space="preserve">Study </w:t>
      </w:r>
      <w:r>
        <w:rPr>
          <w:rFonts w:ascii="Times New Roman" w:hAnsi="Times New Roman" w:cs="Times New Roman"/>
          <w:b/>
          <w:bCs/>
        </w:rPr>
        <w:t>design</w:t>
      </w:r>
      <w:r w:rsidRPr="002C01E6">
        <w:rPr>
          <w:rFonts w:ascii="Times New Roman" w:hAnsi="Times New Roman" w:cs="Times New Roman"/>
          <w:b/>
          <w:bCs/>
        </w:rPr>
        <w:t>,</w:t>
      </w:r>
      <w:r>
        <w:rPr>
          <w:rFonts w:ascii="Times New Roman" w:hAnsi="Times New Roman" w:cs="Times New Roman"/>
          <w:b/>
          <w:bCs/>
        </w:rPr>
        <w:t xml:space="preserve"> clinical examination, </w:t>
      </w:r>
      <w:r w:rsidRPr="002C01E6">
        <w:rPr>
          <w:rFonts w:ascii="Times New Roman" w:hAnsi="Times New Roman" w:cs="Times New Roman"/>
          <w:b/>
          <w:bCs/>
        </w:rPr>
        <w:t>inclusion and exclusion criteria</w:t>
      </w:r>
    </w:p>
    <w:p w14:paraId="6C55DD11" w14:textId="0DE6852B" w:rsidR="00E6645C"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All children were of Czech nationality and Caucasian ethnicity. None had oncologic disease, immunodeficiency, immunosuppressive therapy, or recent antibiotic exposure (within three weeks before inclusion in the study). Children with selective immunoglobulin A (IgA) deficiency were excluded. Cases were children with biopsy-proven CD diagnosed by an experienced pediatric gastroenterologist according to current ESPGHAN recommendations</w:t>
      </w:r>
      <w:r w:rsidR="00E41919">
        <w:rPr>
          <w:rFonts w:ascii="Times New Roman" w:hAnsi="Times New Roman" w:cs="Times New Roman"/>
        </w:rPr>
        <w:t xml:space="preserve"> </w:t>
      </w:r>
      <w:r w:rsidR="008206CC">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{"citationID":"PE5MnyrG","properties":{"unsorted":false,"formattedCitation":"[1]","plainCitation":"[1]","noteIndex":0},"citationItems":[{"id":641,"uris":["http://zotero.org/users/11382426/items/9MNC77GL"],"itemData":{"id":641,"type":"article-journal","abstract":"OBJECTIVES: The ESPGHAN 2012 coeliac disease (CD) diagnostic guidelines aimed to guide physicians in accurately diagnosing CD and permit omission of duodenal biopsies in selected cases. Here, an updated and expanded evidence-based guideline is presented.\nMETHODS: Literature databases and other sources of information were searched for studies that could inform on 10 formulated questions on symptoms, serology, HLA genetics, and histopathology. Eligible articles were assessed using QUADAS2. GRADE provided a basis for statements and recommendations.\nRESULTS: Various symptoms are suggested for case finding, with limited contribution to diagnostic accuracy. If CD is suspected, measurement of total serum IgA and IgA-antibodies against transglutaminase 2 (TGA-IgA) is superior to other combinations. We recommend against deamidated gliadin peptide antibodies (DGP-IgG/IgA) for initial testing. Only if total IgA is low/undetectable, an IgG-based test is indicated. Patients with positive results should be referred to a paediatric gastroenterologist/specialist. If TGA-IgA is ≥10 times the upper limit of normal (10× ULN) and the family agrees, the no-biopsy diagnosis may be applied, provided endomysial antibodies (EMA-IgA) will test positive in a second blood sample. HLA DQ2-/DQ8 determination and symptoms are not obligatory criteria. In children with positive TGA-IgA &lt;10× ULN at least 4 biopsies from the distal duodenum and at least 1 from the bulb should be taken. Discordant results between TGA-IgA and histopathology may require re-evaluation of biopsies. Patients with no/mild histological changes (Marsh 0/I) but confirmed autoimmunity (TGA-IgA/EMA-IgA+) should be followed closely.\nCONCLUSIONS: CD diagnosis can be accurately established with or without duodenal biopsies if given recommendations are followed.","container-title":"Journal of Pediatric Gastroenterology and Nutrition","DOI":"10.1097/MPG.0000000000002497","ISSN":"1536-4801","issue":"1","journalAbbreviation":"J Pediatr Gastroenterol Nutr","language":"eng","page":"141-156","PMID":"31568151","source":"PubMed","title":"European Society Paediatric Gastroenterology, Hepatology and Nutrition Guidelines for Diagnosing Coeliac Disease 2020","volume":"70","author":[{"family":"Husby","given":"Steffen"},{"family":"Koletzko","given":"Sibylle"},{"family":"Korponay-Szabó","given":"Ilma"},{"family":"Kurppa","given":"Kalle"},{"family":"Mearin","given":"Maria Luisa"},{"family":"Ribes-Koninckx","given":"Carmen"},{"family":"Shamir","given":"Raanan"},{"family":"Troncone","given":"Riccardo"},{"family":"Auricchio","given":"Renata"},{"family":"Castillejo","given":"Gemma"},{"family":"Christensen","given":"Robin"},{"family":"Dolinsek","given":"Jernej"},{"family":"Gillett","given":"Peter"},{"family":"Hróbjartsson","given":"Asbjørn"},{"family":"Koltai","given":"Tunde"},{"family":"Maki","given":"Markku"},{"family":"Nielsen","given":"Sabrina Mai"},{"family":"Popp","given":"Alina"},{"family":"Størdal","given":"Ketil"},{"family":"Werkstetter","given":"Katharina"},{"family":"Wessels","given":"Margreet"}],"issued":{"date-parts":[["2020",1]]}}}],"schema":"https://github.com/citation-style-language/schema/raw/master/csl-citation.json"} </w:instrText>
      </w:r>
      <w:r w:rsidR="008206CC">
        <w:rPr>
          <w:rFonts w:ascii="Times New Roman" w:hAnsi="Times New Roman" w:cs="Times New Roman"/>
        </w:rPr>
        <w:fldChar w:fldCharType="separate"/>
      </w:r>
      <w:r w:rsidR="00E41919" w:rsidRPr="00E41919">
        <w:rPr>
          <w:rFonts w:ascii="Times New Roman" w:hAnsi="Times New Roman" w:cs="Times New Roman"/>
          <w:szCs w:val="24"/>
          <w:lang w:val="cs-CZ"/>
          <w14:ligatures w14:val="standardContextual"/>
        </w:rPr>
        <w:t>[1]</w:t>
      </w:r>
      <w:r w:rsidR="008206CC">
        <w:rPr>
          <w:rFonts w:ascii="Times New Roman" w:hAnsi="Times New Roman" w:cs="Times New Roman"/>
        </w:rPr>
        <w:fldChar w:fldCharType="end"/>
      </w:r>
      <w:r w:rsidR="00E41919">
        <w:rPr>
          <w:rFonts w:ascii="Times New Roman" w:hAnsi="Times New Roman" w:cs="Times New Roman"/>
        </w:rPr>
        <w:t>.</w:t>
      </w:r>
      <w:r w:rsidRPr="00C76D93">
        <w:rPr>
          <w:rFonts w:ascii="Times New Roman" w:hAnsi="Times New Roman" w:cs="Times New Roman"/>
        </w:rPr>
        <w:t xml:space="preserve"> To ensure diagnostic certainty, only children with histologically confirmed disease were included. The control group consisted of children undergoing initial diagnostic esophagogastroduodenoscopy for symptoms consistent with gastroesophageal reflux disease (GERD). In all controls, CD diagnosis was excluded both histologically and by negative serology, and no control developed CD during the study period. Because endoscopy without medical indication would not be ethically acceptable in healthy children, a clinically characterized GERD group was used as the controls. Controls had not received proton pump inhibitors or other relevant pharmacologic treatment for at least two weeks before examination. None of the controls were on GFD.</w:t>
      </w:r>
    </w:p>
    <w:p w14:paraId="6B54A3F7" w14:textId="77777777" w:rsidR="002C01E6" w:rsidRDefault="002C01E6" w:rsidP="00E6645C">
      <w:pPr>
        <w:pStyle w:val="Zkladntext"/>
        <w:spacing w:after="0" w:line="360" w:lineRule="auto"/>
        <w:jc w:val="both"/>
        <w:rPr>
          <w:rFonts w:ascii="Times New Roman" w:hAnsi="Times New Roman" w:cs="Times New Roman"/>
        </w:rPr>
      </w:pPr>
    </w:p>
    <w:p w14:paraId="45512EC0" w14:textId="3289DEDE" w:rsidR="002C01E6" w:rsidRPr="002C01E6" w:rsidRDefault="002C01E6" w:rsidP="00E6645C">
      <w:pPr>
        <w:pStyle w:val="Zkladntext"/>
        <w:spacing w:after="0" w:line="360" w:lineRule="auto"/>
        <w:jc w:val="both"/>
        <w:rPr>
          <w:rFonts w:ascii="Times New Roman" w:hAnsi="Times New Roman" w:cs="Times New Roman"/>
          <w:b/>
          <w:bCs/>
        </w:rPr>
      </w:pPr>
      <w:r w:rsidRPr="002C01E6">
        <w:rPr>
          <w:rFonts w:ascii="Times New Roman" w:hAnsi="Times New Roman" w:cs="Times New Roman"/>
          <w:b/>
          <w:bCs/>
        </w:rPr>
        <w:t>Sampling</w:t>
      </w:r>
    </w:p>
    <w:p w14:paraId="350ED3BB" w14:textId="7B500CD1"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Blood was collected into serum separator tubes, centrifuged within two hours, and serum was stored at −80 °C. Stool samples were collected into sterile containers, immediately frozen at home by parents, transported to the hospital under frozen conditions, and stored at −80 °C until analysis. In the CD group, sampling of blood and stool was performed at three time points: before GFD initiation (TP1), and subsequently at follow-up visits as recommended by the ESPGHAN, i.e., after 4–6 months on the GFD (TP2) and after 12–18 months on the GFD (TP3). At each time point, clinical symptoms were recorded, IgA and IgG antibodies against type</w:t>
      </w:r>
      <w:r w:rsidRPr="00C76D93">
        <w:rPr>
          <w:rFonts w:ascii="Times New Roman" w:hAnsi="Times New Roman" w:cs="Times New Roman"/>
        </w:rPr>
        <w:noBreakHyphen/>
        <w:t>2 (tissue) transglutaminase (TGA), and anti-</w:t>
      </w:r>
      <w:proofErr w:type="spellStart"/>
      <w:r w:rsidRPr="00C76D93">
        <w:rPr>
          <w:rFonts w:ascii="Times New Roman" w:hAnsi="Times New Roman" w:cs="Times New Roman"/>
        </w:rPr>
        <w:t>endomysial</w:t>
      </w:r>
      <w:proofErr w:type="spellEnd"/>
      <w:r w:rsidRPr="00C76D93">
        <w:rPr>
          <w:rFonts w:ascii="Times New Roman" w:hAnsi="Times New Roman" w:cs="Times New Roman"/>
        </w:rPr>
        <w:t xml:space="preserve"> antibodies (EMA) in blood samples were analyzed. Additional clinical variables included family history of CD, HLA typing, and total IgA and IgG in blood. </w:t>
      </w:r>
      <w:r w:rsidR="008206CC">
        <w:rPr>
          <w:rFonts w:ascii="Times New Roman" w:hAnsi="Times New Roman" w:cs="Times New Roman"/>
        </w:rPr>
        <w:t>G</w:t>
      </w:r>
      <w:r w:rsidR="008206CC" w:rsidRPr="00C76D93">
        <w:rPr>
          <w:rFonts w:ascii="Times New Roman" w:hAnsi="Times New Roman" w:cs="Times New Roman"/>
        </w:rPr>
        <w:t xml:space="preserve">luten immunogenic peptides </w:t>
      </w:r>
      <w:r w:rsidR="008206CC">
        <w:rPr>
          <w:rFonts w:ascii="Times New Roman" w:hAnsi="Times New Roman" w:cs="Times New Roman"/>
        </w:rPr>
        <w:t>(</w:t>
      </w:r>
      <w:r w:rsidRPr="00C76D93">
        <w:rPr>
          <w:rFonts w:ascii="Times New Roman" w:hAnsi="Times New Roman" w:cs="Times New Roman"/>
        </w:rPr>
        <w:t>GIP</w:t>
      </w:r>
      <w:r w:rsidR="008206CC">
        <w:rPr>
          <w:rFonts w:ascii="Times New Roman" w:hAnsi="Times New Roman" w:cs="Times New Roman"/>
        </w:rPr>
        <w:t>)</w:t>
      </w:r>
      <w:r w:rsidRPr="00C76D93">
        <w:rPr>
          <w:rFonts w:ascii="Times New Roman" w:hAnsi="Times New Roman" w:cs="Times New Roman"/>
        </w:rPr>
        <w:t xml:space="preserve"> in stool samples were also assessed, serving as an additional indicator of adherence to GFD. In the control group, TGA IgA, EMA IgA, total IgA in blood were analyzed and one fecal sample was collected only once. Serum concentrations of PFAS were measured only in baseline samples from both groups, while fecal bacteriome analyses were performed in all collected fecal samples.</w:t>
      </w:r>
    </w:p>
    <w:p w14:paraId="14DD7ED5" w14:textId="77777777" w:rsidR="00E6645C" w:rsidRPr="00C76D93" w:rsidRDefault="00E6645C" w:rsidP="00E6645C">
      <w:pPr>
        <w:spacing w:after="0" w:line="360" w:lineRule="auto"/>
        <w:jc w:val="both"/>
        <w:rPr>
          <w:rFonts w:ascii="Times New Roman" w:hAnsi="Times New Roman" w:cs="Times New Roman"/>
        </w:rPr>
      </w:pPr>
    </w:p>
    <w:p w14:paraId="10577950" w14:textId="77777777" w:rsidR="00E6645C" w:rsidRPr="00C76D93" w:rsidRDefault="00E6645C" w:rsidP="00E6645C">
      <w:pPr>
        <w:spacing w:after="0" w:line="360" w:lineRule="auto"/>
        <w:jc w:val="both"/>
        <w:rPr>
          <w:rFonts w:ascii="Times New Roman" w:eastAsia="source serif 4" w:hAnsi="Times New Roman" w:cs="Times New Roman"/>
          <w:b/>
          <w:bCs/>
          <w:i/>
          <w:iCs/>
        </w:rPr>
      </w:pPr>
      <w:r w:rsidRPr="00C76D93">
        <w:rPr>
          <w:rFonts w:ascii="Times New Roman" w:hAnsi="Times New Roman" w:cs="Times New Roman"/>
          <w:b/>
          <w:bCs/>
          <w:i/>
          <w:iCs/>
        </w:rPr>
        <w:t>Determination of adherence</w:t>
      </w:r>
      <w:r w:rsidRPr="00C76D93">
        <w:rPr>
          <w:rFonts w:ascii="Times New Roman" w:eastAsia="source serif 4" w:hAnsi="Times New Roman" w:cs="Times New Roman"/>
          <w:b/>
          <w:bCs/>
          <w:i/>
          <w:iCs/>
        </w:rPr>
        <w:t xml:space="preserve"> to GFD</w:t>
      </w:r>
    </w:p>
    <w:p w14:paraId="06D5B3EE" w14:textId="77777777" w:rsidR="00E6645C" w:rsidRPr="00C76D93" w:rsidRDefault="00E6645C" w:rsidP="00E6645C">
      <w:pPr>
        <w:spacing w:after="0" w:line="360" w:lineRule="auto"/>
        <w:jc w:val="both"/>
        <w:rPr>
          <w:rFonts w:ascii="Times New Roman" w:eastAsia="source serif 4" w:hAnsi="Times New Roman" w:cs="Times New Roman"/>
        </w:rPr>
      </w:pPr>
      <w:r w:rsidRPr="00C76D93">
        <w:rPr>
          <w:rFonts w:ascii="Times New Roman" w:eastAsia="source serif 4" w:hAnsi="Times New Roman" w:cs="Times New Roman"/>
        </w:rPr>
        <w:t xml:space="preserve">Qualitative analysis of GIP in stool samples collected in all three TPs from the CD group was performed using a sandwich enzyme-linked immunosorbent assay (ELISA) with the </w:t>
      </w:r>
      <w:proofErr w:type="spellStart"/>
      <w:r w:rsidRPr="00C76D93">
        <w:rPr>
          <w:rFonts w:ascii="Times New Roman" w:eastAsia="source serif 4" w:hAnsi="Times New Roman" w:cs="Times New Roman"/>
        </w:rPr>
        <w:t>iVYLISA</w:t>
      </w:r>
      <w:proofErr w:type="spellEnd"/>
      <w:r w:rsidRPr="00C76D93">
        <w:rPr>
          <w:rFonts w:ascii="Times New Roman" w:eastAsia="source serif 4" w:hAnsi="Times New Roman" w:cs="Times New Roman"/>
        </w:rPr>
        <w:t xml:space="preserve"> GIP Stool kit </w:t>
      </w:r>
      <w:r w:rsidRPr="00C76D93">
        <w:rPr>
          <w:rFonts w:ascii="Times New Roman" w:eastAsia="source serif 4" w:hAnsi="Times New Roman" w:cs="Times New Roman"/>
        </w:rPr>
        <w:lastRenderedPageBreak/>
        <w:t>(</w:t>
      </w:r>
      <w:proofErr w:type="spellStart"/>
      <w:r w:rsidRPr="00C76D93">
        <w:rPr>
          <w:rFonts w:ascii="Times New Roman" w:eastAsia="source serif 4" w:hAnsi="Times New Roman" w:cs="Times New Roman"/>
        </w:rPr>
        <w:t>Biomedal</w:t>
      </w:r>
      <w:proofErr w:type="spellEnd"/>
      <w:r w:rsidRPr="00C76D93">
        <w:rPr>
          <w:rFonts w:ascii="Times New Roman" w:eastAsia="source serif 4" w:hAnsi="Times New Roman" w:cs="Times New Roman"/>
        </w:rPr>
        <w:t xml:space="preserve"> S.L.) according to the manufacturer's instructions. GIP concentrations were calculated from absorbance values.</w:t>
      </w:r>
    </w:p>
    <w:p w14:paraId="4F6457F9" w14:textId="6F08C7D2" w:rsidR="00E6645C" w:rsidRPr="00E41919" w:rsidRDefault="00E6645C" w:rsidP="00E6645C">
      <w:pPr>
        <w:spacing w:after="0" w:line="360" w:lineRule="auto"/>
        <w:jc w:val="both"/>
        <w:rPr>
          <w:rFonts w:ascii="Times New Roman" w:hAnsi="Times New Roman" w:cs="Times New Roman"/>
        </w:rPr>
      </w:pPr>
      <w:r w:rsidRPr="00C76D93">
        <w:rPr>
          <w:rFonts w:ascii="Times New Roman" w:eastAsia="source serif 4" w:hAnsi="Times New Roman" w:cs="Times New Roman"/>
        </w:rPr>
        <w:t>According to the published validation data, the assay has a limit of detection (LOD) of 0.06 µg GIP/g stool and a limit of quantification (LOQ) of 0.16 µg GIP/g stool. GIP concentrations were classified as negative (&lt;0.16 µg/g stool), positive (0.16–0.3 µg/g stool), or strongly positive (&gt;0.3 µg/g stool</w:t>
      </w:r>
      <w:r w:rsidRPr="00C76D93">
        <w:rPr>
          <w:rFonts w:ascii="Times New Roman" w:hAnsi="Times New Roman" w:cs="Times New Roman"/>
        </w:rPr>
        <w:t>), according to previously published thresholds</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vertAlign w:val="superscript"/>
        </w:rPr>
        <w:instrText xml:space="preserve"> ADDIN ZOTERO_ITEM CSL_CITATION {"citationID":"ggmDAiM3","properties":{"unsorted":false,"formattedCitation":"[2]","plainCitation":"[2]","noteIndex":0},"citationItems":[{"id":65,"uris":["http://zotero.org/users/11382426/items/QYSMVCP9"],"itemData":{"id":65,"type":"article-journal","abstract":"OBJECTIVES: Treatment for celiac disease (CD) is a lifelong strict gluten-free diet (GFD). Patients should be followed-up with dietary interviews and serology as CD markers to ensure adherence to the diet. However, none of these methods offer an accurate measure of dietary compliance. Our aim was to evaluate the measurement of gluten immunogenic peptides (GIP) in stools as a marker of GFD adherence in CD patients and compare it with traditional methods of GFD monitoring.\nMETHODS: We performed a prospective, nonrandomized, multicenter study including 188 CD patients on GFD and 84 healthy controls. Subjects were given a dietary questionnaire and fecal GIP quantified by enzyme-linked immunosorbent assay (ELISA). Serological anti-tissue transglutaminase (anti-tTG) IgA and anti-deamidated gliadin peptide (anti-DGP) IgA antibodies were measured simultaneously.\nRESULTS: Of the 188 celiac patients, 56 (29.8%) had detectable GIP levels in stools. There was significant association between age and GIP in stools that revealed increasing dietary transgressions with advancing age (39.2% in subjects ≥13 years old) and with gender in certain age groups (60% in men ≥13 years old). No association was found between fecal GIP and dietary questionnaire or anti-tTG antibodies. However, association was detected between GIP and anti-DGP antibodies, although 46 of the 53 GIP stool-positive patients were negative for anti-DGP.\nCONCLUSIONS: Detection of gluten peptides in stools reveals limitations of traditional methods for monitoring GFD in celiac patients. The GIP ELISA enables direct and quantitative assessment of gluten exposure early after ingestion and could aid in the diagnosis and clinical management of nonresponsive CD and refractory CD. Trial registration number NCT02711397.","container-title":"The American Journal of Gastroenterology","DOI":"10.1038/ajg.2016.439","ISSN":"1572-0241","issue":"10","journalAbbreviation":"Am J Gastroenterol","language":"eng","page":"1456-1465","PMID":"27644734","PMCID":"PMC5059698","source":"PubMed","title":"Fecal Gluten Peptides Reveal Limitations of Serological Tests and Food Questionnaires for Monitoring Gluten-Free Diet in Celiac Disease Patients","volume":"111","author":[{"family":"Comino","given":"Isabel"},{"family":"Fernández-Bañares","given":"Fernando"},{"family":"Esteve","given":"María"},{"family":"Ortigosa","given":"Luís"},{"family":"Castillejo","given":"Gemma"},{"family":"Fambuena","given":"Blanca"},{"family":"Ribes-Koninckx","given":"Carmen"},{"family":"Sierra","given":"Carlos"},{"family":"Rodríguez-Herrera","given":"Alfonso"},{"family":"Salazar","given":"José Carlos"},{"family":"Caunedo","given":"Ángel"},{"family":"Marugán-Miguelsanz","given":"J. M."},{"family":"Garrote","given":"José Antonio"},{"family":"Vivas","given":"Santiago"},{"family":"Lo Iacono","given":"Oreste"},{"family":"Nuñez","given":"Alejandro"},{"family":"Vaquero","given":"Luis"},{"family":"Vegas","given":"Ana María"},{"family":"Crespo","given":"Laura"},{"family":"Fernández-Salazar","given":"Luis"},{"family":"Arranz","given":"Eduardo"},{"family":"Jiménez-García","given":"Victoria Alejandra"},{"family":"Antonio Montes-Cano","given":"Marco"},{"family":"Espín","given":"Beatriz"},{"family":"Galera","given":"Ana"},{"family":"Valverde","given":"Justo"},{"family":"Girón","given":"Francisco José"},{"family":"Bolonio","given":"Miguel"},{"family":"Millán","given":"Antonio"},{"family":"Cerezo","given":"Francesc Martínez"},{"family":"Guajardo","given":"César"},{"family":"Alberto","given":"José Ramón"},{"family":"Rosinach","given":"Mercé"},{"family":"Segura","given":"Verónica"},{"family":"León","given":"Francisco"},{"family":"Marinich","given":"Jorge"},{"family":"Muñoz-Suano","given":"Alba"},{"family":"Romero-Gómez","given":"Manuel"},{"family":"Cebolla","given":"Ángel"},{"family":"Sousa","given":"Carolina"}],"issued":{"date-parts":[["2016",10]]}}}],"schema":"https://github.com/citation-style-language/schema/raw/master/csl-citation.json"} </w:instrText>
      </w:r>
      <w:r w:rsidRPr="00C76D93">
        <w:rPr>
          <w:rFonts w:ascii="Times New Roman" w:hAnsi="Times New Roman" w:cs="Times New Roman"/>
          <w:vertAlign w:val="superscript"/>
        </w:rPr>
        <w:fldChar w:fldCharType="separate"/>
      </w:r>
      <w:r w:rsidR="00E41919">
        <w:rPr>
          <w:rFonts w:ascii="Times New Roman" w:hAnsi="Times New Roman" w:cs="Times New Roman"/>
          <w:szCs w:val="24"/>
          <w:lang w:val="cs-CZ"/>
          <w14:ligatures w14:val="standardContextual"/>
        </w:rPr>
        <w:t>[2]</w:t>
      </w:r>
      <w:r w:rsidRPr="00C76D93">
        <w:rPr>
          <w:rFonts w:ascii="Times New Roman" w:hAnsi="Times New Roman" w:cs="Times New Roman"/>
          <w:vertAlign w:val="superscript"/>
        </w:rPr>
        <w:fldChar w:fldCharType="end"/>
      </w:r>
      <w:r w:rsidR="00E41919">
        <w:rPr>
          <w:rFonts w:ascii="Times New Roman" w:hAnsi="Times New Roman" w:cs="Times New Roman"/>
        </w:rPr>
        <w:t>.</w:t>
      </w:r>
    </w:p>
    <w:p w14:paraId="578FD33B" w14:textId="77777777" w:rsidR="00E6645C" w:rsidRPr="00C76D93" w:rsidRDefault="00E6645C" w:rsidP="00E6645C">
      <w:pPr>
        <w:spacing w:after="0" w:line="360" w:lineRule="auto"/>
        <w:jc w:val="both"/>
        <w:rPr>
          <w:rFonts w:ascii="Times New Roman" w:hAnsi="Times New Roman" w:cs="Times New Roman"/>
          <w:b/>
          <w:bCs/>
          <w:i/>
          <w:iCs/>
        </w:rPr>
      </w:pPr>
    </w:p>
    <w:p w14:paraId="43A76E3A" w14:textId="77777777" w:rsidR="00E6645C" w:rsidRPr="00C76D93" w:rsidRDefault="00E6645C" w:rsidP="00E6645C">
      <w:pPr>
        <w:spacing w:after="0" w:line="360" w:lineRule="auto"/>
        <w:jc w:val="both"/>
        <w:rPr>
          <w:rFonts w:ascii="Times New Roman" w:hAnsi="Times New Roman" w:cs="Times New Roman"/>
          <w:b/>
          <w:bCs/>
          <w:i/>
          <w:iCs/>
        </w:rPr>
      </w:pPr>
      <w:r w:rsidRPr="00C76D93">
        <w:rPr>
          <w:rFonts w:ascii="Times New Roman" w:hAnsi="Times New Roman" w:cs="Times New Roman"/>
          <w:b/>
          <w:bCs/>
          <w:i/>
          <w:iCs/>
        </w:rPr>
        <w:t>PFAS analysis</w:t>
      </w:r>
    </w:p>
    <w:p w14:paraId="093C8136" w14:textId="69179F50" w:rsidR="00E6645C" w:rsidRPr="00C76D93" w:rsidRDefault="00E6645C" w:rsidP="00E6645C">
      <w:pPr>
        <w:spacing w:after="0" w:line="360" w:lineRule="auto"/>
        <w:jc w:val="both"/>
        <w:rPr>
          <w:rFonts w:ascii="Times New Roman" w:hAnsi="Times New Roman" w:cs="Times New Roman"/>
        </w:rPr>
      </w:pPr>
      <w:r w:rsidRPr="00C76D93">
        <w:rPr>
          <w:rFonts w:ascii="Times New Roman" w:hAnsi="Times New Roman" w:cs="Times New Roman"/>
        </w:rPr>
        <w:t>Serum samples (200 µL) collected from cases and controls in TP1 were spiked with isotopically labelled internal standards and subjected to protein precipitation with acetonitrile. PFAS were extracted using 96</w:t>
      </w:r>
      <w:r w:rsidRPr="00C76D93">
        <w:rPr>
          <w:rFonts w:ascii="Times New Roman" w:hAnsi="Times New Roman" w:cs="Times New Roman"/>
        </w:rPr>
        <w:noBreakHyphen/>
        <w:t xml:space="preserve">well </w:t>
      </w:r>
      <w:proofErr w:type="spellStart"/>
      <w:r w:rsidRPr="00C76D93">
        <w:rPr>
          <w:rFonts w:ascii="Times New Roman" w:hAnsi="Times New Roman" w:cs="Times New Roman"/>
        </w:rPr>
        <w:t>Phree</w:t>
      </w:r>
      <w:proofErr w:type="spellEnd"/>
      <w:r w:rsidRPr="00C76D93">
        <w:rPr>
          <w:rFonts w:ascii="Times New Roman" w:hAnsi="Times New Roman" w:cs="Times New Roman"/>
        </w:rPr>
        <w:t xml:space="preserve"> phospholipid removal plates after addition of acetonitrile containing formic acid and isotopically labelled standards; filtrates were evaporated and reconstituted in methanol and ammonium acetate solution and a set of PFAS compounds (N = 19; see their list with detection and quantification limits in Supplementary Table S1) was analyzed by liquid chromatography-mass spectrometry (LC</w:t>
      </w:r>
      <w:r w:rsidRPr="00C76D93">
        <w:rPr>
          <w:rFonts w:ascii="Times New Roman" w:hAnsi="Times New Roman" w:cs="Times New Roman"/>
        </w:rPr>
        <w:noBreakHyphen/>
        <w:t>MS)/MS instrumental technique as described previously</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{"citationID":"fEjwzkWo","properties":{"unsorted":false,"formattedCitation":"[3]","plainCitation":"[3]","noteIndex":0},"citationItems":[{"id":649,"uris":["http://zotero.org/users/11382426/items/5E2T6CU4"],"itemData":{"id":649,"type":"article-journal","abstract":"The CELSPAC - FIREexpo biomonitoring study investigates the long-term effects of chemical exposure on firefighters' wellness and fitness. It aims to provide science-based measures to minimize the health risks of the firefighting occupation. Here, we present the study design, cohort profile, and first results with respect to internal per- and polyfluoroalkyl substances (PFAS) and polycyclic aromatic hydrocarbons (PAH) levels in study participants. Participants (n = 166) were divided into three subcohorts: i) newly recruited firefighters, ii) professional firefighters with several years' experience, and iii) the control group. Participants underwent physical performance tests, provided information on their lifestyle and diet, and urine and blood samples 1-4 times within an 11-week period. 12 serum PFAS and 10 urinary hydroxylated PAH (OH-PAH) levels were determined using HPLC-MS/MS and compared between subcohorts and samplings. The association of internal exposure with reported lifestyles and occupational factors was investigated using Spearman's correlation, principal component analysis, and multivariate regression analysis. ΣPFAS levels in firefighters were significantly higher than in the control group and were mostly associated with the length of firefighting career, age, blood donation, and population size. 10.9 % and 7.6 % of measurements exceeded the HBM-I or HBM-II value for PFOS and PFOA, respectively. Urinary ΣPAH levels increased significantly after training with burning wooden pallets, but none of them exceeded the no observed genotoxic effect level. Firefighters' occupational exposure, its sources, and pathways, need to be systematically monitored and investigated on a long-term and individual basis. The CELSPAC - FIREexpo study helps to clarify the degree of occupational exposure to the given compounds and the subsequent risks to firefighters.","container-title":"The Science of the Total Environment","DOI":"10.1016/j.scitotenv.2023.163298","ISSN":"1879-1026","journalAbbreviation":"Sci Total Environ","language":"eng","page":"163298","PMID":"37054786","PMCID":"PMC10230324","source":"PubMed","title":"The exposure of Czech firefighters to perfluoroalkyl substances and polycyclic aromatic hydrocarbons: CELSPAC - FIREexpo case-control human biomonitoring study","title-short":"The exposure of Czech firefighters to perfluoroalkyl substances and polycyclic aromatic hydrocarbons","volume":"881","author":[{"family":"Řiháčková","given":"Katarína"},{"family":"Pindur","given":"Aleš"},{"family":"Komprdová","given":"Klára"},{"family":"Pálešová","given":"Nina"},{"family":"Kohoutek","given":"Jiří"},{"family":"Šenk","given":"Petr"},{"family":"Navrátilová","given":"Jana"},{"family":"Andrýsková","given":"Lenka"},{"family":"Šebejová","given":"Ludmila"},{"family":"Hůlek","given":"Richard"},{"family":"Ismael","given":"Mazen"},{"family":"Čupr","given":"Pavel"}],"issued":{"date-parts":[["2023",7,10]]}}}],"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[3]</w:t>
      </w:r>
      <w:r w:rsidRPr="00C76D93">
        <w:rPr>
          <w:rFonts w:ascii="Times New Roman" w:hAnsi="Times New Roman" w:cs="Times New Roman"/>
        </w:rPr>
        <w:fldChar w:fldCharType="end"/>
      </w:r>
      <w:r w:rsidR="00E41919">
        <w:rPr>
          <w:rFonts w:ascii="Times New Roman" w:hAnsi="Times New Roman" w:cs="Times New Roman"/>
        </w:rPr>
        <w:t>.</w:t>
      </w:r>
    </w:p>
    <w:p w14:paraId="7135BBCC" w14:textId="77777777" w:rsidR="00E6645C" w:rsidRPr="00C76D93" w:rsidRDefault="00E6645C" w:rsidP="00E6645C">
      <w:pPr>
        <w:spacing w:after="0" w:line="360" w:lineRule="auto"/>
        <w:jc w:val="both"/>
        <w:rPr>
          <w:rFonts w:ascii="Times New Roman" w:hAnsi="Times New Roman" w:cs="Times New Roman"/>
        </w:rPr>
      </w:pPr>
    </w:p>
    <w:p w14:paraId="35727061" w14:textId="77777777" w:rsidR="00E6645C" w:rsidRPr="00C76D93" w:rsidRDefault="00E6645C" w:rsidP="00E6645C">
      <w:pPr>
        <w:pStyle w:val="Nadpis2"/>
        <w:spacing w:before="0" w:line="360" w:lineRule="auto"/>
        <w:jc w:val="both"/>
        <w:rPr>
          <w:rFonts w:ascii="Times New Roman" w:hAnsi="Times New Roman" w:cs="Times New Roman"/>
          <w:b/>
          <w:i/>
          <w:color w:val="auto"/>
          <w:sz w:val="22"/>
          <w:szCs w:val="22"/>
        </w:rPr>
      </w:pPr>
      <w:r w:rsidRPr="00C76D93">
        <w:rPr>
          <w:rFonts w:ascii="Times New Roman" w:hAnsi="Times New Roman" w:cs="Times New Roman"/>
          <w:b/>
          <w:i/>
          <w:color w:val="auto"/>
          <w:sz w:val="22"/>
          <w:szCs w:val="22"/>
        </w:rPr>
        <w:t>Bacteriome analysis</w:t>
      </w:r>
    </w:p>
    <w:p w14:paraId="024E090A" w14:textId="77777777" w:rsidR="00E6645C" w:rsidRPr="00453E16" w:rsidRDefault="00E6645C" w:rsidP="00E6645C">
      <w:pPr>
        <w:pStyle w:val="Zkladntext"/>
        <w:spacing w:line="360" w:lineRule="auto"/>
        <w:jc w:val="both"/>
        <w:rPr>
          <w:rFonts w:ascii="Times New Roman" w:hAnsi="Times New Roman" w:cs="Times New Roman"/>
          <w:b/>
          <w:bCs/>
          <w:highlight w:val="yellow"/>
          <w:lang w:val="cs-CZ"/>
        </w:rPr>
      </w:pPr>
      <w:r w:rsidRPr="00C76D93">
        <w:rPr>
          <w:rFonts w:ascii="Times New Roman" w:hAnsi="Times New Roman" w:cs="Times New Roman"/>
        </w:rPr>
        <w:t xml:space="preserve">DNA was isolated from 92 fecal samples, 10 negative controls (kit chemicals; NCs, 200 µL), commercial mock </w:t>
      </w:r>
      <w:r w:rsidRPr="00BA4B62">
        <w:rPr>
          <w:rFonts w:ascii="Times New Roman" w:hAnsi="Times New Roman" w:cs="Times New Roman"/>
        </w:rPr>
        <w:t>community (</w:t>
      </w:r>
      <w:proofErr w:type="spellStart"/>
      <w:r w:rsidRPr="00BA4B62">
        <w:rPr>
          <w:rFonts w:ascii="Times New Roman" w:hAnsi="Times New Roman" w:cs="Times New Roman"/>
        </w:rPr>
        <w:t>ZymoBIOMICS</w:t>
      </w:r>
      <w:proofErr w:type="spellEnd"/>
      <w:r w:rsidRPr="00BA4B62">
        <w:rPr>
          <w:rFonts w:ascii="Times New Roman" w:hAnsi="Times New Roman" w:cs="Times New Roman"/>
        </w:rPr>
        <w:t xml:space="preserve"> </w:t>
      </w:r>
      <w:r w:rsidRPr="00453E16">
        <w:rPr>
          <w:rFonts w:ascii="Times New Roman" w:hAnsi="Times New Roman" w:cs="Times New Roman"/>
        </w:rPr>
        <w:t>Gut Microbiome Standard</w:t>
      </w:r>
      <w:r w:rsidRPr="00BA4B62">
        <w:rPr>
          <w:rFonts w:ascii="Times New Roman" w:hAnsi="Times New Roman" w:cs="Times New Roman"/>
        </w:rPr>
        <w:t xml:space="preserve">; </w:t>
      </w:r>
      <w:proofErr w:type="spellStart"/>
      <w:r w:rsidRPr="00BA4B62">
        <w:rPr>
          <w:rFonts w:ascii="Times New Roman" w:hAnsi="Times New Roman" w:cs="Times New Roman"/>
        </w:rPr>
        <w:t>Zymo</w:t>
      </w:r>
      <w:proofErr w:type="spellEnd"/>
      <w:r w:rsidRPr="00BA4B62">
        <w:rPr>
          <w:rFonts w:ascii="Times New Roman" w:hAnsi="Times New Roman" w:cs="Times New Roman"/>
        </w:rPr>
        <w:t xml:space="preserve"> Research), and</w:t>
      </w:r>
      <w:r w:rsidRPr="00C76D93">
        <w:rPr>
          <w:rFonts w:ascii="Times New Roman" w:hAnsi="Times New Roman" w:cs="Times New Roman"/>
        </w:rPr>
        <w:t xml:space="preserve"> from a bacterial internal standard (</w:t>
      </w:r>
      <w:proofErr w:type="spellStart"/>
      <w:r w:rsidRPr="00C76D93">
        <w:rPr>
          <w:rFonts w:ascii="Times New Roman" w:hAnsi="Times New Roman" w:cs="Times New Roman"/>
        </w:rPr>
        <w:t>ZymoBIOMICS</w:t>
      </w:r>
      <w:proofErr w:type="spellEnd"/>
      <w:r w:rsidRPr="00C76D93">
        <w:rPr>
          <w:rFonts w:ascii="Times New Roman" w:hAnsi="Times New Roman" w:cs="Times New Roman"/>
        </w:rPr>
        <w:t xml:space="preserve"> Spike-in Control I by High Microbial Load, </w:t>
      </w:r>
      <w:proofErr w:type="spellStart"/>
      <w:r w:rsidRPr="00C76D93">
        <w:rPr>
          <w:rFonts w:ascii="Times New Roman" w:hAnsi="Times New Roman" w:cs="Times New Roman"/>
        </w:rPr>
        <w:t>Zymo</w:t>
      </w:r>
      <w:proofErr w:type="spellEnd"/>
      <w:r w:rsidRPr="00C76D93">
        <w:rPr>
          <w:rFonts w:ascii="Times New Roman" w:hAnsi="Times New Roman" w:cs="Times New Roman"/>
        </w:rPr>
        <w:t xml:space="preserve"> Research, USA) using the </w:t>
      </w:r>
      <w:proofErr w:type="spellStart"/>
      <w:r w:rsidRPr="00C76D93">
        <w:rPr>
          <w:rFonts w:ascii="Times New Roman" w:hAnsi="Times New Roman" w:cs="Times New Roman"/>
        </w:rPr>
        <w:t>AllPrep</w:t>
      </w:r>
      <w:proofErr w:type="spellEnd"/>
      <w:r w:rsidRPr="00C76D93">
        <w:rPr>
          <w:rFonts w:ascii="Times New Roman" w:hAnsi="Times New Roman" w:cs="Times New Roman"/>
        </w:rPr>
        <w:t xml:space="preserve"> DNA/RNA Kit (QIAGEN, Germany) according to the manufacturer’s instructions. </w:t>
      </w:r>
    </w:p>
    <w:p w14:paraId="06BD8945" w14:textId="476568E3"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Absolute quantification of the total content of bacterial DNA in each sample was performed in duplicates using quantitative polymerase chain reaction (qPCR), as described previously</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{"citationID":"XBn5x5Rq","properties":{"formattedCitation":"[4]","plainCitation":"[4]","noteIndex":0},"citationItems":[{"id":527,"uris":["http://zotero.org/users/11382426/items/W7YTHPQF"],"itemData":{"id":527,"type":"article-journal","container-title":"Journal of Investigative Dermatology","DOI":"10.1016/j.jid.2025.07.006","ISSN":"0022-202X, 1523-1747","issue":"2","journalAbbreviation":"J Invest Dermatol","language":"English","page":"483-492.e8","PMID":"40738245","publisher":"Elsevier","source":"www.jidonline.org","title":"Effect of Systemic Therapies on Skin Bacteriome in Patients with Atopic Dermatitis: A Pilot Prospective Study","title-short":"Effect of Systemic Therapies on Skin Bacteriome in Patients with Atopic Dermatitis","volume":"146","author":[{"family":"Thomova","given":"Terezia"},{"family":"Jedlickova","given":"Hana"},{"family":"Bohm","given":"Jan"},{"family":"Holochova","given":"Pavla"},{"family":"Ruzicka","given":"Filip"},{"family":"Linhartova","given":"Petra Borilova"}],"issued":{"date-parts":[["2026",2,1]]}}}],"schema":"https://github.com/citation-style-language/schema/raw/master/csl-citation.json"}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[4]</w:t>
      </w:r>
      <w:r w:rsidRPr="00C76D93">
        <w:rPr>
          <w:rFonts w:ascii="Times New Roman" w:hAnsi="Times New Roman" w:cs="Times New Roman"/>
        </w:rPr>
        <w:fldChar w:fldCharType="end"/>
      </w:r>
      <w:r w:rsidR="00E41919">
        <w:rPr>
          <w:rFonts w:ascii="Times New Roman" w:hAnsi="Times New Roman" w:cs="Times New Roman"/>
        </w:rPr>
        <w:t>.</w:t>
      </w:r>
    </w:p>
    <w:p w14:paraId="3047DE3B" w14:textId="454C4799"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All fecal samples and NCs were spiked with the DNA isolated from bacterial internal standard to control for amplification efficiency and prevent false-negative sequencing results; amplicon library preparation, indexing, quality control, and Illumina </w:t>
      </w:r>
      <w:proofErr w:type="spellStart"/>
      <w:r w:rsidRPr="00C76D93">
        <w:rPr>
          <w:rFonts w:ascii="Times New Roman" w:hAnsi="Times New Roman" w:cs="Times New Roman"/>
        </w:rPr>
        <w:t>MiSeq</w:t>
      </w:r>
      <w:proofErr w:type="spellEnd"/>
      <w:r w:rsidRPr="00C76D93">
        <w:rPr>
          <w:rFonts w:ascii="Times New Roman" w:hAnsi="Times New Roman" w:cs="Times New Roman"/>
        </w:rPr>
        <w:t xml:space="preserve"> sequencing were performed using a standardized workflow for amplification of the V3/V4 region in 16S rRNA sequence as described previously</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{"citationID":"tBFN0HvE","properties":{"formattedCitation":"[5]","plainCitation":"[5]","noteIndex":0},"citationItems":[{"id":581,"uris":["http://zotero.org/users/11382426/items/CX4AK5X7"],"itemData":{"id":581,"type":"article-journal","abstract":"AIM: This study aimed to evaluate bacteriome profiles (diversity, composition and relative abundances of bacterial genera) of the fluids from apical periodontitis (AP)-related radicular cysts (RCs).\nMETHODOLOGY: This observational study included 29 patients with AP and RC with complete sample triplets (supragingival plaque, cryopulverized tooth and cystic fluid). The bacteriome profiles of each matrix as well as of negative controls (NCs) were examined using 16S rRNA amplicon sequencing.\nRESULTS: Bacteriome profiles of cystic fluids differed from NCs in 79% of cases. The number of distinct amplicon sequence variants and Shannon index detected in cystic fluids and cryopulverized teeth were significantly lower than in paired supragingival plaque samples. Gram-negative genera and anaerobic genera were more abundant in cystic fluids than in paired cryopulverized teeth or their supragingival plaques. The relative abundances of the genera Prevotella_7/Prevotella, Fusobacterium and Porphyromonas were higher in cystic fluids than in paired cryopulverized teeth and NCs; their relative abundances dominated (&gt;20%) in individual cystic fluids. Also, DNA from the genus Fretibacterium was significantly more commonly found in cryopulverized teeth and cystic fluids than in supragingival plaque samples. The relative abundances of this gram-negative bacterial genera in cryopulverized teeth differed from NCs; the difference from cystic fluids was borderline insignificant.\nCONCLUSIONS: Although the alpha-diversity in the cystic fluids is much lower compared to supragingival plaques, most cystic fluids are not sterile. DNA from specific anaerobic gram-negative bacterial genera dominated the fluids from AP-related RCs.","container-title":"International Endodontic Journal","DOI":"10.1111/iej.14220","ISSN":"1365-2591","issue":"6","journalAbbreviation":"Int Endod J","language":"eng","page":"902-915","PMID":"40059439","PMCID":"PMC12065126","source":"PubMed","title":"Bacterial genera in the fluids from apical periodontitis-related radicular cysts: An observational study","title-short":"Bacterial genera in the fluids from apical periodontitis-related radicular cysts","volume":"58","author":[{"family":"Szaraz","given":"David"},{"family":"Bohm","given":"Jan"},{"family":"Cerulova","given":"Sabina"},{"family":"Bodokyova","given":"Lenka"},{"family":"Danek","given":"Zdenek"},{"family":"Machacek","given":"Ctirad"},{"family":"Borilova Linhartova","given":"Petra"}],"issued":{"date-parts":[["2025",6]]}}}],"schema":"https://github.com/citation-style-language/schema/raw/master/csl-citation.json"}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[5]</w:t>
      </w:r>
      <w:r w:rsidRPr="00C76D93">
        <w:rPr>
          <w:rFonts w:ascii="Times New Roman" w:hAnsi="Times New Roman" w:cs="Times New Roman"/>
        </w:rPr>
        <w:fldChar w:fldCharType="end"/>
      </w:r>
      <w:r w:rsidR="00E41919">
        <w:rPr>
          <w:rFonts w:ascii="Times New Roman" w:hAnsi="Times New Roman" w:cs="Times New Roman"/>
        </w:rPr>
        <w:t>.</w:t>
      </w:r>
    </w:p>
    <w:p w14:paraId="502556D0" w14:textId="057DD6C1"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Data were processed using </w:t>
      </w:r>
      <w:proofErr w:type="spellStart"/>
      <w:r w:rsidRPr="00C76D93">
        <w:rPr>
          <w:rFonts w:ascii="Times New Roman" w:hAnsi="Times New Roman" w:cs="Times New Roman"/>
        </w:rPr>
        <w:t>nf</w:t>
      </w:r>
      <w:proofErr w:type="spellEnd"/>
      <w:r w:rsidRPr="00C76D93">
        <w:rPr>
          <w:rFonts w:ascii="Times New Roman" w:hAnsi="Times New Roman" w:cs="Times New Roman"/>
        </w:rPr>
        <w:t>-core/</w:t>
      </w:r>
      <w:proofErr w:type="spellStart"/>
      <w:r w:rsidRPr="00C76D93">
        <w:rPr>
          <w:rFonts w:ascii="Times New Roman" w:hAnsi="Times New Roman" w:cs="Times New Roman"/>
        </w:rPr>
        <w:t>ampliseq</w:t>
      </w:r>
      <w:proofErr w:type="spellEnd"/>
      <w:r w:rsidRPr="00C76D93">
        <w:rPr>
          <w:rFonts w:ascii="Times New Roman" w:hAnsi="Times New Roman" w:cs="Times New Roman"/>
        </w:rPr>
        <w:t xml:space="preserve"> version 2.11.0</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{"citationID":"SbfoKTBR","properties":{"formattedCitation":"[6]","plainCitation":"[6]","noteIndex":0},"citationItems":[{"id":532,"uris":["http://zotero.org/users/11382426/items/FBLICDHK"],"itemData":{"id":532,"type":"article-journal","abstract":"One of the major methods to identify microbial community composition, to unravel microbial population dynamics, and to explore microbial diversity in environmental samples is high-throughput DNA- or RNA-based 16S rRNA (gene) amplicon sequencing in combination with bioinformatics analyses. However, focusing on environmental samples from contrasting habitats, it was not systematically evaluated (i) which analysis methods provide results that reflect reality most accurately, (ii) how the interpretations of microbial community studies are biased by different analysis methods and (iii) if the most optimal analysis workflow can be implemented in an easy-to-use pipeline. Here, we compared the performance of 16S rRNA (gene) amplicon sequencing analysis tools (i.e., Mothur, QIIME1, QIIME2, and MEGAN) using three mock datasets with known microbial community composition that differed in sequencing quality, species number and abundance distribution (i.e., even or uneven), and phylogenetic diversity (i.e., closely related or well-separated amplicon sequences). Our results showed that QIIME2 outcompeted all other investigated tools in sequence recovery (&gt;10 times fewer false positives), taxonomic assignments (&gt;22% better F-score) and diversity estimates (&gt;5% better assessment), suggesting that this approach is able to reflect the in situ microbial community most accurately. Further analysis of 24 environmental datasets obtained from four contrasting terrestrial and freshwater sites revealed dramatic differences in the resulting microbial community composition for all pipelines at genus level. For instance, at the investigated river water sites Sphaerotilus was only reported when using QIIME1 (8% abundance) and Agitococcus with QIIME1 or QIIME2 (2 or 3% abundance, respectively), but both genera remained undetected when analyzed with Mothur or MEGAN. Since these abundant taxa probably have implications for important biogeochemical cycles (e.g., nitrate and sulfate reduction) at these sites, their detection and semi-quantitative enumeration is crucial for valid interpretations. A high-performance computing conformant workflow was constructed to allow FAIR (Findable, Accessible, Interoperable, and Re-usable) 16S rRNA (gene) amplicon sequence analysis starting from raw sequence files, using the most optimal methods identified in our study. Our presented workflow should be considered for future studies, thereby facilitating the analysis of high-throughput 16S rRNA (gene) sequencing data substantially, while maximizing reliability and confidence in microbial community data analysis.","container-title":"Frontiers in Microbiology","DOI":"10.3389/fmicb.2020.550420","ISSN":"1664-302X","journalAbbreviation":"Front Microbiol","language":"eng","page":"550420","PMID":"33193131","PMCID":"PMC7645116","source":"PubMed","title":"Interpretations of Environmental Microbial Community Studies Are Biased by the Selected 16S rRNA (Gene) Amplicon Sequencing Pipeline","volume":"11","author":[{"family":"Straub","given":"Daniel"},{"family":"Blackwell","given":"Nia"},{"family":"Langarica-Fuentes","given":"Adrian"},{"family":"Peltzer","given":"Alexander"},{"family":"Nahnsen","given":"Sven"},{"family":"Kleindienst","given":"Sara"}],"issued":{"date-parts":[["2020"]]}}}],"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[6]</w:t>
      </w:r>
      <w:r w:rsidRPr="00C76D93">
        <w:rPr>
          <w:rFonts w:ascii="Times New Roman" w:hAnsi="Times New Roman" w:cs="Times New Roman"/>
        </w:rPr>
        <w:fldChar w:fldCharType="end"/>
      </w:r>
      <w:r w:rsidRPr="00C76D93">
        <w:rPr>
          <w:rFonts w:ascii="Times New Roman" w:hAnsi="Times New Roman" w:cs="Times New Roman"/>
        </w:rPr>
        <w:t xml:space="preserve"> from the </w:t>
      </w:r>
      <w:proofErr w:type="spellStart"/>
      <w:r w:rsidRPr="00C76D93">
        <w:rPr>
          <w:rFonts w:ascii="Times New Roman" w:hAnsi="Times New Roman" w:cs="Times New Roman"/>
        </w:rPr>
        <w:t>nf</w:t>
      </w:r>
      <w:proofErr w:type="spellEnd"/>
      <w:r w:rsidRPr="00C76D93">
        <w:rPr>
          <w:rFonts w:ascii="Times New Roman" w:hAnsi="Times New Roman" w:cs="Times New Roman"/>
        </w:rPr>
        <w:t>-core collection of workflows</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{"citationID":"TlIzeLde","properties":{"formattedCitation":"[7]","plainCitation":"[7]","noteIndex":0},"citationItems":[{"id":535,"uris":["http://zotero.org/users/11382426/items/M996US6F"],"itemData":{"id":535,"type":"article-journal","container-title":"Nature Biotechnology","DOI":"10.1038/s41587-020-0439-x","ISSN":"1546-1696","issue":"3","journalAbbreviation":"Nat Biotechnol","language":"eng","page":"276-278","PMID":"32055031","source":"PubMed","title":"The nf-core framework for community-curated bioinformatics pipelines","volume":"38","author":[{"family":"Ewels","given":"Philip A."},{"family":"Peltzer","given":"Alexander"},{"family":"Fillinger","given":"Sven"},{"family":"Patel","given":"Harshil"},{"family":"Alneberg","given":"Johannes"},{"family":"Wilm","given":"Andreas"},{"family":"Garcia","given":"Maxime Ulysse"},{"family":"Di Tommaso","given":"Paolo"},{"family":"Nahnsen","given":"Sven"}],"issued":{"date-parts":[["2020",3]]}}}],"schema":"https://github.com/citation-style-language/schema/raw/master/csl-citation.json"}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[7]</w:t>
      </w:r>
      <w:r w:rsidRPr="00C76D93">
        <w:rPr>
          <w:rFonts w:ascii="Times New Roman" w:hAnsi="Times New Roman" w:cs="Times New Roman"/>
        </w:rPr>
        <w:fldChar w:fldCharType="end"/>
      </w:r>
      <w:r w:rsidRPr="00C76D93">
        <w:rPr>
          <w:rFonts w:ascii="Times New Roman" w:hAnsi="Times New Roman" w:cs="Times New Roman"/>
        </w:rPr>
        <w:t xml:space="preserve">, utilizing reproducible software environments provided by the </w:t>
      </w:r>
      <w:proofErr w:type="spellStart"/>
      <w:r w:rsidRPr="00C76D93">
        <w:rPr>
          <w:rFonts w:ascii="Times New Roman" w:hAnsi="Times New Roman" w:cs="Times New Roman"/>
        </w:rPr>
        <w:t>Bioconda</w:t>
      </w:r>
      <w:proofErr w:type="spellEnd"/>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{"citationID":"8Uw7Fj25","properties":{"formattedCitation":"[8]","plainCitation":"[8]","noteIndex":0},"citationItems":[{"id":537,"uris":["http://zotero.org/users/11382426/items/B9F9ML9Z"],"itemData":{"id":537,"type":"article-journal","container-title":"Nature Methods","DOI":"10.1038/s41592-018-0046-7","ISSN":"1548-7105","issue":"7","journalAbbreviation":"Nat Methods","language":"eng","page":"475-476","PMID":"29967506","PMCID":"PMC11070151","source":"PubMed","title":"Bioconda: sustainable and comprehensive software distribution for the life sciences","title-short":"Bioconda","volume":"15","author":[{"family":"Grüning","given":"Björn"},{"family":"Dale","given":"Ryan"},{"family":"Sjödin","given":"Andreas"},{"family":"Chapman","given":"Brad A."},{"family":"Rowe","given":"Jillian"},{"family":"Tomkins-Tinch","given":"Christopher H."},{"family":"Valieris","given":"Renan"},{"family":"Köster","given":"Johannes"},{"literal":"Bioconda Team"}],"issued":{"date-parts":[["2018",7]]}}}],"schema":"https://github.com/citation-style-language/schema/raw/master/csl-citation.json"}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[8]</w:t>
      </w:r>
      <w:r w:rsidRPr="00C76D93">
        <w:rPr>
          <w:rFonts w:ascii="Times New Roman" w:hAnsi="Times New Roman" w:cs="Times New Roman"/>
        </w:rPr>
        <w:fldChar w:fldCharType="end"/>
      </w:r>
      <w:r w:rsidRPr="00C76D93">
        <w:rPr>
          <w:rFonts w:ascii="Times New Roman" w:hAnsi="Times New Roman" w:cs="Times New Roman"/>
        </w:rPr>
        <w:t xml:space="preserve"> and </w:t>
      </w:r>
      <w:proofErr w:type="spellStart"/>
      <w:r w:rsidRPr="00C76D93">
        <w:rPr>
          <w:rFonts w:ascii="Times New Roman" w:hAnsi="Times New Roman" w:cs="Times New Roman"/>
        </w:rPr>
        <w:t>Biocontainers</w:t>
      </w:r>
      <w:proofErr w:type="spellEnd"/>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{"citationID":"qAs3xdx1","properties":{"formattedCitation":"[9]","plainCitation":"[9]","noteIndex":0},"citationItems":[{"id":539,"uris":["http://zotero.org/users/11382426/items/VYSSYP5X"],"itemData":{"id":539,"type":"article-journal","abstract":"MOTIVATION: BioContainers (biocontainers.pro) is an open-source and community-driven framework which provides platform independent executable environments for bioinformatics software. BioContainers allows labs of all sizes to easily install bioinformatics software, maintain multiple versions of the same software and combine tools into powerful analysis pipelines. BioContainers is based on popular open-source projects Docker and rkt frameworks, that allow software to be installed and executed under an isolated and controlled environment. Also, it provides infrastructure and basic guidelines to create, manage and distribute bioinformatics containers with a special focus on omics technologies. These containers can be integrated into more comprehensive bioinformatics pipelines and different architectures (local desktop, cloud environments or HPC clusters).\nAVAILABILITY AND IMPLEMENTATION: The software is freely available at github.com/BioContainers/.\nCONTACT: yperez@ebi.ac.uk.","container-title":"Bioinformatics","DOI":"10.1093/bioinformatics/btx192","ISSN":"1367-4811","issue":"16","journalAbbreviation":"Bioinformatics","language":"eng","note":"publisher-place: Oxford, England","page":"2580-2582","PMID":"28379341","PMCID":"PMC5870671","source":"PubMed","title":"BioContainers: an open-source and community-driven framework for software standardization","title-short":"BioContainers","volume":"33","author":[{"family":"Veiga Leprevost","given":"Felipe","non-dropping-particle":"da"},{"family":"Grüning","given":"Björn A."},{"family":"Alves Aflitos","given":"Saulo"},{"family":"Röst","given":"Hannes L."},{"family":"Uszkoreit","given":"Julian"},{"family":"Barsnes","given":"Harald"},{"family":"Vaudel","given":"Marc"},{"family":"Moreno","given":"Pablo"},{"family":"Gatto","given":"Laurent"},{"family":"Weber","given":"Jonas"},{"family":"Bai","given":"Mingze"},{"family":"Jimenez","given":"Rafael C."},{"family":"Sachsenberg","given":"Timo"},{"family":"Pfeuffer","given":"Julianus"},{"family":"Vera Alvarez","given":"Roberto"},{"family":"Griss","given":"Johannes"},{"family":"Nesvizhskii","given":"Alexey I."},{"family":"Perez-Riverol","given":"Yasset"}],"issued":{"date-parts":[["2017",8,15]]}}}],"schema":"https://github.com/citation-style-language/schema/raw/master/csl-citation.json"}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[9]</w:t>
      </w:r>
      <w:r w:rsidRPr="00C76D93">
        <w:rPr>
          <w:rFonts w:ascii="Times New Roman" w:hAnsi="Times New Roman" w:cs="Times New Roman"/>
        </w:rPr>
        <w:fldChar w:fldCharType="end"/>
      </w:r>
      <w:r w:rsidRPr="00C76D93">
        <w:rPr>
          <w:rFonts w:ascii="Times New Roman" w:hAnsi="Times New Roman" w:cs="Times New Roman"/>
        </w:rPr>
        <w:t xml:space="preserve"> projects. Finally, Predicted Relative Metabolic Turnover (PRMT) was computed from the sequencing data (see </w:t>
      </w:r>
      <w:proofErr w:type="spellStart"/>
      <w:r w:rsidRPr="00C76D93">
        <w:rPr>
          <w:rFonts w:ascii="Times New Roman" w:hAnsi="Times New Roman" w:cs="Times New Roman"/>
        </w:rPr>
        <w:t>Zwinsova</w:t>
      </w:r>
      <w:proofErr w:type="spellEnd"/>
      <w:r w:rsidRPr="00C76D93">
        <w:rPr>
          <w:rFonts w:ascii="Times New Roman" w:hAnsi="Times New Roman" w:cs="Times New Roman"/>
        </w:rPr>
        <w:t xml:space="preserve"> et al. for details</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{"citationID":"1tOmlZLR","properties":{"formattedCitation":"[10]","plainCitation":"[10]","noteIndex":0},"citationItems":[{"id":542,"uris":["http://zotero.org/users/11382426/items/8Y6UNY55"],"itemData":{"id":542,"type":"article","abstract":"Hormonal and endometrial fluctuations across the menstrual cycle may influence both vaginal and fecal microbiomes. Since no longitudinal study examining both matrices together in this context exists, our study aimed to evaluate microbiome changes in three phases of the menstrual cycle and to investigate correlations between bacteriomes and mycobiomes in vaginal and fecal samples. Over the course of three consecutive menstrual cycles, vaginal and stool swabs were self-collected in the follicular, ovulatory, and luteal phases from eight parous women of reproductive age who had regular menstrual cycle. Microscopic fungi in all vaginal samples were cultured and identified by mass spectrometry. DNA from 72 vaginal and 72 fecal samples were analyzed using quantitative PCRs, 16S and ITS rRNA amplicon sequencing for bacteriome and mycobiome profiling. Metabolic pathways were analyzed with a focus on the members of the Lactobacillaceae family. Bacteriome diversity in vaginal samples remained stable across studied months and individual phases, while changes in bacteriome alpha diversity (Shannon index) across phases were observed in fecal samples, with the highest diversity observed during the luteal phase. As expected, the genus Lactobacillus (mostly L. crispatus) predominated in the vaginal samples. Furthermore, different patterns of the predicted metabolic potential were observed in vaginal samples dominated by Lactobacillus iners or Gardnerella vaginalis with Lactobacillus jensenii, compared to the profile dominated by L. crispatus. Yeasts, such as Candida albicans, Nakaseomyces glabratus, and Pichia kudriavzevii, were found in some vaginal samples. The presence of vaginal yeasts correlated with relative abundances of L. crispatus (negatively) and L. iners (positively) in vaginal samples, and with genus Streprococcus in stool samples (positively). Relative abundances of L. jensenii in vaginal samples correlated with genera Bifidobacterium (negatively) and Dialister (positively) in stool samples. The results indicate that when investigating female fecal microbiome, the phase of menstrual cycle should be considered. Some strong correlations between the relative abundance/presence of vaginal lactobacilli and yeasts and fecal bacteria were found, suggesting a possible link between the composition of microbial communities of these two anatomical sites.","DOI":"10.21203/rs.3.rs-9050950/v1","note":"ISSN: 2693-5015","publisher":"Research Square","source":"Research Square","title":"Longitudinal profiling and correlations of vaginal and fecal microbiomes throughout the menstrual cycle: A pilot prospective study","title-short":"Longitudinal profiling and correlations of vaginal and fecal microbiomes throughout the menstrual cycle","URL":"https://www.researchsquare.com/article/rs-9050950/v1","author":[{"family":"Zwinsova","given":"Barbora"},{"family":"Hofman","given":"Jan"},{"family":"Tomik","given":"Ondrej"},{"family":"Brenerova","given":"Petra"},{"family":"Holochova","given":"Pavla"},{"family":"Mekinova","given":"Lenka"},{"family":"Jeseta","given":"Michal"},{"family":"Ruzicka","given":"Filip"},{"family":"Linhartova","given":"Petra Borilova"}],"accessed":{"date-parts":[["2026",6,27]]},"issued":{"date-parts":[["2026",3,9]]}}}],"schema":"https://github.com/citation-style-language/schema/raw/master/csl-citation.json"}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[10]</w:t>
      </w:r>
      <w:r w:rsidRPr="00C76D93">
        <w:rPr>
          <w:rFonts w:ascii="Times New Roman" w:hAnsi="Times New Roman" w:cs="Times New Roman"/>
        </w:rPr>
        <w:fldChar w:fldCharType="end"/>
      </w:r>
      <w:r w:rsidRPr="00C76D93">
        <w:rPr>
          <w:rFonts w:ascii="Times New Roman" w:hAnsi="Times New Roman" w:cs="Times New Roman"/>
        </w:rPr>
        <w:t>).</w:t>
      </w:r>
    </w:p>
    <w:p w14:paraId="43804EE7" w14:textId="77777777" w:rsidR="00E6645C" w:rsidRPr="00C76D93" w:rsidRDefault="00E6645C" w:rsidP="00E6645C">
      <w:pPr>
        <w:pStyle w:val="Zkladntext"/>
        <w:spacing w:after="0" w:line="360" w:lineRule="auto"/>
        <w:jc w:val="both"/>
        <w:rPr>
          <w:rFonts w:ascii="Times New Roman" w:hAnsi="Times New Roman" w:cs="Times New Roman"/>
        </w:rPr>
      </w:pPr>
    </w:p>
    <w:p w14:paraId="2C5FD447" w14:textId="77777777" w:rsidR="00E6645C" w:rsidRPr="00C76D93" w:rsidRDefault="00E6645C" w:rsidP="00E6645C">
      <w:pPr>
        <w:pStyle w:val="Nadpis2"/>
        <w:spacing w:before="0" w:line="360" w:lineRule="auto"/>
        <w:jc w:val="both"/>
        <w:rPr>
          <w:rFonts w:ascii="Times New Roman" w:hAnsi="Times New Roman" w:cs="Times New Roman"/>
          <w:b/>
          <w:i/>
          <w:color w:val="auto"/>
          <w:sz w:val="22"/>
          <w:szCs w:val="22"/>
        </w:rPr>
      </w:pPr>
      <w:r w:rsidRPr="00C76D93">
        <w:rPr>
          <w:rFonts w:ascii="Times New Roman" w:hAnsi="Times New Roman" w:cs="Times New Roman"/>
          <w:b/>
          <w:i/>
          <w:color w:val="auto"/>
          <w:sz w:val="22"/>
          <w:szCs w:val="22"/>
        </w:rPr>
        <w:t>Data preprocessing and statistical analysis</w:t>
      </w:r>
    </w:p>
    <w:p w14:paraId="735F71E5" w14:textId="77777777"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The quality control criteria for the determination of the total content of bacterial DNA were at least </w:t>
      </w:r>
      <w:r w:rsidRPr="00C76D93">
        <w:rPr>
          <w:rFonts w:ascii="Times New Roman" w:eastAsiaTheme="majorEastAsia" w:hAnsi="Times New Roman" w:cs="Times New Roman"/>
          <w:color w:val="000000" w:themeColor="text1"/>
        </w:rPr>
        <w:t xml:space="preserve">50 copies/µL (detection limit) and low variability between technical duplicates (&lt;0.5 cycle threshold) for </w:t>
      </w:r>
      <w:r w:rsidRPr="00C76D93">
        <w:rPr>
          <w:rFonts w:ascii="Times New Roman" w:eastAsiaTheme="majorEastAsia" w:hAnsi="Times New Roman" w:cs="Times New Roman"/>
          <w:color w:val="000000" w:themeColor="text1"/>
        </w:rPr>
        <w:lastRenderedPageBreak/>
        <w:t>qPCR. Only samples and NCs with a sequencing depth of at least 5000 reads (including the bacterial internal standard) were retained for downstream analysis. NCs were retained throughout the analysis to monitor potential contamination and are displayed in relevant figures for comparison.</w:t>
      </w:r>
      <w:r w:rsidRPr="00C76D93">
        <w:rPr>
          <w:rFonts w:ascii="Times New Roman" w:hAnsi="Times New Roman" w:cs="Times New Roman"/>
        </w:rPr>
        <w:t xml:space="preserve"> Taxonomic profiles were analyzed at the genus level. As bacteriome data are compositional, zero values were imputed by adding a </w:t>
      </w:r>
      <w:proofErr w:type="spellStart"/>
      <w:r w:rsidRPr="00C76D93">
        <w:rPr>
          <w:rFonts w:ascii="Times New Roman" w:hAnsi="Times New Roman" w:cs="Times New Roman"/>
        </w:rPr>
        <w:t>pseudocount</w:t>
      </w:r>
      <w:proofErr w:type="spellEnd"/>
      <w:r w:rsidRPr="00C76D93">
        <w:rPr>
          <w:rFonts w:ascii="Times New Roman" w:hAnsi="Times New Roman" w:cs="Times New Roman"/>
        </w:rPr>
        <w:t xml:space="preserve"> of one read, followed by centered log-ratio (CLR) transformation.</w:t>
      </w:r>
    </w:p>
    <w:p w14:paraId="2FA150AF" w14:textId="04A1E08F"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The ratio of </w:t>
      </w:r>
      <w:proofErr w:type="spellStart"/>
      <w:r w:rsidRPr="00C76D93">
        <w:rPr>
          <w:rFonts w:ascii="Times New Roman" w:hAnsi="Times New Roman" w:cs="Times New Roman"/>
        </w:rPr>
        <w:t>Bacillota</w:t>
      </w:r>
      <w:proofErr w:type="spellEnd"/>
      <w:r w:rsidRPr="00C76D93">
        <w:rPr>
          <w:rFonts w:ascii="Times New Roman" w:hAnsi="Times New Roman" w:cs="Times New Roman"/>
        </w:rPr>
        <w:t xml:space="preserve"> to </w:t>
      </w:r>
      <w:proofErr w:type="spellStart"/>
      <w:r w:rsidRPr="00C76D93">
        <w:rPr>
          <w:rFonts w:ascii="Times New Roman" w:hAnsi="Times New Roman" w:cs="Times New Roman"/>
        </w:rPr>
        <w:t>Bacteroidota</w:t>
      </w:r>
      <w:proofErr w:type="spellEnd"/>
      <w:r w:rsidRPr="00C76D93">
        <w:rPr>
          <w:rFonts w:ascii="Times New Roman" w:hAnsi="Times New Roman" w:cs="Times New Roman"/>
        </w:rPr>
        <w:t xml:space="preserve"> relative abundances (formerly Firmicutes/Bacteroidetes ratio) was calculated as a gut dysbiosis indicator, which is also used in patients with CD</w:t>
      </w:r>
      <w:r w:rsidR="00E41919">
        <w:rPr>
          <w:rFonts w:ascii="Times New Roman" w:hAnsi="Times New Roman" w:cs="Times New Roman"/>
        </w:rPr>
        <w:t xml:space="preserve"> </w:t>
      </w:r>
      <w:r w:rsidRPr="00C76D93">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{"citationID":"a1cOGGxb","properties":{"unsorted":false,"formattedCitation":"[11]","plainCitation":"[11]","noteIndex":0},"citationItems":[{"id":617,"uris":["http://zotero.org/users/11382426/items/V86M5ZD4"],"itemData":{"id":617,"type":"article-journal","abstract":"Aim:\nThis review aims to summarize the characteristics of gut microbiota in celiac patients and assess its composition compared to healthy controls.\n\nBackground:\nThe gut microbiota influences the regulation of host immunity. Accordingly, alterations in the intestinal microbiota, also known as dysbiosis, have been studied in various gastrointestinal disorders, including celiac disease.\n\nMethods:\nWe conducted a systematic review of available studies over the last decade (2013-2023). The comprehensive search was performed using various academic databases. The selected studies focused on the analysis of gut microbiota from duodenal and/or fecal samples and included both pediatric and adult populations.\n\nResults:\nTwenty-two articles were included following PRISMA guidelines: nine on fecal microbiota, six on duodenal microbiota, and seven on both. The findings revealed significant differences in bacterial prevalence associated with celiac disease across 17 studies, with celiac patients showing altered microbial diversity characterized by an increase in pathogenic bacteria and a decrease in beneficial bacteria such as Bifidobacterium and Lactobacillus, compared to healthy controls. However, other studies showed no significant distinction between groups of children affected by celiac disease and control groups. Some articles also highlight the effect of a gluten-free diet on the composition of the gut microbiota.\n\nConclusion:\n Current data on the composition of the gut microbiome in patients with celiac disease is characterized by considerable heterogeneity and inconsistency. This highlights the need for a thorough and holistic approach to understand better these variations and their impact on the health of people with celiac disease.","container-title":"Gastroenterology and Hepatology From Bed to Bench","DOI":"10.22037/ghfbb.v18i1.3024","ISSN":"2008-2258","issue":"2","journalAbbreviation":"Gastroenterol Hepatol Bed Bench","page":"147-163","PMID":"40936777","PMCID":"PMC12421936","source":"PubMed Central","title":"Variations in gut microbiota in celiac disease patients: a systematic review","title-short":"Variations in gut microbiota in celiac disease patients","volume":"18","author":[{"family":"Said","given":"Hasna Ait"},{"family":"Elmoumou","given":"Lahcen"},{"family":"Rherissi","given":"Bouchra"},{"family":"El Kadmiri","given":"Nadia"}],"issued":{"date-parts":[["2025"]]}}}],"schema":"https://github.com/citation-style-language/schema/raw/master/csl-citation.json"} </w:instrText>
      </w:r>
      <w:r w:rsidRPr="00C76D93">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[11]</w:t>
      </w:r>
      <w:r w:rsidRPr="00C76D93">
        <w:rPr>
          <w:rFonts w:ascii="Times New Roman" w:hAnsi="Times New Roman" w:cs="Times New Roman"/>
        </w:rPr>
        <w:fldChar w:fldCharType="end"/>
      </w:r>
      <w:r w:rsidR="00E41919">
        <w:rPr>
          <w:rFonts w:ascii="Times New Roman" w:hAnsi="Times New Roman" w:cs="Times New Roman"/>
        </w:rPr>
        <w:t>.</w:t>
      </w:r>
      <w:r w:rsidRPr="00C76D93">
        <w:rPr>
          <w:rFonts w:ascii="Times New Roman" w:hAnsi="Times New Roman" w:cs="Times New Roman"/>
        </w:rPr>
        <w:t xml:space="preserve"> Differences in clinical parameters, total content of bacterial DNA, bacteriome diversity, bacteriome composition, and metabolic pathways score were assessed using non-parametric tests. The Kruskal–</w:t>
      </w:r>
      <w:proofErr w:type="gramStart"/>
      <w:r w:rsidRPr="00C76D93">
        <w:rPr>
          <w:rFonts w:ascii="Times New Roman" w:hAnsi="Times New Roman" w:cs="Times New Roman"/>
        </w:rPr>
        <w:t>Wallis</w:t>
      </w:r>
      <w:proofErr w:type="gramEnd"/>
      <w:r w:rsidRPr="00C76D93">
        <w:rPr>
          <w:rFonts w:ascii="Times New Roman" w:hAnsi="Times New Roman" w:cs="Times New Roman"/>
        </w:rPr>
        <w:t xml:space="preserve"> test was applied, followed by pairwise Wilcoxon rank-sum tests for comparison between time points or the Mann-Whitney U test for comparison between diagnostic groups with Benjamini–Hochberg correction for multiple testing. Effect sizes were estimated using the rank biserial correlation coefficient. </w:t>
      </w:r>
      <w:r w:rsidRPr="00C76D93">
        <w:rPr>
          <w:rFonts w:ascii="Times New Roman" w:hAnsi="Times New Roman" w:cs="Times New Roman"/>
          <w:i/>
          <w:iCs/>
        </w:rPr>
        <w:t>P</w:t>
      </w:r>
      <w:r w:rsidRPr="00C76D93">
        <w:rPr>
          <w:rFonts w:ascii="Times New Roman" w:hAnsi="Times New Roman" w:cs="Times New Roman"/>
        </w:rPr>
        <w:t xml:space="preserve">-values &lt; 0.05 were considered statistically significant, and adjusted </w:t>
      </w:r>
      <w:r w:rsidRPr="00C76D93">
        <w:rPr>
          <w:rFonts w:ascii="Times New Roman" w:hAnsi="Times New Roman" w:cs="Times New Roman"/>
          <w:i/>
          <w:iCs/>
        </w:rPr>
        <w:t>p</w:t>
      </w:r>
      <w:r w:rsidRPr="00C76D93">
        <w:rPr>
          <w:rFonts w:ascii="Times New Roman" w:hAnsi="Times New Roman" w:cs="Times New Roman"/>
        </w:rPr>
        <w:t>-values &lt; 0.1 were considered statistically significant after multiple testing corrections.</w:t>
      </w:r>
    </w:p>
    <w:p w14:paraId="5AA11207" w14:textId="77777777"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Principal component analysis (PCA) was performed on CLR-transformed abundance data using the </w:t>
      </w:r>
      <w:proofErr w:type="spellStart"/>
      <w:r w:rsidRPr="00C76D93">
        <w:rPr>
          <w:rFonts w:ascii="Times New Roman" w:hAnsi="Times New Roman" w:cs="Times New Roman"/>
        </w:rPr>
        <w:t>PCAtools</w:t>
      </w:r>
      <w:proofErr w:type="spellEnd"/>
      <w:r w:rsidRPr="00C76D93">
        <w:rPr>
          <w:rFonts w:ascii="Times New Roman" w:hAnsi="Times New Roman" w:cs="Times New Roman"/>
        </w:rPr>
        <w:t xml:space="preserve"> (v.2.20.0) package to visualize differences in bacterial community composition. To statistically confirm the observed differences between sample groups, a PERMANOVA analysis was conducted using Euclidean distances, as appropriate for CLR-transformed data.</w:t>
      </w:r>
    </w:p>
    <w:p w14:paraId="703D892E" w14:textId="3E746505" w:rsidR="00E6645C" w:rsidRPr="00C76D93"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In the correlation analysis, Spearman’s correlation coefficient was used to assess associations between the 25 most abundant bacterial genera, PFAS exposure, and clinical variables. Correlations with an absolute magnitude ≥ 0.5 were considered moderate to strong, and the resulting correlation network of such correlations was visualized using the </w:t>
      </w:r>
      <w:proofErr w:type="spellStart"/>
      <w:r w:rsidRPr="00C76D93">
        <w:rPr>
          <w:rFonts w:ascii="Times New Roman" w:hAnsi="Times New Roman" w:cs="Times New Roman"/>
        </w:rPr>
        <w:t>igraph</w:t>
      </w:r>
      <w:proofErr w:type="spellEnd"/>
      <w:r w:rsidRPr="00C76D93">
        <w:rPr>
          <w:rFonts w:ascii="Times New Roman" w:hAnsi="Times New Roman" w:cs="Times New Roman"/>
        </w:rPr>
        <w:t xml:space="preserve"> package (v.2.2.2), employing the </w:t>
      </w:r>
      <w:proofErr w:type="spellStart"/>
      <w:r w:rsidRPr="00C76D93">
        <w:rPr>
          <w:rFonts w:ascii="Times New Roman" w:hAnsi="Times New Roman" w:cs="Times New Roman"/>
        </w:rPr>
        <w:t>Fruchterman</w:t>
      </w:r>
      <w:proofErr w:type="spellEnd"/>
      <w:r w:rsidRPr="00C76D93">
        <w:rPr>
          <w:rFonts w:ascii="Times New Roman" w:hAnsi="Times New Roman" w:cs="Times New Roman"/>
        </w:rPr>
        <w:t xml:space="preserve"> and Reingold algorithm</w:t>
      </w:r>
      <w:r w:rsidR="00E41919">
        <w:rPr>
          <w:rFonts w:ascii="Times New Roman" w:hAnsi="Times New Roman" w:cs="Times New Roman"/>
        </w:rPr>
        <w:t xml:space="preserve"> </w:t>
      </w:r>
      <w:r w:rsidR="008206CC">
        <w:rPr>
          <w:rFonts w:ascii="Times New Roman" w:hAnsi="Times New Roman" w:cs="Times New Roman"/>
        </w:rPr>
        <w:fldChar w:fldCharType="begin"/>
      </w:r>
      <w:r w:rsidR="00E41919">
        <w:rPr>
          <w:rFonts w:ascii="Times New Roman" w:hAnsi="Times New Roman" w:cs="Times New Roman"/>
        </w:rPr>
        <w:instrText xml:space="preserve"> ADDIN ZOTERO_ITEM CSL_CITATION {"citationID":"oefqzW9B","properties":{"unsorted":false,"formattedCitation":"[12]","plainCitation":"[12]","noteIndex":0},"citationItems":[{"id":657,"uris":["http://zotero.org/users/11382426/items/5D6GI9JH"],"itemData":{"id":657,"type":"article-journal","abstract":"We present a modification of the spring-embedder model of Eades [Congressus Numerantium, 42, 149–160, (1984)] for drawing undirected graphs with straight edges. Our heuristic strives for uniform edge lengths, and we develop it in analogy to forces in natural systems, for a simple, elegant, conceptually-intuitive, and efficient algorithm.","container-title":"Software: Practice and Experience","DOI":"10.1002/spe.4380211102","ISSN":"1097-024X","issue":"11","journalAbbreviation":"Softw: Pract Exper","language":"en","license":"Copyright © 1991 John Wiley &amp; Sons, Ltd","note":"_eprint: https://onlinelibrary.wiley.com/doi/pdf/10.1002/spe.4380211102","page":"1129-1164","source":"Wiley Online Library","title":"Graph drawing by force-directed placement","volume":"21","author":[{"family":"Fruchterman","given":"Thomas M. J."},{"family":"Reingold","given":"Edward M."}],"issued":{"date-parts":[["1991"]]}}}],"schema":"https://github.com/citation-style-language/schema/raw/master/csl-citation.json"} </w:instrText>
      </w:r>
      <w:r w:rsidR="008206CC">
        <w:rPr>
          <w:rFonts w:ascii="Times New Roman" w:hAnsi="Times New Roman" w:cs="Times New Roman"/>
        </w:rPr>
        <w:fldChar w:fldCharType="separate"/>
      </w:r>
      <w:r w:rsidR="00E41919">
        <w:rPr>
          <w:rFonts w:ascii="Times New Roman" w:hAnsi="Times New Roman" w:cs="Times New Roman"/>
          <w:szCs w:val="24"/>
          <w:lang w:val="cs-CZ"/>
          <w14:ligatures w14:val="standardContextual"/>
        </w:rPr>
        <w:t>[12]</w:t>
      </w:r>
      <w:r w:rsidR="008206CC">
        <w:rPr>
          <w:rFonts w:ascii="Times New Roman" w:hAnsi="Times New Roman" w:cs="Times New Roman"/>
        </w:rPr>
        <w:fldChar w:fldCharType="end"/>
      </w:r>
      <w:r w:rsidR="00E41919">
        <w:rPr>
          <w:rFonts w:ascii="Times New Roman" w:hAnsi="Times New Roman" w:cs="Times New Roman"/>
        </w:rPr>
        <w:t>.</w:t>
      </w:r>
    </w:p>
    <w:p w14:paraId="03C4A678" w14:textId="77777777" w:rsidR="00E6645C" w:rsidRDefault="00E6645C" w:rsidP="00E6645C">
      <w:pPr>
        <w:pStyle w:val="Zkladntext"/>
        <w:spacing w:after="0" w:line="360" w:lineRule="auto"/>
        <w:jc w:val="both"/>
        <w:rPr>
          <w:rFonts w:ascii="Times New Roman" w:hAnsi="Times New Roman" w:cs="Times New Roman"/>
        </w:rPr>
      </w:pPr>
      <w:r w:rsidRPr="00C76D93">
        <w:rPr>
          <w:rFonts w:ascii="Times New Roman" w:hAnsi="Times New Roman" w:cs="Times New Roman"/>
        </w:rPr>
        <w:t xml:space="preserve">DIABLO (Data Integration Analysis for Biomarker Discovery using Latent variable approaches for Omics studies) from the </w:t>
      </w:r>
      <w:proofErr w:type="spellStart"/>
      <w:r w:rsidRPr="00C76D93">
        <w:rPr>
          <w:rFonts w:ascii="Times New Roman" w:hAnsi="Times New Roman" w:cs="Times New Roman"/>
        </w:rPr>
        <w:t>mixOmics</w:t>
      </w:r>
      <w:proofErr w:type="spellEnd"/>
      <w:r w:rsidRPr="00C76D93">
        <w:rPr>
          <w:rFonts w:ascii="Times New Roman" w:hAnsi="Times New Roman" w:cs="Times New Roman"/>
        </w:rPr>
        <w:t xml:space="preserve"> package (v.6.24.0) using Multiblock (s)PLS-DA (Partial Least Squares Discriminant Analysis) was applied in R to integrate datasets of fecal bacterial composition and PFAS concentration in blood serum to explain their relationship within the groups and to define variables contributing the most to discriminate the groups.</w:t>
      </w:r>
    </w:p>
    <w:p w14:paraId="7B61F08B" w14:textId="77777777" w:rsidR="00672CCF" w:rsidRDefault="00672CCF" w:rsidP="00E6645C">
      <w:pPr>
        <w:pStyle w:val="Zkladntext"/>
        <w:spacing w:after="0" w:line="360" w:lineRule="auto"/>
        <w:jc w:val="both"/>
        <w:rPr>
          <w:rFonts w:ascii="Times New Roman" w:hAnsi="Times New Roman" w:cs="Times New Roman"/>
        </w:rPr>
      </w:pPr>
    </w:p>
    <w:p w14:paraId="36DFFCBA" w14:textId="0CBD5449" w:rsidR="00672CCF" w:rsidRPr="00C76D93" w:rsidRDefault="00672CCF" w:rsidP="00E6645C">
      <w:pPr>
        <w:pStyle w:val="Zkladntext"/>
        <w:spacing w:after="0" w:line="360" w:lineRule="auto"/>
        <w:jc w:val="both"/>
        <w:rPr>
          <w:rFonts w:ascii="Times New Roman" w:hAnsi="Times New Roman" w:cs="Times New Roman"/>
        </w:rPr>
      </w:pPr>
      <w:r>
        <w:rPr>
          <w:rFonts w:ascii="Times New Roman" w:hAnsi="Times New Roman" w:cs="Times New Roman"/>
          <w:b/>
          <w:bCs/>
        </w:rPr>
        <w:t>References</w:t>
      </w:r>
    </w:p>
    <w:p w14:paraId="20CF4F69" w14:textId="77777777" w:rsidR="00E41919" w:rsidRPr="00E41919" w:rsidRDefault="008206CC" w:rsidP="00E41919">
      <w:pPr>
        <w:pStyle w:val="Bibliografie"/>
        <w:rPr>
          <w:rFonts w:ascii="Times New Roman" w:hAnsi="Times New Roman" w:cs="Times New Roman"/>
          <w:lang w:val="cs-CZ"/>
        </w:rPr>
      </w:pPr>
      <w:r>
        <w:fldChar w:fldCharType="begin"/>
      </w:r>
      <w:r w:rsidR="00E41919">
        <w:instrText xml:space="preserve"> ADDIN ZOTERO_BIBL {"uncited":[],"omitted":[],"custom":[]} CSL_BIBLIOGRAPHY </w:instrText>
      </w:r>
      <w:r>
        <w:fldChar w:fldCharType="separate"/>
      </w:r>
      <w:r w:rsidR="00E41919" w:rsidRPr="00E41919">
        <w:rPr>
          <w:rFonts w:ascii="Times New Roman" w:hAnsi="Times New Roman" w:cs="Times New Roman"/>
          <w:lang w:val="cs-CZ"/>
        </w:rPr>
        <w:t xml:space="preserve">1. </w:t>
      </w:r>
      <w:proofErr w:type="spellStart"/>
      <w:r w:rsidR="00E41919" w:rsidRPr="00E41919">
        <w:rPr>
          <w:rFonts w:ascii="Times New Roman" w:hAnsi="Times New Roman" w:cs="Times New Roman"/>
          <w:lang w:val="cs-CZ"/>
        </w:rPr>
        <w:t>Husby</w:t>
      </w:r>
      <w:proofErr w:type="spellEnd"/>
      <w:r w:rsidR="00E41919" w:rsidRPr="00E41919">
        <w:rPr>
          <w:rFonts w:ascii="Times New Roman" w:hAnsi="Times New Roman" w:cs="Times New Roman"/>
          <w:lang w:val="cs-CZ"/>
        </w:rPr>
        <w:t xml:space="preserve"> S, </w:t>
      </w:r>
      <w:proofErr w:type="spellStart"/>
      <w:r w:rsidR="00E41919" w:rsidRPr="00E41919">
        <w:rPr>
          <w:rFonts w:ascii="Times New Roman" w:hAnsi="Times New Roman" w:cs="Times New Roman"/>
          <w:lang w:val="cs-CZ"/>
        </w:rPr>
        <w:t>Koletzko</w:t>
      </w:r>
      <w:proofErr w:type="spellEnd"/>
      <w:r w:rsidR="00E41919" w:rsidRPr="00E41919">
        <w:rPr>
          <w:rFonts w:ascii="Times New Roman" w:hAnsi="Times New Roman" w:cs="Times New Roman"/>
          <w:lang w:val="cs-CZ"/>
        </w:rPr>
        <w:t xml:space="preserve"> S, </w:t>
      </w:r>
      <w:proofErr w:type="spellStart"/>
      <w:r w:rsidR="00E41919" w:rsidRPr="00E41919">
        <w:rPr>
          <w:rFonts w:ascii="Times New Roman" w:hAnsi="Times New Roman" w:cs="Times New Roman"/>
          <w:lang w:val="cs-CZ"/>
        </w:rPr>
        <w:t>Korponay</w:t>
      </w:r>
      <w:proofErr w:type="spellEnd"/>
      <w:r w:rsidR="00E41919" w:rsidRPr="00E41919">
        <w:rPr>
          <w:rFonts w:ascii="Times New Roman" w:hAnsi="Times New Roman" w:cs="Times New Roman"/>
          <w:lang w:val="cs-CZ"/>
        </w:rPr>
        <w:t xml:space="preserve">-Szabó I, </w:t>
      </w:r>
      <w:proofErr w:type="spellStart"/>
      <w:r w:rsidR="00E41919" w:rsidRPr="00E41919">
        <w:rPr>
          <w:rFonts w:ascii="Times New Roman" w:hAnsi="Times New Roman" w:cs="Times New Roman"/>
          <w:lang w:val="cs-CZ"/>
        </w:rPr>
        <w:t>Kurppa</w:t>
      </w:r>
      <w:proofErr w:type="spellEnd"/>
      <w:r w:rsidR="00E41919" w:rsidRPr="00E41919">
        <w:rPr>
          <w:rFonts w:ascii="Times New Roman" w:hAnsi="Times New Roman" w:cs="Times New Roman"/>
          <w:lang w:val="cs-CZ"/>
        </w:rPr>
        <w:t xml:space="preserve"> K, </w:t>
      </w:r>
      <w:proofErr w:type="spellStart"/>
      <w:r w:rsidR="00E41919" w:rsidRPr="00E41919">
        <w:rPr>
          <w:rFonts w:ascii="Times New Roman" w:hAnsi="Times New Roman" w:cs="Times New Roman"/>
          <w:lang w:val="cs-CZ"/>
        </w:rPr>
        <w:t>Mearin</w:t>
      </w:r>
      <w:proofErr w:type="spellEnd"/>
      <w:r w:rsidR="00E41919" w:rsidRPr="00E41919">
        <w:rPr>
          <w:rFonts w:ascii="Times New Roman" w:hAnsi="Times New Roman" w:cs="Times New Roman"/>
          <w:lang w:val="cs-CZ"/>
        </w:rPr>
        <w:t xml:space="preserve"> ML, </w:t>
      </w:r>
      <w:proofErr w:type="spellStart"/>
      <w:r w:rsidR="00E41919" w:rsidRPr="00E41919">
        <w:rPr>
          <w:rFonts w:ascii="Times New Roman" w:hAnsi="Times New Roman" w:cs="Times New Roman"/>
          <w:lang w:val="cs-CZ"/>
        </w:rPr>
        <w:t>Ribes-Koninckx</w:t>
      </w:r>
      <w:proofErr w:type="spellEnd"/>
      <w:r w:rsidR="00E41919" w:rsidRPr="00E41919">
        <w:rPr>
          <w:rFonts w:ascii="Times New Roman" w:hAnsi="Times New Roman" w:cs="Times New Roman"/>
          <w:lang w:val="cs-CZ"/>
        </w:rPr>
        <w:t xml:space="preserve"> C, et al. </w:t>
      </w:r>
      <w:proofErr w:type="spellStart"/>
      <w:r w:rsidR="00E41919" w:rsidRPr="00E41919">
        <w:rPr>
          <w:rFonts w:ascii="Times New Roman" w:hAnsi="Times New Roman" w:cs="Times New Roman"/>
          <w:lang w:val="cs-CZ"/>
        </w:rPr>
        <w:t>European</w:t>
      </w:r>
      <w:proofErr w:type="spellEnd"/>
      <w:r w:rsidR="00E41919" w:rsidRPr="00E41919">
        <w:rPr>
          <w:rFonts w:ascii="Times New Roman" w:hAnsi="Times New Roman" w:cs="Times New Roman"/>
          <w:lang w:val="cs-CZ"/>
        </w:rPr>
        <w:t xml:space="preserve"> Society </w:t>
      </w:r>
      <w:proofErr w:type="spellStart"/>
      <w:r w:rsidR="00E41919" w:rsidRPr="00E41919">
        <w:rPr>
          <w:rFonts w:ascii="Times New Roman" w:hAnsi="Times New Roman" w:cs="Times New Roman"/>
          <w:lang w:val="cs-CZ"/>
        </w:rPr>
        <w:t>Paediatric</w:t>
      </w:r>
      <w:proofErr w:type="spellEnd"/>
      <w:r w:rsidR="00E41919" w:rsidRPr="00E41919">
        <w:rPr>
          <w:rFonts w:ascii="Times New Roman" w:hAnsi="Times New Roman" w:cs="Times New Roman"/>
          <w:lang w:val="cs-CZ"/>
        </w:rPr>
        <w:t xml:space="preserve"> Gastroenterology, Hepatology and </w:t>
      </w:r>
      <w:proofErr w:type="spellStart"/>
      <w:r w:rsidR="00E41919" w:rsidRPr="00E41919">
        <w:rPr>
          <w:rFonts w:ascii="Times New Roman" w:hAnsi="Times New Roman" w:cs="Times New Roman"/>
          <w:lang w:val="cs-CZ"/>
        </w:rPr>
        <w:t>Nutrition</w:t>
      </w:r>
      <w:proofErr w:type="spellEnd"/>
      <w:r w:rsidR="00E41919" w:rsidRPr="00E41919">
        <w:rPr>
          <w:rFonts w:ascii="Times New Roman" w:hAnsi="Times New Roman" w:cs="Times New Roman"/>
          <w:lang w:val="cs-CZ"/>
        </w:rPr>
        <w:t xml:space="preserve"> </w:t>
      </w:r>
      <w:proofErr w:type="spellStart"/>
      <w:r w:rsidR="00E41919" w:rsidRPr="00E41919">
        <w:rPr>
          <w:rFonts w:ascii="Times New Roman" w:hAnsi="Times New Roman" w:cs="Times New Roman"/>
          <w:lang w:val="cs-CZ"/>
        </w:rPr>
        <w:t>Guidelines</w:t>
      </w:r>
      <w:proofErr w:type="spellEnd"/>
      <w:r w:rsidR="00E41919" w:rsidRPr="00E41919">
        <w:rPr>
          <w:rFonts w:ascii="Times New Roman" w:hAnsi="Times New Roman" w:cs="Times New Roman"/>
          <w:lang w:val="cs-CZ"/>
        </w:rPr>
        <w:t xml:space="preserve"> </w:t>
      </w:r>
      <w:proofErr w:type="spellStart"/>
      <w:r w:rsidR="00E41919" w:rsidRPr="00E41919">
        <w:rPr>
          <w:rFonts w:ascii="Times New Roman" w:hAnsi="Times New Roman" w:cs="Times New Roman"/>
          <w:lang w:val="cs-CZ"/>
        </w:rPr>
        <w:t>for</w:t>
      </w:r>
      <w:proofErr w:type="spellEnd"/>
      <w:r w:rsidR="00E41919" w:rsidRPr="00E41919">
        <w:rPr>
          <w:rFonts w:ascii="Times New Roman" w:hAnsi="Times New Roman" w:cs="Times New Roman"/>
          <w:lang w:val="cs-CZ"/>
        </w:rPr>
        <w:t xml:space="preserve"> </w:t>
      </w:r>
      <w:proofErr w:type="spellStart"/>
      <w:r w:rsidR="00E41919" w:rsidRPr="00E41919">
        <w:rPr>
          <w:rFonts w:ascii="Times New Roman" w:hAnsi="Times New Roman" w:cs="Times New Roman"/>
          <w:lang w:val="cs-CZ"/>
        </w:rPr>
        <w:t>Diagnosing</w:t>
      </w:r>
      <w:proofErr w:type="spellEnd"/>
      <w:r w:rsidR="00E41919" w:rsidRPr="00E41919">
        <w:rPr>
          <w:rFonts w:ascii="Times New Roman" w:hAnsi="Times New Roman" w:cs="Times New Roman"/>
          <w:lang w:val="cs-CZ"/>
        </w:rPr>
        <w:t xml:space="preserve"> </w:t>
      </w:r>
      <w:proofErr w:type="spellStart"/>
      <w:r w:rsidR="00E41919" w:rsidRPr="00E41919">
        <w:rPr>
          <w:rFonts w:ascii="Times New Roman" w:hAnsi="Times New Roman" w:cs="Times New Roman"/>
          <w:lang w:val="cs-CZ"/>
        </w:rPr>
        <w:t>Coeliac</w:t>
      </w:r>
      <w:proofErr w:type="spellEnd"/>
      <w:r w:rsidR="00E41919" w:rsidRPr="00E41919">
        <w:rPr>
          <w:rFonts w:ascii="Times New Roman" w:hAnsi="Times New Roman" w:cs="Times New Roman"/>
          <w:lang w:val="cs-CZ"/>
        </w:rPr>
        <w:t xml:space="preserve"> </w:t>
      </w:r>
      <w:proofErr w:type="spellStart"/>
      <w:r w:rsidR="00E41919" w:rsidRPr="00E41919">
        <w:rPr>
          <w:rFonts w:ascii="Times New Roman" w:hAnsi="Times New Roman" w:cs="Times New Roman"/>
          <w:lang w:val="cs-CZ"/>
        </w:rPr>
        <w:t>Disease</w:t>
      </w:r>
      <w:proofErr w:type="spellEnd"/>
      <w:r w:rsidR="00E41919" w:rsidRPr="00E41919">
        <w:rPr>
          <w:rFonts w:ascii="Times New Roman" w:hAnsi="Times New Roman" w:cs="Times New Roman"/>
          <w:lang w:val="cs-CZ"/>
        </w:rPr>
        <w:t xml:space="preserve"> 2020. J Pediatr </w:t>
      </w:r>
      <w:proofErr w:type="spellStart"/>
      <w:r w:rsidR="00E41919" w:rsidRPr="00E41919">
        <w:rPr>
          <w:rFonts w:ascii="Times New Roman" w:hAnsi="Times New Roman" w:cs="Times New Roman"/>
          <w:lang w:val="cs-CZ"/>
        </w:rPr>
        <w:t>Gastroenterol</w:t>
      </w:r>
      <w:proofErr w:type="spellEnd"/>
      <w:r w:rsidR="00E41919" w:rsidRPr="00E41919">
        <w:rPr>
          <w:rFonts w:ascii="Times New Roman" w:hAnsi="Times New Roman" w:cs="Times New Roman"/>
          <w:lang w:val="cs-CZ"/>
        </w:rPr>
        <w:t xml:space="preserve"> </w:t>
      </w:r>
      <w:proofErr w:type="spellStart"/>
      <w:r w:rsidR="00E41919" w:rsidRPr="00E41919">
        <w:rPr>
          <w:rFonts w:ascii="Times New Roman" w:hAnsi="Times New Roman" w:cs="Times New Roman"/>
          <w:lang w:val="cs-CZ"/>
        </w:rPr>
        <w:t>Nutr</w:t>
      </w:r>
      <w:proofErr w:type="spellEnd"/>
      <w:r w:rsidR="00E41919" w:rsidRPr="00E41919">
        <w:rPr>
          <w:rFonts w:ascii="Times New Roman" w:hAnsi="Times New Roman" w:cs="Times New Roman"/>
          <w:lang w:val="cs-CZ"/>
        </w:rPr>
        <w:t xml:space="preserve">. </w:t>
      </w:r>
      <w:proofErr w:type="gramStart"/>
      <w:r w:rsidR="00E41919" w:rsidRPr="00E41919">
        <w:rPr>
          <w:rFonts w:ascii="Times New Roman" w:hAnsi="Times New Roman" w:cs="Times New Roman"/>
          <w:lang w:val="cs-CZ"/>
        </w:rPr>
        <w:t>2020;70:141</w:t>
      </w:r>
      <w:proofErr w:type="gramEnd"/>
      <w:r w:rsidR="00E41919" w:rsidRPr="00E41919">
        <w:rPr>
          <w:rFonts w:ascii="Times New Roman" w:hAnsi="Times New Roman" w:cs="Times New Roman"/>
          <w:lang w:val="cs-CZ"/>
        </w:rPr>
        <w:t>–56. https://doi.org/10.1097/MPG.0000000000002497</w:t>
      </w:r>
    </w:p>
    <w:p w14:paraId="4C263354"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2. </w:t>
      </w:r>
      <w:proofErr w:type="spellStart"/>
      <w:r w:rsidRPr="00E41919">
        <w:rPr>
          <w:rFonts w:ascii="Times New Roman" w:hAnsi="Times New Roman" w:cs="Times New Roman"/>
          <w:lang w:val="cs-CZ"/>
        </w:rPr>
        <w:t>Comino</w:t>
      </w:r>
      <w:proofErr w:type="spellEnd"/>
      <w:r w:rsidRPr="00E41919">
        <w:rPr>
          <w:rFonts w:ascii="Times New Roman" w:hAnsi="Times New Roman" w:cs="Times New Roman"/>
          <w:lang w:val="cs-CZ"/>
        </w:rPr>
        <w:t xml:space="preserve"> I, </w:t>
      </w:r>
      <w:proofErr w:type="spellStart"/>
      <w:r w:rsidRPr="00E41919">
        <w:rPr>
          <w:rFonts w:ascii="Times New Roman" w:hAnsi="Times New Roman" w:cs="Times New Roman"/>
          <w:lang w:val="cs-CZ"/>
        </w:rPr>
        <w:t>Fernández-Bañares</w:t>
      </w:r>
      <w:proofErr w:type="spellEnd"/>
      <w:r w:rsidRPr="00E41919">
        <w:rPr>
          <w:rFonts w:ascii="Times New Roman" w:hAnsi="Times New Roman" w:cs="Times New Roman"/>
          <w:lang w:val="cs-CZ"/>
        </w:rPr>
        <w:t xml:space="preserve"> F, </w:t>
      </w:r>
      <w:proofErr w:type="spellStart"/>
      <w:r w:rsidRPr="00E41919">
        <w:rPr>
          <w:rFonts w:ascii="Times New Roman" w:hAnsi="Times New Roman" w:cs="Times New Roman"/>
          <w:lang w:val="cs-CZ"/>
        </w:rPr>
        <w:t>Esteve</w:t>
      </w:r>
      <w:proofErr w:type="spellEnd"/>
      <w:r w:rsidRPr="00E41919">
        <w:rPr>
          <w:rFonts w:ascii="Times New Roman" w:hAnsi="Times New Roman" w:cs="Times New Roman"/>
          <w:lang w:val="cs-CZ"/>
        </w:rPr>
        <w:t xml:space="preserve"> M, </w:t>
      </w:r>
      <w:proofErr w:type="spellStart"/>
      <w:r w:rsidRPr="00E41919">
        <w:rPr>
          <w:rFonts w:ascii="Times New Roman" w:hAnsi="Times New Roman" w:cs="Times New Roman"/>
          <w:lang w:val="cs-CZ"/>
        </w:rPr>
        <w:t>Ortigosa</w:t>
      </w:r>
      <w:proofErr w:type="spellEnd"/>
      <w:r w:rsidRPr="00E41919">
        <w:rPr>
          <w:rFonts w:ascii="Times New Roman" w:hAnsi="Times New Roman" w:cs="Times New Roman"/>
          <w:lang w:val="cs-CZ"/>
        </w:rPr>
        <w:t xml:space="preserve"> L, </w:t>
      </w:r>
      <w:proofErr w:type="spellStart"/>
      <w:r w:rsidRPr="00E41919">
        <w:rPr>
          <w:rFonts w:ascii="Times New Roman" w:hAnsi="Times New Roman" w:cs="Times New Roman"/>
          <w:lang w:val="cs-CZ"/>
        </w:rPr>
        <w:t>Castillejo</w:t>
      </w:r>
      <w:proofErr w:type="spellEnd"/>
      <w:r w:rsidRPr="00E41919">
        <w:rPr>
          <w:rFonts w:ascii="Times New Roman" w:hAnsi="Times New Roman" w:cs="Times New Roman"/>
          <w:lang w:val="cs-CZ"/>
        </w:rPr>
        <w:t xml:space="preserve"> G, </w:t>
      </w:r>
      <w:proofErr w:type="spellStart"/>
      <w:r w:rsidRPr="00E41919">
        <w:rPr>
          <w:rFonts w:ascii="Times New Roman" w:hAnsi="Times New Roman" w:cs="Times New Roman"/>
          <w:lang w:val="cs-CZ"/>
        </w:rPr>
        <w:t>Fambuena</w:t>
      </w:r>
      <w:proofErr w:type="spellEnd"/>
      <w:r w:rsidRPr="00E41919">
        <w:rPr>
          <w:rFonts w:ascii="Times New Roman" w:hAnsi="Times New Roman" w:cs="Times New Roman"/>
          <w:lang w:val="cs-CZ"/>
        </w:rPr>
        <w:t xml:space="preserve"> B, et al. </w:t>
      </w:r>
      <w:proofErr w:type="spellStart"/>
      <w:r w:rsidRPr="00E41919">
        <w:rPr>
          <w:rFonts w:ascii="Times New Roman" w:hAnsi="Times New Roman" w:cs="Times New Roman"/>
          <w:lang w:val="cs-CZ"/>
        </w:rPr>
        <w:t>Fecal</w:t>
      </w:r>
      <w:proofErr w:type="spellEnd"/>
      <w:r w:rsidRPr="00E41919">
        <w:rPr>
          <w:rFonts w:ascii="Times New Roman" w:hAnsi="Times New Roman" w:cs="Times New Roman"/>
          <w:lang w:val="cs-CZ"/>
        </w:rPr>
        <w:t xml:space="preserve"> Gluten </w:t>
      </w:r>
      <w:proofErr w:type="spellStart"/>
      <w:r w:rsidRPr="00E41919">
        <w:rPr>
          <w:rFonts w:ascii="Times New Roman" w:hAnsi="Times New Roman" w:cs="Times New Roman"/>
          <w:lang w:val="cs-CZ"/>
        </w:rPr>
        <w:t>Peptides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Reveal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Limitations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of</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Serological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Tests</w:t>
      </w:r>
      <w:proofErr w:type="spellEnd"/>
      <w:r w:rsidRPr="00E41919">
        <w:rPr>
          <w:rFonts w:ascii="Times New Roman" w:hAnsi="Times New Roman" w:cs="Times New Roman"/>
          <w:lang w:val="cs-CZ"/>
        </w:rPr>
        <w:t xml:space="preserve"> and Food </w:t>
      </w:r>
      <w:proofErr w:type="spellStart"/>
      <w:r w:rsidRPr="00E41919">
        <w:rPr>
          <w:rFonts w:ascii="Times New Roman" w:hAnsi="Times New Roman" w:cs="Times New Roman"/>
          <w:lang w:val="cs-CZ"/>
        </w:rPr>
        <w:t>Questionnaires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for</w:t>
      </w:r>
      <w:proofErr w:type="spellEnd"/>
      <w:r w:rsidRPr="00E41919">
        <w:rPr>
          <w:rFonts w:ascii="Times New Roman" w:hAnsi="Times New Roman" w:cs="Times New Roman"/>
          <w:lang w:val="cs-CZ"/>
        </w:rPr>
        <w:t xml:space="preserve"> Monitoring Gluten-Free Diet in </w:t>
      </w:r>
      <w:proofErr w:type="spellStart"/>
      <w:r w:rsidRPr="00E41919">
        <w:rPr>
          <w:rFonts w:ascii="Times New Roman" w:hAnsi="Times New Roman" w:cs="Times New Roman"/>
          <w:lang w:val="cs-CZ"/>
        </w:rPr>
        <w:t>Celiac</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Disease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Patients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Am</w:t>
      </w:r>
      <w:proofErr w:type="spellEnd"/>
      <w:r w:rsidRPr="00E41919">
        <w:rPr>
          <w:rFonts w:ascii="Times New Roman" w:hAnsi="Times New Roman" w:cs="Times New Roman"/>
          <w:lang w:val="cs-CZ"/>
        </w:rPr>
        <w:t xml:space="preserve"> J </w:t>
      </w:r>
      <w:proofErr w:type="spellStart"/>
      <w:r w:rsidRPr="00E41919">
        <w:rPr>
          <w:rFonts w:ascii="Times New Roman" w:hAnsi="Times New Roman" w:cs="Times New Roman"/>
          <w:lang w:val="cs-CZ"/>
        </w:rPr>
        <w:t>Gastroenterol</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2016;111:1456</w:t>
      </w:r>
      <w:proofErr w:type="gramEnd"/>
      <w:r w:rsidRPr="00E41919">
        <w:rPr>
          <w:rFonts w:ascii="Times New Roman" w:hAnsi="Times New Roman" w:cs="Times New Roman"/>
          <w:lang w:val="cs-CZ"/>
        </w:rPr>
        <w:t>–65. https://doi.org/10.1038/ajg.2016.439</w:t>
      </w:r>
    </w:p>
    <w:p w14:paraId="708C0297"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lastRenderedPageBreak/>
        <w:t xml:space="preserve">3. Řiháčková K, </w:t>
      </w:r>
      <w:proofErr w:type="spellStart"/>
      <w:r w:rsidRPr="00E41919">
        <w:rPr>
          <w:rFonts w:ascii="Times New Roman" w:hAnsi="Times New Roman" w:cs="Times New Roman"/>
          <w:lang w:val="cs-CZ"/>
        </w:rPr>
        <w:t>Pindur</w:t>
      </w:r>
      <w:proofErr w:type="spellEnd"/>
      <w:r w:rsidRPr="00E41919">
        <w:rPr>
          <w:rFonts w:ascii="Times New Roman" w:hAnsi="Times New Roman" w:cs="Times New Roman"/>
          <w:lang w:val="cs-CZ"/>
        </w:rPr>
        <w:t xml:space="preserve"> A, </w:t>
      </w:r>
      <w:proofErr w:type="spellStart"/>
      <w:r w:rsidRPr="00E41919">
        <w:rPr>
          <w:rFonts w:ascii="Times New Roman" w:hAnsi="Times New Roman" w:cs="Times New Roman"/>
          <w:lang w:val="cs-CZ"/>
        </w:rPr>
        <w:t>Komprdová</w:t>
      </w:r>
      <w:proofErr w:type="spellEnd"/>
      <w:r w:rsidRPr="00E41919">
        <w:rPr>
          <w:rFonts w:ascii="Times New Roman" w:hAnsi="Times New Roman" w:cs="Times New Roman"/>
          <w:lang w:val="cs-CZ"/>
        </w:rPr>
        <w:t xml:space="preserve"> K, </w:t>
      </w:r>
      <w:proofErr w:type="spellStart"/>
      <w:r w:rsidRPr="00E41919">
        <w:rPr>
          <w:rFonts w:ascii="Times New Roman" w:hAnsi="Times New Roman" w:cs="Times New Roman"/>
          <w:lang w:val="cs-CZ"/>
        </w:rPr>
        <w:t>Pálešová</w:t>
      </w:r>
      <w:proofErr w:type="spellEnd"/>
      <w:r w:rsidRPr="00E41919">
        <w:rPr>
          <w:rFonts w:ascii="Times New Roman" w:hAnsi="Times New Roman" w:cs="Times New Roman"/>
          <w:lang w:val="cs-CZ"/>
        </w:rPr>
        <w:t xml:space="preserve"> N, Kohoutek J, Šenk P, et al. </w:t>
      </w:r>
      <w:proofErr w:type="spellStart"/>
      <w:r w:rsidRPr="00E41919">
        <w:rPr>
          <w:rFonts w:ascii="Times New Roman" w:hAnsi="Times New Roman" w:cs="Times New Roman"/>
          <w:lang w:val="cs-CZ"/>
        </w:rPr>
        <w:t>The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exposure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of</w:t>
      </w:r>
      <w:proofErr w:type="spellEnd"/>
      <w:r w:rsidRPr="00E41919">
        <w:rPr>
          <w:rFonts w:ascii="Times New Roman" w:hAnsi="Times New Roman" w:cs="Times New Roman"/>
          <w:lang w:val="cs-CZ"/>
        </w:rPr>
        <w:t xml:space="preserve"> Czech </w:t>
      </w:r>
      <w:proofErr w:type="spellStart"/>
      <w:r w:rsidRPr="00E41919">
        <w:rPr>
          <w:rFonts w:ascii="Times New Roman" w:hAnsi="Times New Roman" w:cs="Times New Roman"/>
          <w:lang w:val="cs-CZ"/>
        </w:rPr>
        <w:t>firefighters</w:t>
      </w:r>
      <w:proofErr w:type="spellEnd"/>
      <w:r w:rsidRPr="00E41919">
        <w:rPr>
          <w:rFonts w:ascii="Times New Roman" w:hAnsi="Times New Roman" w:cs="Times New Roman"/>
          <w:lang w:val="cs-CZ"/>
        </w:rPr>
        <w:t xml:space="preserve"> to </w:t>
      </w:r>
      <w:proofErr w:type="spellStart"/>
      <w:r w:rsidRPr="00E41919">
        <w:rPr>
          <w:rFonts w:ascii="Times New Roman" w:hAnsi="Times New Roman" w:cs="Times New Roman"/>
          <w:lang w:val="cs-CZ"/>
        </w:rPr>
        <w:t>perfluoroalkyl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substances</w:t>
      </w:r>
      <w:proofErr w:type="spellEnd"/>
      <w:r w:rsidRPr="00E41919">
        <w:rPr>
          <w:rFonts w:ascii="Times New Roman" w:hAnsi="Times New Roman" w:cs="Times New Roman"/>
          <w:lang w:val="cs-CZ"/>
        </w:rPr>
        <w:t xml:space="preserve"> and </w:t>
      </w:r>
      <w:proofErr w:type="spellStart"/>
      <w:r w:rsidRPr="00E41919">
        <w:rPr>
          <w:rFonts w:ascii="Times New Roman" w:hAnsi="Times New Roman" w:cs="Times New Roman"/>
          <w:lang w:val="cs-CZ"/>
        </w:rPr>
        <w:t>polycyclic</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aromatic</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hydrocarbons</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 xml:space="preserve">CELSPAC - </w:t>
      </w:r>
      <w:proofErr w:type="spellStart"/>
      <w:r w:rsidRPr="00E41919">
        <w:rPr>
          <w:rFonts w:ascii="Times New Roman" w:hAnsi="Times New Roman" w:cs="Times New Roman"/>
          <w:lang w:val="cs-CZ"/>
        </w:rPr>
        <w:t>FIREexpo</w:t>
      </w:r>
      <w:proofErr w:type="spellEnd"/>
      <w:proofErr w:type="gramEnd"/>
      <w:r w:rsidRPr="00E41919">
        <w:rPr>
          <w:rFonts w:ascii="Times New Roman" w:hAnsi="Times New Roman" w:cs="Times New Roman"/>
          <w:lang w:val="cs-CZ"/>
        </w:rPr>
        <w:t xml:space="preserve"> case-</w:t>
      </w:r>
      <w:proofErr w:type="spellStart"/>
      <w:r w:rsidRPr="00E41919">
        <w:rPr>
          <w:rFonts w:ascii="Times New Roman" w:hAnsi="Times New Roman" w:cs="Times New Roman"/>
          <w:lang w:val="cs-CZ"/>
        </w:rPr>
        <w:t>control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human</w:t>
      </w:r>
      <w:proofErr w:type="spellEnd"/>
      <w:r w:rsidRPr="00E41919">
        <w:rPr>
          <w:rFonts w:ascii="Times New Roman" w:hAnsi="Times New Roman" w:cs="Times New Roman"/>
          <w:lang w:val="cs-CZ"/>
        </w:rPr>
        <w:t xml:space="preserve"> biomonitoring study. </w:t>
      </w:r>
      <w:proofErr w:type="spellStart"/>
      <w:r w:rsidRPr="00E41919">
        <w:rPr>
          <w:rFonts w:ascii="Times New Roman" w:hAnsi="Times New Roman" w:cs="Times New Roman"/>
          <w:lang w:val="cs-CZ"/>
        </w:rPr>
        <w:t>Sci</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Total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Environ</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2023;881:163298</w:t>
      </w:r>
      <w:proofErr w:type="gramEnd"/>
      <w:r w:rsidRPr="00E41919">
        <w:rPr>
          <w:rFonts w:ascii="Times New Roman" w:hAnsi="Times New Roman" w:cs="Times New Roman"/>
          <w:lang w:val="cs-CZ"/>
        </w:rPr>
        <w:t>. https://doi.org/10.1016/j.scitotenv.2023.163298</w:t>
      </w:r>
    </w:p>
    <w:p w14:paraId="464C5C55"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4. Thomova T, </w:t>
      </w:r>
      <w:proofErr w:type="spellStart"/>
      <w:r w:rsidRPr="00E41919">
        <w:rPr>
          <w:rFonts w:ascii="Times New Roman" w:hAnsi="Times New Roman" w:cs="Times New Roman"/>
          <w:lang w:val="cs-CZ"/>
        </w:rPr>
        <w:t>Jedlickova</w:t>
      </w:r>
      <w:proofErr w:type="spellEnd"/>
      <w:r w:rsidRPr="00E41919">
        <w:rPr>
          <w:rFonts w:ascii="Times New Roman" w:hAnsi="Times New Roman" w:cs="Times New Roman"/>
          <w:lang w:val="cs-CZ"/>
        </w:rPr>
        <w:t xml:space="preserve"> H, </w:t>
      </w:r>
      <w:proofErr w:type="spellStart"/>
      <w:r w:rsidRPr="00E41919">
        <w:rPr>
          <w:rFonts w:ascii="Times New Roman" w:hAnsi="Times New Roman" w:cs="Times New Roman"/>
          <w:lang w:val="cs-CZ"/>
        </w:rPr>
        <w:t>Bohm</w:t>
      </w:r>
      <w:proofErr w:type="spellEnd"/>
      <w:r w:rsidRPr="00E41919">
        <w:rPr>
          <w:rFonts w:ascii="Times New Roman" w:hAnsi="Times New Roman" w:cs="Times New Roman"/>
          <w:lang w:val="cs-CZ"/>
        </w:rPr>
        <w:t xml:space="preserve"> J, </w:t>
      </w:r>
      <w:proofErr w:type="spellStart"/>
      <w:r w:rsidRPr="00E41919">
        <w:rPr>
          <w:rFonts w:ascii="Times New Roman" w:hAnsi="Times New Roman" w:cs="Times New Roman"/>
          <w:lang w:val="cs-CZ"/>
        </w:rPr>
        <w:t>Holochova</w:t>
      </w:r>
      <w:proofErr w:type="spellEnd"/>
      <w:r w:rsidRPr="00E41919">
        <w:rPr>
          <w:rFonts w:ascii="Times New Roman" w:hAnsi="Times New Roman" w:cs="Times New Roman"/>
          <w:lang w:val="cs-CZ"/>
        </w:rPr>
        <w:t xml:space="preserve"> P, </w:t>
      </w:r>
      <w:proofErr w:type="spellStart"/>
      <w:r w:rsidRPr="00E41919">
        <w:rPr>
          <w:rFonts w:ascii="Times New Roman" w:hAnsi="Times New Roman" w:cs="Times New Roman"/>
          <w:lang w:val="cs-CZ"/>
        </w:rPr>
        <w:t>Ruzicka</w:t>
      </w:r>
      <w:proofErr w:type="spellEnd"/>
      <w:r w:rsidRPr="00E41919">
        <w:rPr>
          <w:rFonts w:ascii="Times New Roman" w:hAnsi="Times New Roman" w:cs="Times New Roman"/>
          <w:lang w:val="cs-CZ"/>
        </w:rPr>
        <w:t xml:space="preserve"> F, Linhartova PB. </w:t>
      </w:r>
      <w:proofErr w:type="spellStart"/>
      <w:r w:rsidRPr="00E41919">
        <w:rPr>
          <w:rFonts w:ascii="Times New Roman" w:hAnsi="Times New Roman" w:cs="Times New Roman"/>
          <w:lang w:val="cs-CZ"/>
        </w:rPr>
        <w:t>Effect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of</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Systemic</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Therapies</w:t>
      </w:r>
      <w:proofErr w:type="spellEnd"/>
      <w:r w:rsidRPr="00E41919">
        <w:rPr>
          <w:rFonts w:ascii="Times New Roman" w:hAnsi="Times New Roman" w:cs="Times New Roman"/>
          <w:lang w:val="cs-CZ"/>
        </w:rPr>
        <w:t xml:space="preserve"> on Skin </w:t>
      </w:r>
      <w:proofErr w:type="spellStart"/>
      <w:r w:rsidRPr="00E41919">
        <w:rPr>
          <w:rFonts w:ascii="Times New Roman" w:hAnsi="Times New Roman" w:cs="Times New Roman"/>
          <w:lang w:val="cs-CZ"/>
        </w:rPr>
        <w:t>Bacteriome</w:t>
      </w:r>
      <w:proofErr w:type="spellEnd"/>
      <w:r w:rsidRPr="00E41919">
        <w:rPr>
          <w:rFonts w:ascii="Times New Roman" w:hAnsi="Times New Roman" w:cs="Times New Roman"/>
          <w:lang w:val="cs-CZ"/>
        </w:rPr>
        <w:t xml:space="preserve"> in </w:t>
      </w:r>
      <w:proofErr w:type="spellStart"/>
      <w:r w:rsidRPr="00E41919">
        <w:rPr>
          <w:rFonts w:ascii="Times New Roman" w:hAnsi="Times New Roman" w:cs="Times New Roman"/>
          <w:lang w:val="cs-CZ"/>
        </w:rPr>
        <w:t>Patients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with</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Atopic</w:t>
      </w:r>
      <w:proofErr w:type="spellEnd"/>
      <w:r w:rsidRPr="00E41919">
        <w:rPr>
          <w:rFonts w:ascii="Times New Roman" w:hAnsi="Times New Roman" w:cs="Times New Roman"/>
          <w:lang w:val="cs-CZ"/>
        </w:rPr>
        <w:t xml:space="preserve"> Dermatitis: A Pilot </w:t>
      </w:r>
      <w:proofErr w:type="spellStart"/>
      <w:r w:rsidRPr="00E41919">
        <w:rPr>
          <w:rFonts w:ascii="Times New Roman" w:hAnsi="Times New Roman" w:cs="Times New Roman"/>
          <w:lang w:val="cs-CZ"/>
        </w:rPr>
        <w:t>Prospective</w:t>
      </w:r>
      <w:proofErr w:type="spellEnd"/>
      <w:r w:rsidRPr="00E41919">
        <w:rPr>
          <w:rFonts w:ascii="Times New Roman" w:hAnsi="Times New Roman" w:cs="Times New Roman"/>
          <w:lang w:val="cs-CZ"/>
        </w:rPr>
        <w:t xml:space="preserve"> Study. J Invest </w:t>
      </w:r>
      <w:proofErr w:type="spellStart"/>
      <w:r w:rsidRPr="00E41919">
        <w:rPr>
          <w:rFonts w:ascii="Times New Roman" w:hAnsi="Times New Roman" w:cs="Times New Roman"/>
          <w:lang w:val="cs-CZ"/>
        </w:rPr>
        <w:t>Dermatol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Elsevier</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2026;146:483</w:t>
      </w:r>
      <w:proofErr w:type="gramEnd"/>
      <w:r w:rsidRPr="00E41919">
        <w:rPr>
          <w:rFonts w:ascii="Times New Roman" w:hAnsi="Times New Roman" w:cs="Times New Roman"/>
          <w:lang w:val="cs-CZ"/>
        </w:rPr>
        <w:t>-492.e8. https://doi.org/10.1016/j.jid.2025.07.006</w:t>
      </w:r>
    </w:p>
    <w:p w14:paraId="7A7EFDEB"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5. </w:t>
      </w:r>
      <w:proofErr w:type="spellStart"/>
      <w:r w:rsidRPr="00E41919">
        <w:rPr>
          <w:rFonts w:ascii="Times New Roman" w:hAnsi="Times New Roman" w:cs="Times New Roman"/>
          <w:lang w:val="cs-CZ"/>
        </w:rPr>
        <w:t>Szaraz</w:t>
      </w:r>
      <w:proofErr w:type="spellEnd"/>
      <w:r w:rsidRPr="00E41919">
        <w:rPr>
          <w:rFonts w:ascii="Times New Roman" w:hAnsi="Times New Roman" w:cs="Times New Roman"/>
          <w:lang w:val="cs-CZ"/>
        </w:rPr>
        <w:t xml:space="preserve"> D, </w:t>
      </w:r>
      <w:proofErr w:type="spellStart"/>
      <w:r w:rsidRPr="00E41919">
        <w:rPr>
          <w:rFonts w:ascii="Times New Roman" w:hAnsi="Times New Roman" w:cs="Times New Roman"/>
          <w:lang w:val="cs-CZ"/>
        </w:rPr>
        <w:t>Bohm</w:t>
      </w:r>
      <w:proofErr w:type="spellEnd"/>
      <w:r w:rsidRPr="00E41919">
        <w:rPr>
          <w:rFonts w:ascii="Times New Roman" w:hAnsi="Times New Roman" w:cs="Times New Roman"/>
          <w:lang w:val="cs-CZ"/>
        </w:rPr>
        <w:t xml:space="preserve"> J, </w:t>
      </w:r>
      <w:proofErr w:type="spellStart"/>
      <w:r w:rsidRPr="00E41919">
        <w:rPr>
          <w:rFonts w:ascii="Times New Roman" w:hAnsi="Times New Roman" w:cs="Times New Roman"/>
          <w:lang w:val="cs-CZ"/>
        </w:rPr>
        <w:t>Cerulova</w:t>
      </w:r>
      <w:proofErr w:type="spellEnd"/>
      <w:r w:rsidRPr="00E41919">
        <w:rPr>
          <w:rFonts w:ascii="Times New Roman" w:hAnsi="Times New Roman" w:cs="Times New Roman"/>
          <w:lang w:val="cs-CZ"/>
        </w:rPr>
        <w:t xml:space="preserve"> S, </w:t>
      </w:r>
      <w:proofErr w:type="spellStart"/>
      <w:r w:rsidRPr="00E41919">
        <w:rPr>
          <w:rFonts w:ascii="Times New Roman" w:hAnsi="Times New Roman" w:cs="Times New Roman"/>
          <w:lang w:val="cs-CZ"/>
        </w:rPr>
        <w:t>Bodokyova</w:t>
      </w:r>
      <w:proofErr w:type="spellEnd"/>
      <w:r w:rsidRPr="00E41919">
        <w:rPr>
          <w:rFonts w:ascii="Times New Roman" w:hAnsi="Times New Roman" w:cs="Times New Roman"/>
          <w:lang w:val="cs-CZ"/>
        </w:rPr>
        <w:t xml:space="preserve"> L, Danek Z, </w:t>
      </w:r>
      <w:proofErr w:type="spellStart"/>
      <w:r w:rsidRPr="00E41919">
        <w:rPr>
          <w:rFonts w:ascii="Times New Roman" w:hAnsi="Times New Roman" w:cs="Times New Roman"/>
          <w:lang w:val="cs-CZ"/>
        </w:rPr>
        <w:t>Machacek</w:t>
      </w:r>
      <w:proofErr w:type="spellEnd"/>
      <w:r w:rsidRPr="00E41919">
        <w:rPr>
          <w:rFonts w:ascii="Times New Roman" w:hAnsi="Times New Roman" w:cs="Times New Roman"/>
          <w:lang w:val="cs-CZ"/>
        </w:rPr>
        <w:t xml:space="preserve"> C, et al. </w:t>
      </w:r>
      <w:proofErr w:type="spellStart"/>
      <w:r w:rsidRPr="00E41919">
        <w:rPr>
          <w:rFonts w:ascii="Times New Roman" w:hAnsi="Times New Roman" w:cs="Times New Roman"/>
          <w:lang w:val="cs-CZ"/>
        </w:rPr>
        <w:t>Bacterial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genera</w:t>
      </w:r>
      <w:proofErr w:type="spellEnd"/>
      <w:r w:rsidRPr="00E41919">
        <w:rPr>
          <w:rFonts w:ascii="Times New Roman" w:hAnsi="Times New Roman" w:cs="Times New Roman"/>
          <w:lang w:val="cs-CZ"/>
        </w:rPr>
        <w:t xml:space="preserve"> in </w:t>
      </w:r>
      <w:proofErr w:type="spellStart"/>
      <w:r w:rsidRPr="00E41919">
        <w:rPr>
          <w:rFonts w:ascii="Times New Roman" w:hAnsi="Times New Roman" w:cs="Times New Roman"/>
          <w:lang w:val="cs-CZ"/>
        </w:rPr>
        <w:t>the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fluids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from</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apical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periodontitis-related</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radicular</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cysts</w:t>
      </w:r>
      <w:proofErr w:type="spellEnd"/>
      <w:r w:rsidRPr="00E41919">
        <w:rPr>
          <w:rFonts w:ascii="Times New Roman" w:hAnsi="Times New Roman" w:cs="Times New Roman"/>
          <w:lang w:val="cs-CZ"/>
        </w:rPr>
        <w:t xml:space="preserve">: An </w:t>
      </w:r>
      <w:proofErr w:type="spellStart"/>
      <w:r w:rsidRPr="00E41919">
        <w:rPr>
          <w:rFonts w:ascii="Times New Roman" w:hAnsi="Times New Roman" w:cs="Times New Roman"/>
          <w:lang w:val="cs-CZ"/>
        </w:rPr>
        <w:t>observational</w:t>
      </w:r>
      <w:proofErr w:type="spellEnd"/>
      <w:r w:rsidRPr="00E41919">
        <w:rPr>
          <w:rFonts w:ascii="Times New Roman" w:hAnsi="Times New Roman" w:cs="Times New Roman"/>
          <w:lang w:val="cs-CZ"/>
        </w:rPr>
        <w:t xml:space="preserve"> study. </w:t>
      </w:r>
      <w:proofErr w:type="spellStart"/>
      <w:r w:rsidRPr="00E41919">
        <w:rPr>
          <w:rFonts w:ascii="Times New Roman" w:hAnsi="Times New Roman" w:cs="Times New Roman"/>
          <w:lang w:val="cs-CZ"/>
        </w:rPr>
        <w:t>Int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Endod</w:t>
      </w:r>
      <w:proofErr w:type="spellEnd"/>
      <w:r w:rsidRPr="00E41919">
        <w:rPr>
          <w:rFonts w:ascii="Times New Roman" w:hAnsi="Times New Roman" w:cs="Times New Roman"/>
          <w:lang w:val="cs-CZ"/>
        </w:rPr>
        <w:t xml:space="preserve"> J. </w:t>
      </w:r>
      <w:proofErr w:type="gramStart"/>
      <w:r w:rsidRPr="00E41919">
        <w:rPr>
          <w:rFonts w:ascii="Times New Roman" w:hAnsi="Times New Roman" w:cs="Times New Roman"/>
          <w:lang w:val="cs-CZ"/>
        </w:rPr>
        <w:t>2025;58:902</w:t>
      </w:r>
      <w:proofErr w:type="gramEnd"/>
      <w:r w:rsidRPr="00E41919">
        <w:rPr>
          <w:rFonts w:ascii="Times New Roman" w:hAnsi="Times New Roman" w:cs="Times New Roman"/>
          <w:lang w:val="cs-CZ"/>
        </w:rPr>
        <w:t>–15. https://doi.org/10.1111/iej.14220</w:t>
      </w:r>
    </w:p>
    <w:p w14:paraId="74E026CA"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6. </w:t>
      </w:r>
      <w:proofErr w:type="spellStart"/>
      <w:r w:rsidRPr="00E41919">
        <w:rPr>
          <w:rFonts w:ascii="Times New Roman" w:hAnsi="Times New Roman" w:cs="Times New Roman"/>
          <w:lang w:val="cs-CZ"/>
        </w:rPr>
        <w:t>Straub</w:t>
      </w:r>
      <w:proofErr w:type="spellEnd"/>
      <w:r w:rsidRPr="00E41919">
        <w:rPr>
          <w:rFonts w:ascii="Times New Roman" w:hAnsi="Times New Roman" w:cs="Times New Roman"/>
          <w:lang w:val="cs-CZ"/>
        </w:rPr>
        <w:t xml:space="preserve"> D, </w:t>
      </w:r>
      <w:proofErr w:type="spellStart"/>
      <w:r w:rsidRPr="00E41919">
        <w:rPr>
          <w:rFonts w:ascii="Times New Roman" w:hAnsi="Times New Roman" w:cs="Times New Roman"/>
          <w:lang w:val="cs-CZ"/>
        </w:rPr>
        <w:t>Blackwell</w:t>
      </w:r>
      <w:proofErr w:type="spellEnd"/>
      <w:r w:rsidRPr="00E41919">
        <w:rPr>
          <w:rFonts w:ascii="Times New Roman" w:hAnsi="Times New Roman" w:cs="Times New Roman"/>
          <w:lang w:val="cs-CZ"/>
        </w:rPr>
        <w:t xml:space="preserve"> N, </w:t>
      </w:r>
      <w:proofErr w:type="spellStart"/>
      <w:r w:rsidRPr="00E41919">
        <w:rPr>
          <w:rFonts w:ascii="Times New Roman" w:hAnsi="Times New Roman" w:cs="Times New Roman"/>
          <w:lang w:val="cs-CZ"/>
        </w:rPr>
        <w:t>Langarica-Fuentes</w:t>
      </w:r>
      <w:proofErr w:type="spellEnd"/>
      <w:r w:rsidRPr="00E41919">
        <w:rPr>
          <w:rFonts w:ascii="Times New Roman" w:hAnsi="Times New Roman" w:cs="Times New Roman"/>
          <w:lang w:val="cs-CZ"/>
        </w:rPr>
        <w:t xml:space="preserve"> A, </w:t>
      </w:r>
      <w:proofErr w:type="spellStart"/>
      <w:r w:rsidRPr="00E41919">
        <w:rPr>
          <w:rFonts w:ascii="Times New Roman" w:hAnsi="Times New Roman" w:cs="Times New Roman"/>
          <w:lang w:val="cs-CZ"/>
        </w:rPr>
        <w:t>Peltzer</w:t>
      </w:r>
      <w:proofErr w:type="spellEnd"/>
      <w:r w:rsidRPr="00E41919">
        <w:rPr>
          <w:rFonts w:ascii="Times New Roman" w:hAnsi="Times New Roman" w:cs="Times New Roman"/>
          <w:lang w:val="cs-CZ"/>
        </w:rPr>
        <w:t xml:space="preserve"> A, </w:t>
      </w:r>
      <w:proofErr w:type="spellStart"/>
      <w:r w:rsidRPr="00E41919">
        <w:rPr>
          <w:rFonts w:ascii="Times New Roman" w:hAnsi="Times New Roman" w:cs="Times New Roman"/>
          <w:lang w:val="cs-CZ"/>
        </w:rPr>
        <w:t>Nahnsen</w:t>
      </w:r>
      <w:proofErr w:type="spellEnd"/>
      <w:r w:rsidRPr="00E41919">
        <w:rPr>
          <w:rFonts w:ascii="Times New Roman" w:hAnsi="Times New Roman" w:cs="Times New Roman"/>
          <w:lang w:val="cs-CZ"/>
        </w:rPr>
        <w:t xml:space="preserve"> S, </w:t>
      </w:r>
      <w:proofErr w:type="spellStart"/>
      <w:r w:rsidRPr="00E41919">
        <w:rPr>
          <w:rFonts w:ascii="Times New Roman" w:hAnsi="Times New Roman" w:cs="Times New Roman"/>
          <w:lang w:val="cs-CZ"/>
        </w:rPr>
        <w:t>Kleindienst</w:t>
      </w:r>
      <w:proofErr w:type="spellEnd"/>
      <w:r w:rsidRPr="00E41919">
        <w:rPr>
          <w:rFonts w:ascii="Times New Roman" w:hAnsi="Times New Roman" w:cs="Times New Roman"/>
          <w:lang w:val="cs-CZ"/>
        </w:rPr>
        <w:t xml:space="preserve"> S. </w:t>
      </w:r>
      <w:proofErr w:type="spellStart"/>
      <w:r w:rsidRPr="00E41919">
        <w:rPr>
          <w:rFonts w:ascii="Times New Roman" w:hAnsi="Times New Roman" w:cs="Times New Roman"/>
          <w:lang w:val="cs-CZ"/>
        </w:rPr>
        <w:t>Interpretations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of</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Environmental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Microbial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Community</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Studies</w:t>
      </w:r>
      <w:proofErr w:type="spellEnd"/>
      <w:r w:rsidRPr="00E41919">
        <w:rPr>
          <w:rFonts w:ascii="Times New Roman" w:hAnsi="Times New Roman" w:cs="Times New Roman"/>
          <w:lang w:val="cs-CZ"/>
        </w:rPr>
        <w:t xml:space="preserve"> Are </w:t>
      </w:r>
      <w:proofErr w:type="spellStart"/>
      <w:r w:rsidRPr="00E41919">
        <w:rPr>
          <w:rFonts w:ascii="Times New Roman" w:hAnsi="Times New Roman" w:cs="Times New Roman"/>
          <w:lang w:val="cs-CZ"/>
        </w:rPr>
        <w:t>Biased</w:t>
      </w:r>
      <w:proofErr w:type="spellEnd"/>
      <w:r w:rsidRPr="00E41919">
        <w:rPr>
          <w:rFonts w:ascii="Times New Roman" w:hAnsi="Times New Roman" w:cs="Times New Roman"/>
          <w:lang w:val="cs-CZ"/>
        </w:rPr>
        <w:t xml:space="preserve"> by </w:t>
      </w:r>
      <w:proofErr w:type="spellStart"/>
      <w:r w:rsidRPr="00E41919">
        <w:rPr>
          <w:rFonts w:ascii="Times New Roman" w:hAnsi="Times New Roman" w:cs="Times New Roman"/>
          <w:lang w:val="cs-CZ"/>
        </w:rPr>
        <w:t>the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Selected</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16S</w:t>
      </w:r>
      <w:proofErr w:type="gram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rRNA</w:t>
      </w:r>
      <w:proofErr w:type="spellEnd"/>
      <w:r w:rsidRPr="00E41919">
        <w:rPr>
          <w:rFonts w:ascii="Times New Roman" w:hAnsi="Times New Roman" w:cs="Times New Roman"/>
          <w:lang w:val="cs-CZ"/>
        </w:rPr>
        <w:t xml:space="preserve"> (Gene) </w:t>
      </w:r>
      <w:proofErr w:type="spellStart"/>
      <w:r w:rsidRPr="00E41919">
        <w:rPr>
          <w:rFonts w:ascii="Times New Roman" w:hAnsi="Times New Roman" w:cs="Times New Roman"/>
          <w:lang w:val="cs-CZ"/>
        </w:rPr>
        <w:t>Amplicon</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Sequencing</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Pipeline</w:t>
      </w:r>
      <w:proofErr w:type="spellEnd"/>
      <w:r w:rsidRPr="00E41919">
        <w:rPr>
          <w:rFonts w:ascii="Times New Roman" w:hAnsi="Times New Roman" w:cs="Times New Roman"/>
          <w:lang w:val="cs-CZ"/>
        </w:rPr>
        <w:t xml:space="preserve">. Front </w:t>
      </w:r>
      <w:proofErr w:type="spellStart"/>
      <w:r w:rsidRPr="00E41919">
        <w:rPr>
          <w:rFonts w:ascii="Times New Roman" w:hAnsi="Times New Roman" w:cs="Times New Roman"/>
          <w:lang w:val="cs-CZ"/>
        </w:rPr>
        <w:t>Microbiol</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2020;11:550420</w:t>
      </w:r>
      <w:proofErr w:type="gramEnd"/>
      <w:r w:rsidRPr="00E41919">
        <w:rPr>
          <w:rFonts w:ascii="Times New Roman" w:hAnsi="Times New Roman" w:cs="Times New Roman"/>
          <w:lang w:val="cs-CZ"/>
        </w:rPr>
        <w:t>. https://doi.org/10.3389/fmicb.2020.550420</w:t>
      </w:r>
    </w:p>
    <w:p w14:paraId="563D0E57"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7. </w:t>
      </w:r>
      <w:proofErr w:type="spellStart"/>
      <w:r w:rsidRPr="00E41919">
        <w:rPr>
          <w:rFonts w:ascii="Times New Roman" w:hAnsi="Times New Roman" w:cs="Times New Roman"/>
          <w:lang w:val="cs-CZ"/>
        </w:rPr>
        <w:t>Ewels</w:t>
      </w:r>
      <w:proofErr w:type="spellEnd"/>
      <w:r w:rsidRPr="00E41919">
        <w:rPr>
          <w:rFonts w:ascii="Times New Roman" w:hAnsi="Times New Roman" w:cs="Times New Roman"/>
          <w:lang w:val="cs-CZ"/>
        </w:rPr>
        <w:t xml:space="preserve"> PA, </w:t>
      </w:r>
      <w:proofErr w:type="spellStart"/>
      <w:r w:rsidRPr="00E41919">
        <w:rPr>
          <w:rFonts w:ascii="Times New Roman" w:hAnsi="Times New Roman" w:cs="Times New Roman"/>
          <w:lang w:val="cs-CZ"/>
        </w:rPr>
        <w:t>Peltzer</w:t>
      </w:r>
      <w:proofErr w:type="spellEnd"/>
      <w:r w:rsidRPr="00E41919">
        <w:rPr>
          <w:rFonts w:ascii="Times New Roman" w:hAnsi="Times New Roman" w:cs="Times New Roman"/>
          <w:lang w:val="cs-CZ"/>
        </w:rPr>
        <w:t xml:space="preserve"> A, </w:t>
      </w:r>
      <w:proofErr w:type="spellStart"/>
      <w:r w:rsidRPr="00E41919">
        <w:rPr>
          <w:rFonts w:ascii="Times New Roman" w:hAnsi="Times New Roman" w:cs="Times New Roman"/>
          <w:lang w:val="cs-CZ"/>
        </w:rPr>
        <w:t>Fillinger</w:t>
      </w:r>
      <w:proofErr w:type="spellEnd"/>
      <w:r w:rsidRPr="00E41919">
        <w:rPr>
          <w:rFonts w:ascii="Times New Roman" w:hAnsi="Times New Roman" w:cs="Times New Roman"/>
          <w:lang w:val="cs-CZ"/>
        </w:rPr>
        <w:t xml:space="preserve"> S, Patel H, </w:t>
      </w:r>
      <w:proofErr w:type="spellStart"/>
      <w:r w:rsidRPr="00E41919">
        <w:rPr>
          <w:rFonts w:ascii="Times New Roman" w:hAnsi="Times New Roman" w:cs="Times New Roman"/>
          <w:lang w:val="cs-CZ"/>
        </w:rPr>
        <w:t>Alneberg</w:t>
      </w:r>
      <w:proofErr w:type="spellEnd"/>
      <w:r w:rsidRPr="00E41919">
        <w:rPr>
          <w:rFonts w:ascii="Times New Roman" w:hAnsi="Times New Roman" w:cs="Times New Roman"/>
          <w:lang w:val="cs-CZ"/>
        </w:rPr>
        <w:t xml:space="preserve"> J, </w:t>
      </w:r>
      <w:proofErr w:type="spellStart"/>
      <w:r w:rsidRPr="00E41919">
        <w:rPr>
          <w:rFonts w:ascii="Times New Roman" w:hAnsi="Times New Roman" w:cs="Times New Roman"/>
          <w:lang w:val="cs-CZ"/>
        </w:rPr>
        <w:t>Wilm</w:t>
      </w:r>
      <w:proofErr w:type="spellEnd"/>
      <w:r w:rsidRPr="00E41919">
        <w:rPr>
          <w:rFonts w:ascii="Times New Roman" w:hAnsi="Times New Roman" w:cs="Times New Roman"/>
          <w:lang w:val="cs-CZ"/>
        </w:rPr>
        <w:t xml:space="preserve"> A, et al. </w:t>
      </w:r>
      <w:proofErr w:type="spellStart"/>
      <w:r w:rsidRPr="00E41919">
        <w:rPr>
          <w:rFonts w:ascii="Times New Roman" w:hAnsi="Times New Roman" w:cs="Times New Roman"/>
          <w:lang w:val="cs-CZ"/>
        </w:rPr>
        <w:t>The</w:t>
      </w:r>
      <w:proofErr w:type="spellEnd"/>
      <w:r w:rsidRPr="00E41919">
        <w:rPr>
          <w:rFonts w:ascii="Times New Roman" w:hAnsi="Times New Roman" w:cs="Times New Roman"/>
          <w:lang w:val="cs-CZ"/>
        </w:rPr>
        <w:t xml:space="preserve"> nf-</w:t>
      </w:r>
      <w:proofErr w:type="spellStart"/>
      <w:r w:rsidRPr="00E41919">
        <w:rPr>
          <w:rFonts w:ascii="Times New Roman" w:hAnsi="Times New Roman" w:cs="Times New Roman"/>
          <w:lang w:val="cs-CZ"/>
        </w:rPr>
        <w:t>core</w:t>
      </w:r>
      <w:proofErr w:type="spellEnd"/>
      <w:r w:rsidRPr="00E41919">
        <w:rPr>
          <w:rFonts w:ascii="Times New Roman" w:hAnsi="Times New Roman" w:cs="Times New Roman"/>
          <w:lang w:val="cs-CZ"/>
        </w:rPr>
        <w:t xml:space="preserve"> framework </w:t>
      </w:r>
      <w:proofErr w:type="spellStart"/>
      <w:r w:rsidRPr="00E41919">
        <w:rPr>
          <w:rFonts w:ascii="Times New Roman" w:hAnsi="Times New Roman" w:cs="Times New Roman"/>
          <w:lang w:val="cs-CZ"/>
        </w:rPr>
        <w:t>for</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community-curated</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bioinformatics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pipelines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Nat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Biotechnol</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2020;38:276</w:t>
      </w:r>
      <w:proofErr w:type="gramEnd"/>
      <w:r w:rsidRPr="00E41919">
        <w:rPr>
          <w:rFonts w:ascii="Times New Roman" w:hAnsi="Times New Roman" w:cs="Times New Roman"/>
          <w:lang w:val="cs-CZ"/>
        </w:rPr>
        <w:t>–8. https://doi.org/10.1038/s41587-020-0439-x</w:t>
      </w:r>
    </w:p>
    <w:p w14:paraId="7F5BFC4A"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8. </w:t>
      </w:r>
      <w:proofErr w:type="spellStart"/>
      <w:r w:rsidRPr="00E41919">
        <w:rPr>
          <w:rFonts w:ascii="Times New Roman" w:hAnsi="Times New Roman" w:cs="Times New Roman"/>
          <w:lang w:val="cs-CZ"/>
        </w:rPr>
        <w:t>Grüning</w:t>
      </w:r>
      <w:proofErr w:type="spellEnd"/>
      <w:r w:rsidRPr="00E41919">
        <w:rPr>
          <w:rFonts w:ascii="Times New Roman" w:hAnsi="Times New Roman" w:cs="Times New Roman"/>
          <w:lang w:val="cs-CZ"/>
        </w:rPr>
        <w:t xml:space="preserve"> B, </w:t>
      </w:r>
      <w:proofErr w:type="spellStart"/>
      <w:r w:rsidRPr="00E41919">
        <w:rPr>
          <w:rFonts w:ascii="Times New Roman" w:hAnsi="Times New Roman" w:cs="Times New Roman"/>
          <w:lang w:val="cs-CZ"/>
        </w:rPr>
        <w:t>Dale</w:t>
      </w:r>
      <w:proofErr w:type="spellEnd"/>
      <w:r w:rsidRPr="00E41919">
        <w:rPr>
          <w:rFonts w:ascii="Times New Roman" w:hAnsi="Times New Roman" w:cs="Times New Roman"/>
          <w:lang w:val="cs-CZ"/>
        </w:rPr>
        <w:t xml:space="preserve"> R, </w:t>
      </w:r>
      <w:proofErr w:type="spellStart"/>
      <w:r w:rsidRPr="00E41919">
        <w:rPr>
          <w:rFonts w:ascii="Times New Roman" w:hAnsi="Times New Roman" w:cs="Times New Roman"/>
          <w:lang w:val="cs-CZ"/>
        </w:rPr>
        <w:t>Sjödin</w:t>
      </w:r>
      <w:proofErr w:type="spellEnd"/>
      <w:r w:rsidRPr="00E41919">
        <w:rPr>
          <w:rFonts w:ascii="Times New Roman" w:hAnsi="Times New Roman" w:cs="Times New Roman"/>
          <w:lang w:val="cs-CZ"/>
        </w:rPr>
        <w:t xml:space="preserve"> A, Chapman BA, </w:t>
      </w:r>
      <w:proofErr w:type="spellStart"/>
      <w:r w:rsidRPr="00E41919">
        <w:rPr>
          <w:rFonts w:ascii="Times New Roman" w:hAnsi="Times New Roman" w:cs="Times New Roman"/>
          <w:lang w:val="cs-CZ"/>
        </w:rPr>
        <w:t>Rowe</w:t>
      </w:r>
      <w:proofErr w:type="spellEnd"/>
      <w:r w:rsidRPr="00E41919">
        <w:rPr>
          <w:rFonts w:ascii="Times New Roman" w:hAnsi="Times New Roman" w:cs="Times New Roman"/>
          <w:lang w:val="cs-CZ"/>
        </w:rPr>
        <w:t xml:space="preserve"> J, </w:t>
      </w:r>
      <w:proofErr w:type="spellStart"/>
      <w:r w:rsidRPr="00E41919">
        <w:rPr>
          <w:rFonts w:ascii="Times New Roman" w:hAnsi="Times New Roman" w:cs="Times New Roman"/>
          <w:lang w:val="cs-CZ"/>
        </w:rPr>
        <w:t>Tomkins-Tinch</w:t>
      </w:r>
      <w:proofErr w:type="spellEnd"/>
      <w:r w:rsidRPr="00E41919">
        <w:rPr>
          <w:rFonts w:ascii="Times New Roman" w:hAnsi="Times New Roman" w:cs="Times New Roman"/>
          <w:lang w:val="cs-CZ"/>
        </w:rPr>
        <w:t xml:space="preserve"> CH, et al. </w:t>
      </w:r>
      <w:proofErr w:type="spellStart"/>
      <w:r w:rsidRPr="00E41919">
        <w:rPr>
          <w:rFonts w:ascii="Times New Roman" w:hAnsi="Times New Roman" w:cs="Times New Roman"/>
          <w:lang w:val="cs-CZ"/>
        </w:rPr>
        <w:t>Bioconda</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sustainable</w:t>
      </w:r>
      <w:proofErr w:type="spellEnd"/>
      <w:r w:rsidRPr="00E41919">
        <w:rPr>
          <w:rFonts w:ascii="Times New Roman" w:hAnsi="Times New Roman" w:cs="Times New Roman"/>
          <w:lang w:val="cs-CZ"/>
        </w:rPr>
        <w:t xml:space="preserve"> and </w:t>
      </w:r>
      <w:proofErr w:type="spellStart"/>
      <w:r w:rsidRPr="00E41919">
        <w:rPr>
          <w:rFonts w:ascii="Times New Roman" w:hAnsi="Times New Roman" w:cs="Times New Roman"/>
          <w:lang w:val="cs-CZ"/>
        </w:rPr>
        <w:t>comprehensive</w:t>
      </w:r>
      <w:proofErr w:type="spellEnd"/>
      <w:r w:rsidRPr="00E41919">
        <w:rPr>
          <w:rFonts w:ascii="Times New Roman" w:hAnsi="Times New Roman" w:cs="Times New Roman"/>
          <w:lang w:val="cs-CZ"/>
        </w:rPr>
        <w:t xml:space="preserve"> software </w:t>
      </w:r>
      <w:proofErr w:type="spellStart"/>
      <w:r w:rsidRPr="00E41919">
        <w:rPr>
          <w:rFonts w:ascii="Times New Roman" w:hAnsi="Times New Roman" w:cs="Times New Roman"/>
          <w:lang w:val="cs-CZ"/>
        </w:rPr>
        <w:t>distribution</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for</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the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life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sciences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Nat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Methods</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2018;15:475</w:t>
      </w:r>
      <w:proofErr w:type="gramEnd"/>
      <w:r w:rsidRPr="00E41919">
        <w:rPr>
          <w:rFonts w:ascii="Times New Roman" w:hAnsi="Times New Roman" w:cs="Times New Roman"/>
          <w:lang w:val="cs-CZ"/>
        </w:rPr>
        <w:t>–6. https://doi.org/10.1038/s41592-018-0046-7</w:t>
      </w:r>
    </w:p>
    <w:p w14:paraId="06EA972D"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9. da </w:t>
      </w:r>
      <w:proofErr w:type="spellStart"/>
      <w:r w:rsidRPr="00E41919">
        <w:rPr>
          <w:rFonts w:ascii="Times New Roman" w:hAnsi="Times New Roman" w:cs="Times New Roman"/>
          <w:lang w:val="cs-CZ"/>
        </w:rPr>
        <w:t>Veiga</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Leprevost</w:t>
      </w:r>
      <w:proofErr w:type="spellEnd"/>
      <w:r w:rsidRPr="00E41919">
        <w:rPr>
          <w:rFonts w:ascii="Times New Roman" w:hAnsi="Times New Roman" w:cs="Times New Roman"/>
          <w:lang w:val="cs-CZ"/>
        </w:rPr>
        <w:t xml:space="preserve"> F, </w:t>
      </w:r>
      <w:proofErr w:type="spellStart"/>
      <w:r w:rsidRPr="00E41919">
        <w:rPr>
          <w:rFonts w:ascii="Times New Roman" w:hAnsi="Times New Roman" w:cs="Times New Roman"/>
          <w:lang w:val="cs-CZ"/>
        </w:rPr>
        <w:t>Grüning</w:t>
      </w:r>
      <w:proofErr w:type="spellEnd"/>
      <w:r w:rsidRPr="00E41919">
        <w:rPr>
          <w:rFonts w:ascii="Times New Roman" w:hAnsi="Times New Roman" w:cs="Times New Roman"/>
          <w:lang w:val="cs-CZ"/>
        </w:rPr>
        <w:t xml:space="preserve"> BA, </w:t>
      </w:r>
      <w:proofErr w:type="spellStart"/>
      <w:r w:rsidRPr="00E41919">
        <w:rPr>
          <w:rFonts w:ascii="Times New Roman" w:hAnsi="Times New Roman" w:cs="Times New Roman"/>
          <w:lang w:val="cs-CZ"/>
        </w:rPr>
        <w:t>Alves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Aflitos</w:t>
      </w:r>
      <w:proofErr w:type="spellEnd"/>
      <w:r w:rsidRPr="00E41919">
        <w:rPr>
          <w:rFonts w:ascii="Times New Roman" w:hAnsi="Times New Roman" w:cs="Times New Roman"/>
          <w:lang w:val="cs-CZ"/>
        </w:rPr>
        <w:t xml:space="preserve"> S, </w:t>
      </w:r>
      <w:proofErr w:type="spellStart"/>
      <w:r w:rsidRPr="00E41919">
        <w:rPr>
          <w:rFonts w:ascii="Times New Roman" w:hAnsi="Times New Roman" w:cs="Times New Roman"/>
          <w:lang w:val="cs-CZ"/>
        </w:rPr>
        <w:t>Röst</w:t>
      </w:r>
      <w:proofErr w:type="spellEnd"/>
      <w:r w:rsidRPr="00E41919">
        <w:rPr>
          <w:rFonts w:ascii="Times New Roman" w:hAnsi="Times New Roman" w:cs="Times New Roman"/>
          <w:lang w:val="cs-CZ"/>
        </w:rPr>
        <w:t xml:space="preserve"> HL, </w:t>
      </w:r>
      <w:proofErr w:type="spellStart"/>
      <w:r w:rsidRPr="00E41919">
        <w:rPr>
          <w:rFonts w:ascii="Times New Roman" w:hAnsi="Times New Roman" w:cs="Times New Roman"/>
          <w:lang w:val="cs-CZ"/>
        </w:rPr>
        <w:t>Uszkoreit</w:t>
      </w:r>
      <w:proofErr w:type="spellEnd"/>
      <w:r w:rsidRPr="00E41919">
        <w:rPr>
          <w:rFonts w:ascii="Times New Roman" w:hAnsi="Times New Roman" w:cs="Times New Roman"/>
          <w:lang w:val="cs-CZ"/>
        </w:rPr>
        <w:t xml:space="preserve"> J, </w:t>
      </w:r>
      <w:proofErr w:type="spellStart"/>
      <w:r w:rsidRPr="00E41919">
        <w:rPr>
          <w:rFonts w:ascii="Times New Roman" w:hAnsi="Times New Roman" w:cs="Times New Roman"/>
          <w:lang w:val="cs-CZ"/>
        </w:rPr>
        <w:t>Barsnes</w:t>
      </w:r>
      <w:proofErr w:type="spellEnd"/>
      <w:r w:rsidRPr="00E41919">
        <w:rPr>
          <w:rFonts w:ascii="Times New Roman" w:hAnsi="Times New Roman" w:cs="Times New Roman"/>
          <w:lang w:val="cs-CZ"/>
        </w:rPr>
        <w:t xml:space="preserve"> H, et al. </w:t>
      </w:r>
      <w:proofErr w:type="spellStart"/>
      <w:r w:rsidRPr="00E41919">
        <w:rPr>
          <w:rFonts w:ascii="Times New Roman" w:hAnsi="Times New Roman" w:cs="Times New Roman"/>
          <w:lang w:val="cs-CZ"/>
        </w:rPr>
        <w:t>BioContainers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an</w:t>
      </w:r>
      <w:proofErr w:type="spellEnd"/>
      <w:r w:rsidRPr="00E41919">
        <w:rPr>
          <w:rFonts w:ascii="Times New Roman" w:hAnsi="Times New Roman" w:cs="Times New Roman"/>
          <w:lang w:val="cs-CZ"/>
        </w:rPr>
        <w:t xml:space="preserve"> open-source and </w:t>
      </w:r>
      <w:proofErr w:type="spellStart"/>
      <w:r w:rsidRPr="00E41919">
        <w:rPr>
          <w:rFonts w:ascii="Times New Roman" w:hAnsi="Times New Roman" w:cs="Times New Roman"/>
          <w:lang w:val="cs-CZ"/>
        </w:rPr>
        <w:t>community-driven</w:t>
      </w:r>
      <w:proofErr w:type="spellEnd"/>
      <w:r w:rsidRPr="00E41919">
        <w:rPr>
          <w:rFonts w:ascii="Times New Roman" w:hAnsi="Times New Roman" w:cs="Times New Roman"/>
          <w:lang w:val="cs-CZ"/>
        </w:rPr>
        <w:t xml:space="preserve"> framework </w:t>
      </w:r>
      <w:proofErr w:type="spellStart"/>
      <w:r w:rsidRPr="00E41919">
        <w:rPr>
          <w:rFonts w:ascii="Times New Roman" w:hAnsi="Times New Roman" w:cs="Times New Roman"/>
          <w:lang w:val="cs-CZ"/>
        </w:rPr>
        <w:t>for</w:t>
      </w:r>
      <w:proofErr w:type="spellEnd"/>
      <w:r w:rsidRPr="00E41919">
        <w:rPr>
          <w:rFonts w:ascii="Times New Roman" w:hAnsi="Times New Roman" w:cs="Times New Roman"/>
          <w:lang w:val="cs-CZ"/>
        </w:rPr>
        <w:t xml:space="preserve"> software </w:t>
      </w:r>
      <w:proofErr w:type="spellStart"/>
      <w:r w:rsidRPr="00E41919">
        <w:rPr>
          <w:rFonts w:ascii="Times New Roman" w:hAnsi="Times New Roman" w:cs="Times New Roman"/>
          <w:lang w:val="cs-CZ"/>
        </w:rPr>
        <w:t>standardization</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Bioinformatics</w:t>
      </w:r>
      <w:proofErr w:type="spellEnd"/>
      <w:r w:rsidRPr="00E41919">
        <w:rPr>
          <w:rFonts w:ascii="Times New Roman" w:hAnsi="Times New Roman" w:cs="Times New Roman"/>
          <w:lang w:val="cs-CZ"/>
        </w:rPr>
        <w:t xml:space="preserve">. Oxford, </w:t>
      </w:r>
      <w:proofErr w:type="spellStart"/>
      <w:r w:rsidRPr="00E41919">
        <w:rPr>
          <w:rFonts w:ascii="Times New Roman" w:hAnsi="Times New Roman" w:cs="Times New Roman"/>
          <w:lang w:val="cs-CZ"/>
        </w:rPr>
        <w:t>England</w:t>
      </w:r>
      <w:proofErr w:type="spellEnd"/>
      <w:r w:rsidRPr="00E41919">
        <w:rPr>
          <w:rFonts w:ascii="Times New Roman" w:hAnsi="Times New Roman" w:cs="Times New Roman"/>
          <w:lang w:val="cs-CZ"/>
        </w:rPr>
        <w:t>; 2017;33:2580–2. https://doi.org/10.1093/bioinformatics/btx192</w:t>
      </w:r>
    </w:p>
    <w:p w14:paraId="70B64939"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10. </w:t>
      </w:r>
      <w:proofErr w:type="spellStart"/>
      <w:r w:rsidRPr="00E41919">
        <w:rPr>
          <w:rFonts w:ascii="Times New Roman" w:hAnsi="Times New Roman" w:cs="Times New Roman"/>
          <w:lang w:val="cs-CZ"/>
        </w:rPr>
        <w:t>Zwinsova</w:t>
      </w:r>
      <w:proofErr w:type="spellEnd"/>
      <w:r w:rsidRPr="00E41919">
        <w:rPr>
          <w:rFonts w:ascii="Times New Roman" w:hAnsi="Times New Roman" w:cs="Times New Roman"/>
          <w:lang w:val="cs-CZ"/>
        </w:rPr>
        <w:t xml:space="preserve"> B, Hofman J, </w:t>
      </w:r>
      <w:proofErr w:type="spellStart"/>
      <w:r w:rsidRPr="00E41919">
        <w:rPr>
          <w:rFonts w:ascii="Times New Roman" w:hAnsi="Times New Roman" w:cs="Times New Roman"/>
          <w:lang w:val="cs-CZ"/>
        </w:rPr>
        <w:t>Tomik</w:t>
      </w:r>
      <w:proofErr w:type="spellEnd"/>
      <w:r w:rsidRPr="00E41919">
        <w:rPr>
          <w:rFonts w:ascii="Times New Roman" w:hAnsi="Times New Roman" w:cs="Times New Roman"/>
          <w:lang w:val="cs-CZ"/>
        </w:rPr>
        <w:t xml:space="preserve"> O, </w:t>
      </w:r>
      <w:proofErr w:type="spellStart"/>
      <w:r w:rsidRPr="00E41919">
        <w:rPr>
          <w:rFonts w:ascii="Times New Roman" w:hAnsi="Times New Roman" w:cs="Times New Roman"/>
          <w:lang w:val="cs-CZ"/>
        </w:rPr>
        <w:t>Brenerova</w:t>
      </w:r>
      <w:proofErr w:type="spellEnd"/>
      <w:r w:rsidRPr="00E41919">
        <w:rPr>
          <w:rFonts w:ascii="Times New Roman" w:hAnsi="Times New Roman" w:cs="Times New Roman"/>
          <w:lang w:val="cs-CZ"/>
        </w:rPr>
        <w:t xml:space="preserve"> P, </w:t>
      </w:r>
      <w:proofErr w:type="spellStart"/>
      <w:r w:rsidRPr="00E41919">
        <w:rPr>
          <w:rFonts w:ascii="Times New Roman" w:hAnsi="Times New Roman" w:cs="Times New Roman"/>
          <w:lang w:val="cs-CZ"/>
        </w:rPr>
        <w:t>Holochova</w:t>
      </w:r>
      <w:proofErr w:type="spellEnd"/>
      <w:r w:rsidRPr="00E41919">
        <w:rPr>
          <w:rFonts w:ascii="Times New Roman" w:hAnsi="Times New Roman" w:cs="Times New Roman"/>
          <w:lang w:val="cs-CZ"/>
        </w:rPr>
        <w:t xml:space="preserve"> P, </w:t>
      </w:r>
      <w:proofErr w:type="spellStart"/>
      <w:r w:rsidRPr="00E41919">
        <w:rPr>
          <w:rFonts w:ascii="Times New Roman" w:hAnsi="Times New Roman" w:cs="Times New Roman"/>
          <w:lang w:val="cs-CZ"/>
        </w:rPr>
        <w:t>Mekinova</w:t>
      </w:r>
      <w:proofErr w:type="spellEnd"/>
      <w:r w:rsidRPr="00E41919">
        <w:rPr>
          <w:rFonts w:ascii="Times New Roman" w:hAnsi="Times New Roman" w:cs="Times New Roman"/>
          <w:lang w:val="cs-CZ"/>
        </w:rPr>
        <w:t xml:space="preserve"> L, et al. </w:t>
      </w:r>
      <w:proofErr w:type="spellStart"/>
      <w:r w:rsidRPr="00E41919">
        <w:rPr>
          <w:rFonts w:ascii="Times New Roman" w:hAnsi="Times New Roman" w:cs="Times New Roman"/>
          <w:lang w:val="cs-CZ"/>
        </w:rPr>
        <w:t>Longitudinal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profiling</w:t>
      </w:r>
      <w:proofErr w:type="spellEnd"/>
      <w:r w:rsidRPr="00E41919">
        <w:rPr>
          <w:rFonts w:ascii="Times New Roman" w:hAnsi="Times New Roman" w:cs="Times New Roman"/>
          <w:lang w:val="cs-CZ"/>
        </w:rPr>
        <w:t xml:space="preserve"> and </w:t>
      </w:r>
      <w:proofErr w:type="spellStart"/>
      <w:r w:rsidRPr="00E41919">
        <w:rPr>
          <w:rFonts w:ascii="Times New Roman" w:hAnsi="Times New Roman" w:cs="Times New Roman"/>
          <w:lang w:val="cs-CZ"/>
        </w:rPr>
        <w:t>correlations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of</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vaginal</w:t>
      </w:r>
      <w:proofErr w:type="spellEnd"/>
      <w:r w:rsidRPr="00E41919">
        <w:rPr>
          <w:rFonts w:ascii="Times New Roman" w:hAnsi="Times New Roman" w:cs="Times New Roman"/>
          <w:lang w:val="cs-CZ"/>
        </w:rPr>
        <w:t xml:space="preserve"> and </w:t>
      </w:r>
      <w:proofErr w:type="spellStart"/>
      <w:r w:rsidRPr="00E41919">
        <w:rPr>
          <w:rFonts w:ascii="Times New Roman" w:hAnsi="Times New Roman" w:cs="Times New Roman"/>
          <w:lang w:val="cs-CZ"/>
        </w:rPr>
        <w:t>fecal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microbiomes</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throughout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the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menstrual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cycle</w:t>
      </w:r>
      <w:proofErr w:type="spellEnd"/>
      <w:r w:rsidRPr="00E41919">
        <w:rPr>
          <w:rFonts w:ascii="Times New Roman" w:hAnsi="Times New Roman" w:cs="Times New Roman"/>
          <w:lang w:val="cs-CZ"/>
        </w:rPr>
        <w:t xml:space="preserve">: A pilot </w:t>
      </w:r>
      <w:proofErr w:type="spellStart"/>
      <w:r w:rsidRPr="00E41919">
        <w:rPr>
          <w:rFonts w:ascii="Times New Roman" w:hAnsi="Times New Roman" w:cs="Times New Roman"/>
          <w:lang w:val="cs-CZ"/>
        </w:rPr>
        <w:t>prospective</w:t>
      </w:r>
      <w:proofErr w:type="spellEnd"/>
      <w:r w:rsidRPr="00E41919">
        <w:rPr>
          <w:rFonts w:ascii="Times New Roman" w:hAnsi="Times New Roman" w:cs="Times New Roman"/>
          <w:lang w:val="cs-CZ"/>
        </w:rPr>
        <w:t xml:space="preserve"> study [</w:t>
      </w:r>
      <w:proofErr w:type="gramStart"/>
      <w:r w:rsidRPr="00E41919">
        <w:rPr>
          <w:rFonts w:ascii="Times New Roman" w:hAnsi="Times New Roman" w:cs="Times New Roman"/>
          <w:lang w:val="cs-CZ"/>
        </w:rPr>
        <w:t>Internet</w:t>
      </w:r>
      <w:proofErr w:type="gram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Research</w:t>
      </w:r>
      <w:proofErr w:type="spellEnd"/>
      <w:r w:rsidRPr="00E41919">
        <w:rPr>
          <w:rFonts w:ascii="Times New Roman" w:hAnsi="Times New Roman" w:cs="Times New Roman"/>
          <w:lang w:val="cs-CZ"/>
        </w:rPr>
        <w:t xml:space="preserve"> Square; 2026 [</w:t>
      </w:r>
      <w:proofErr w:type="spellStart"/>
      <w:r w:rsidRPr="00E41919">
        <w:rPr>
          <w:rFonts w:ascii="Times New Roman" w:hAnsi="Times New Roman" w:cs="Times New Roman"/>
          <w:lang w:val="cs-CZ"/>
        </w:rPr>
        <w:t>cited</w:t>
      </w:r>
      <w:proofErr w:type="spellEnd"/>
      <w:r w:rsidRPr="00E41919">
        <w:rPr>
          <w:rFonts w:ascii="Times New Roman" w:hAnsi="Times New Roman" w:cs="Times New Roman"/>
          <w:lang w:val="cs-CZ"/>
        </w:rPr>
        <w:t xml:space="preserve"> 2026 June 27]. https://doi.org/10.21203/rs.3.rs-9050950/v1</w:t>
      </w:r>
    </w:p>
    <w:p w14:paraId="1C241289"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11. Said HA, </w:t>
      </w:r>
      <w:proofErr w:type="spellStart"/>
      <w:r w:rsidRPr="00E41919">
        <w:rPr>
          <w:rFonts w:ascii="Times New Roman" w:hAnsi="Times New Roman" w:cs="Times New Roman"/>
          <w:lang w:val="cs-CZ"/>
        </w:rPr>
        <w:t>Elmoumou</w:t>
      </w:r>
      <w:proofErr w:type="spellEnd"/>
      <w:r w:rsidRPr="00E41919">
        <w:rPr>
          <w:rFonts w:ascii="Times New Roman" w:hAnsi="Times New Roman" w:cs="Times New Roman"/>
          <w:lang w:val="cs-CZ"/>
        </w:rPr>
        <w:t xml:space="preserve"> L, </w:t>
      </w:r>
      <w:proofErr w:type="spellStart"/>
      <w:r w:rsidRPr="00E41919">
        <w:rPr>
          <w:rFonts w:ascii="Times New Roman" w:hAnsi="Times New Roman" w:cs="Times New Roman"/>
          <w:lang w:val="cs-CZ"/>
        </w:rPr>
        <w:t>Rherissi</w:t>
      </w:r>
      <w:proofErr w:type="spellEnd"/>
      <w:r w:rsidRPr="00E41919">
        <w:rPr>
          <w:rFonts w:ascii="Times New Roman" w:hAnsi="Times New Roman" w:cs="Times New Roman"/>
          <w:lang w:val="cs-CZ"/>
        </w:rPr>
        <w:t xml:space="preserve"> B, El </w:t>
      </w:r>
      <w:proofErr w:type="spellStart"/>
      <w:r w:rsidRPr="00E41919">
        <w:rPr>
          <w:rFonts w:ascii="Times New Roman" w:hAnsi="Times New Roman" w:cs="Times New Roman"/>
          <w:lang w:val="cs-CZ"/>
        </w:rPr>
        <w:t>Kadmiri</w:t>
      </w:r>
      <w:proofErr w:type="spellEnd"/>
      <w:r w:rsidRPr="00E41919">
        <w:rPr>
          <w:rFonts w:ascii="Times New Roman" w:hAnsi="Times New Roman" w:cs="Times New Roman"/>
          <w:lang w:val="cs-CZ"/>
        </w:rPr>
        <w:t xml:space="preserve"> N. </w:t>
      </w:r>
      <w:proofErr w:type="spellStart"/>
      <w:r w:rsidRPr="00E41919">
        <w:rPr>
          <w:rFonts w:ascii="Times New Roman" w:hAnsi="Times New Roman" w:cs="Times New Roman"/>
          <w:lang w:val="cs-CZ"/>
        </w:rPr>
        <w:t>Variations</w:t>
      </w:r>
      <w:proofErr w:type="spellEnd"/>
      <w:r w:rsidRPr="00E41919">
        <w:rPr>
          <w:rFonts w:ascii="Times New Roman" w:hAnsi="Times New Roman" w:cs="Times New Roman"/>
          <w:lang w:val="cs-CZ"/>
        </w:rPr>
        <w:t xml:space="preserve"> in gut </w:t>
      </w:r>
      <w:proofErr w:type="spellStart"/>
      <w:r w:rsidRPr="00E41919">
        <w:rPr>
          <w:rFonts w:ascii="Times New Roman" w:hAnsi="Times New Roman" w:cs="Times New Roman"/>
          <w:lang w:val="cs-CZ"/>
        </w:rPr>
        <w:t>microbiota</w:t>
      </w:r>
      <w:proofErr w:type="spellEnd"/>
      <w:r w:rsidRPr="00E41919">
        <w:rPr>
          <w:rFonts w:ascii="Times New Roman" w:hAnsi="Times New Roman" w:cs="Times New Roman"/>
          <w:lang w:val="cs-CZ"/>
        </w:rPr>
        <w:t xml:space="preserve"> in </w:t>
      </w:r>
      <w:proofErr w:type="spellStart"/>
      <w:r w:rsidRPr="00E41919">
        <w:rPr>
          <w:rFonts w:ascii="Times New Roman" w:hAnsi="Times New Roman" w:cs="Times New Roman"/>
          <w:lang w:val="cs-CZ"/>
        </w:rPr>
        <w:t>celiac</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disease</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patients</w:t>
      </w:r>
      <w:proofErr w:type="spellEnd"/>
      <w:r w:rsidRPr="00E41919">
        <w:rPr>
          <w:rFonts w:ascii="Times New Roman" w:hAnsi="Times New Roman" w:cs="Times New Roman"/>
          <w:lang w:val="cs-CZ"/>
        </w:rPr>
        <w:t xml:space="preserve">: a </w:t>
      </w:r>
      <w:proofErr w:type="spellStart"/>
      <w:r w:rsidRPr="00E41919">
        <w:rPr>
          <w:rFonts w:ascii="Times New Roman" w:hAnsi="Times New Roman" w:cs="Times New Roman"/>
          <w:lang w:val="cs-CZ"/>
        </w:rPr>
        <w:t>systematic</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review</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Gastroenterol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Hepatol</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Bed</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Bench</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2025;18:147</w:t>
      </w:r>
      <w:proofErr w:type="gramEnd"/>
      <w:r w:rsidRPr="00E41919">
        <w:rPr>
          <w:rFonts w:ascii="Times New Roman" w:hAnsi="Times New Roman" w:cs="Times New Roman"/>
          <w:lang w:val="cs-CZ"/>
        </w:rPr>
        <w:t>–63. https://doi.org/10.22037/ghfbb.v18i1.3024</w:t>
      </w:r>
    </w:p>
    <w:p w14:paraId="2EE7CACB" w14:textId="77777777" w:rsidR="00E41919" w:rsidRPr="00E41919" w:rsidRDefault="00E41919" w:rsidP="00E41919">
      <w:pPr>
        <w:pStyle w:val="Bibliografie"/>
        <w:rPr>
          <w:rFonts w:ascii="Times New Roman" w:hAnsi="Times New Roman" w:cs="Times New Roman"/>
          <w:lang w:val="cs-CZ"/>
        </w:rPr>
      </w:pPr>
      <w:r w:rsidRPr="00E41919">
        <w:rPr>
          <w:rFonts w:ascii="Times New Roman" w:hAnsi="Times New Roman" w:cs="Times New Roman"/>
          <w:lang w:val="cs-CZ"/>
        </w:rPr>
        <w:t xml:space="preserve">12. </w:t>
      </w:r>
      <w:proofErr w:type="spellStart"/>
      <w:r w:rsidRPr="00E41919">
        <w:rPr>
          <w:rFonts w:ascii="Times New Roman" w:hAnsi="Times New Roman" w:cs="Times New Roman"/>
          <w:lang w:val="cs-CZ"/>
        </w:rPr>
        <w:t>Fruchterman</w:t>
      </w:r>
      <w:proofErr w:type="spellEnd"/>
      <w:r w:rsidRPr="00E41919">
        <w:rPr>
          <w:rFonts w:ascii="Times New Roman" w:hAnsi="Times New Roman" w:cs="Times New Roman"/>
          <w:lang w:val="cs-CZ"/>
        </w:rPr>
        <w:t xml:space="preserve"> TMJ, </w:t>
      </w:r>
      <w:proofErr w:type="spellStart"/>
      <w:r w:rsidRPr="00E41919">
        <w:rPr>
          <w:rFonts w:ascii="Times New Roman" w:hAnsi="Times New Roman" w:cs="Times New Roman"/>
          <w:lang w:val="cs-CZ"/>
        </w:rPr>
        <w:t>Reingold</w:t>
      </w:r>
      <w:proofErr w:type="spellEnd"/>
      <w:r w:rsidRPr="00E41919">
        <w:rPr>
          <w:rFonts w:ascii="Times New Roman" w:hAnsi="Times New Roman" w:cs="Times New Roman"/>
          <w:lang w:val="cs-CZ"/>
        </w:rPr>
        <w:t xml:space="preserve"> EM. </w:t>
      </w:r>
      <w:proofErr w:type="spellStart"/>
      <w:r w:rsidRPr="00E41919">
        <w:rPr>
          <w:rFonts w:ascii="Times New Roman" w:hAnsi="Times New Roman" w:cs="Times New Roman"/>
          <w:lang w:val="cs-CZ"/>
        </w:rPr>
        <w:t>Graph</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drawing</w:t>
      </w:r>
      <w:proofErr w:type="spellEnd"/>
      <w:r w:rsidRPr="00E41919">
        <w:rPr>
          <w:rFonts w:ascii="Times New Roman" w:hAnsi="Times New Roman" w:cs="Times New Roman"/>
          <w:lang w:val="cs-CZ"/>
        </w:rPr>
        <w:t xml:space="preserve"> by </w:t>
      </w:r>
      <w:proofErr w:type="spellStart"/>
      <w:r w:rsidRPr="00E41919">
        <w:rPr>
          <w:rFonts w:ascii="Times New Roman" w:hAnsi="Times New Roman" w:cs="Times New Roman"/>
          <w:lang w:val="cs-CZ"/>
        </w:rPr>
        <w:t>force-directed</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placement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Softw</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Pract</w:t>
      </w:r>
      <w:proofErr w:type="spellEnd"/>
      <w:r w:rsidRPr="00E41919">
        <w:rPr>
          <w:rFonts w:ascii="Times New Roman" w:hAnsi="Times New Roman" w:cs="Times New Roman"/>
          <w:lang w:val="cs-CZ"/>
        </w:rPr>
        <w:t xml:space="preserve"> </w:t>
      </w:r>
      <w:proofErr w:type="spellStart"/>
      <w:r w:rsidRPr="00E41919">
        <w:rPr>
          <w:rFonts w:ascii="Times New Roman" w:hAnsi="Times New Roman" w:cs="Times New Roman"/>
          <w:lang w:val="cs-CZ"/>
        </w:rPr>
        <w:t>Exper</w:t>
      </w:r>
      <w:proofErr w:type="spellEnd"/>
      <w:r w:rsidRPr="00E41919">
        <w:rPr>
          <w:rFonts w:ascii="Times New Roman" w:hAnsi="Times New Roman" w:cs="Times New Roman"/>
          <w:lang w:val="cs-CZ"/>
        </w:rPr>
        <w:t xml:space="preserve">. </w:t>
      </w:r>
      <w:proofErr w:type="gramStart"/>
      <w:r w:rsidRPr="00E41919">
        <w:rPr>
          <w:rFonts w:ascii="Times New Roman" w:hAnsi="Times New Roman" w:cs="Times New Roman"/>
          <w:lang w:val="cs-CZ"/>
        </w:rPr>
        <w:t>1991;21:1129</w:t>
      </w:r>
      <w:proofErr w:type="gramEnd"/>
      <w:r w:rsidRPr="00E41919">
        <w:rPr>
          <w:rFonts w:ascii="Times New Roman" w:hAnsi="Times New Roman" w:cs="Times New Roman"/>
          <w:lang w:val="cs-CZ"/>
        </w:rPr>
        <w:t>–64. https://doi.org/10.1002/spe.4380211102</w:t>
      </w:r>
    </w:p>
    <w:p w14:paraId="2A330DB5" w14:textId="0D5B89FE" w:rsidR="00E6645C" w:rsidRPr="00C76D93" w:rsidRDefault="008206CC" w:rsidP="00E41919">
      <w:pPr>
        <w:pStyle w:val="Bibliografie"/>
        <w:rPr>
          <w:rFonts w:ascii="Times New Roman" w:hAnsi="Times New Roman" w:cs="Times New Roman"/>
        </w:rPr>
      </w:pPr>
      <w:r>
        <w:rPr>
          <w:rFonts w:ascii="Times New Roman" w:hAnsi="Times New Roman" w:cs="Times New Roman"/>
        </w:rPr>
        <w:fldChar w:fldCharType="end"/>
      </w:r>
    </w:p>
    <w:p w14:paraId="2F71CE6C" w14:textId="77777777" w:rsidR="00807B51" w:rsidRDefault="00807B51"/>
    <w:sectPr w:rsidR="00807B51" w:rsidSect="006201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ource serif 4">
    <w:altName w:val="Cambria"/>
    <w:panose1 w:val="020B0604020202020204"/>
    <w:charset w:val="00"/>
    <w:family w:val="roman"/>
    <w:notTrueType/>
    <w:pitch w:val="default"/>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NrAwNjYxMjY0MDWxNDdU0lEKTi0uzszPAykwrAUAjTsojCwAAAA="/>
  </w:docVars>
  <w:rsids>
    <w:rsidRoot w:val="00E6645C"/>
    <w:rsid w:val="0008457F"/>
    <w:rsid w:val="002B0BD8"/>
    <w:rsid w:val="002C01E6"/>
    <w:rsid w:val="005C56D1"/>
    <w:rsid w:val="00620130"/>
    <w:rsid w:val="00672CCF"/>
    <w:rsid w:val="00807B51"/>
    <w:rsid w:val="008206CC"/>
    <w:rsid w:val="00906D1C"/>
    <w:rsid w:val="00B67819"/>
    <w:rsid w:val="00C4442C"/>
    <w:rsid w:val="00E30016"/>
    <w:rsid w:val="00E41919"/>
    <w:rsid w:val="00E6645C"/>
    <w:rsid w:val="00F57100"/>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4323"/>
  <w15:chartTrackingRefBased/>
  <w15:docId w15:val="{F54CF6A5-186F-43F5-87B2-635C3DA50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645C"/>
    <w:pPr>
      <w:suppressAutoHyphens/>
      <w:spacing w:line="259" w:lineRule="auto"/>
    </w:pPr>
    <w:rPr>
      <w:kern w:val="0"/>
      <w:sz w:val="22"/>
      <w:szCs w:val="22"/>
      <w14:ligatures w14:val="none"/>
    </w:rPr>
  </w:style>
  <w:style w:type="paragraph" w:styleId="Nadpis1">
    <w:name w:val="heading 1"/>
    <w:basedOn w:val="Normln"/>
    <w:next w:val="Normln"/>
    <w:link w:val="Nadpis1Char"/>
    <w:uiPriority w:val="9"/>
    <w:qFormat/>
    <w:rsid w:val="00E6645C"/>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dpis2">
    <w:name w:val="heading 2"/>
    <w:basedOn w:val="Normln"/>
    <w:next w:val="Normln"/>
    <w:link w:val="Nadpis2Char"/>
    <w:uiPriority w:val="9"/>
    <w:unhideWhenUsed/>
    <w:qFormat/>
    <w:rsid w:val="00E6645C"/>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dpis3">
    <w:name w:val="heading 3"/>
    <w:basedOn w:val="Normln"/>
    <w:next w:val="Normln"/>
    <w:link w:val="Nadpis3Char"/>
    <w:uiPriority w:val="9"/>
    <w:semiHidden/>
    <w:unhideWhenUsed/>
    <w:qFormat/>
    <w:rsid w:val="00E6645C"/>
    <w:pPr>
      <w:keepNext/>
      <w:keepLines/>
      <w:spacing w:before="160" w:after="80"/>
      <w:outlineLvl w:val="2"/>
    </w:pPr>
    <w:rPr>
      <w:rFonts w:eastAsiaTheme="majorEastAsia" w:cstheme="majorBidi"/>
      <w:color w:val="2E74B5" w:themeColor="accent1" w:themeShade="BF"/>
      <w:sz w:val="28"/>
      <w:szCs w:val="28"/>
    </w:rPr>
  </w:style>
  <w:style w:type="paragraph" w:styleId="Nadpis4">
    <w:name w:val="heading 4"/>
    <w:basedOn w:val="Normln"/>
    <w:next w:val="Normln"/>
    <w:link w:val="Nadpis4Char"/>
    <w:uiPriority w:val="9"/>
    <w:semiHidden/>
    <w:unhideWhenUsed/>
    <w:qFormat/>
    <w:rsid w:val="00E6645C"/>
    <w:pPr>
      <w:keepNext/>
      <w:keepLines/>
      <w:spacing w:before="80" w:after="40"/>
      <w:outlineLvl w:val="3"/>
    </w:pPr>
    <w:rPr>
      <w:rFonts w:eastAsiaTheme="majorEastAsia" w:cstheme="majorBidi"/>
      <w:i/>
      <w:iCs/>
      <w:color w:val="2E74B5" w:themeColor="accent1" w:themeShade="BF"/>
    </w:rPr>
  </w:style>
  <w:style w:type="paragraph" w:styleId="Nadpis5">
    <w:name w:val="heading 5"/>
    <w:basedOn w:val="Normln"/>
    <w:next w:val="Normln"/>
    <w:link w:val="Nadpis5Char"/>
    <w:uiPriority w:val="9"/>
    <w:semiHidden/>
    <w:unhideWhenUsed/>
    <w:qFormat/>
    <w:rsid w:val="00E6645C"/>
    <w:pPr>
      <w:keepNext/>
      <w:keepLines/>
      <w:spacing w:before="80" w:after="40"/>
      <w:outlineLvl w:val="4"/>
    </w:pPr>
    <w:rPr>
      <w:rFonts w:eastAsiaTheme="majorEastAsia" w:cstheme="majorBidi"/>
      <w:color w:val="2E74B5" w:themeColor="accent1" w:themeShade="BF"/>
    </w:rPr>
  </w:style>
  <w:style w:type="paragraph" w:styleId="Nadpis6">
    <w:name w:val="heading 6"/>
    <w:basedOn w:val="Normln"/>
    <w:next w:val="Normln"/>
    <w:link w:val="Nadpis6Char"/>
    <w:uiPriority w:val="9"/>
    <w:semiHidden/>
    <w:unhideWhenUsed/>
    <w:qFormat/>
    <w:rsid w:val="00E6645C"/>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E6645C"/>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E6645C"/>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E6645C"/>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6645C"/>
    <w:rPr>
      <w:rFonts w:asciiTheme="majorHAnsi" w:eastAsiaTheme="majorEastAsia" w:hAnsiTheme="majorHAnsi" w:cstheme="majorBidi"/>
      <w:color w:val="2E74B5" w:themeColor="accent1" w:themeShade="BF"/>
      <w:sz w:val="40"/>
      <w:szCs w:val="40"/>
    </w:rPr>
  </w:style>
  <w:style w:type="character" w:customStyle="1" w:styleId="Nadpis2Char">
    <w:name w:val="Nadpis 2 Char"/>
    <w:basedOn w:val="Standardnpsmoodstavce"/>
    <w:link w:val="Nadpis2"/>
    <w:uiPriority w:val="9"/>
    <w:qFormat/>
    <w:rsid w:val="00E6645C"/>
    <w:rPr>
      <w:rFonts w:asciiTheme="majorHAnsi" w:eastAsiaTheme="majorEastAsia" w:hAnsiTheme="majorHAnsi" w:cstheme="majorBidi"/>
      <w:color w:val="2E74B5" w:themeColor="accent1" w:themeShade="BF"/>
      <w:sz w:val="32"/>
      <w:szCs w:val="32"/>
    </w:rPr>
  </w:style>
  <w:style w:type="character" w:customStyle="1" w:styleId="Nadpis3Char">
    <w:name w:val="Nadpis 3 Char"/>
    <w:basedOn w:val="Standardnpsmoodstavce"/>
    <w:link w:val="Nadpis3"/>
    <w:uiPriority w:val="9"/>
    <w:semiHidden/>
    <w:rsid w:val="00E6645C"/>
    <w:rPr>
      <w:rFonts w:eastAsiaTheme="majorEastAsia" w:cstheme="majorBidi"/>
      <w:color w:val="2E74B5" w:themeColor="accent1" w:themeShade="BF"/>
      <w:sz w:val="28"/>
      <w:szCs w:val="28"/>
    </w:rPr>
  </w:style>
  <w:style w:type="character" w:customStyle="1" w:styleId="Nadpis4Char">
    <w:name w:val="Nadpis 4 Char"/>
    <w:basedOn w:val="Standardnpsmoodstavce"/>
    <w:link w:val="Nadpis4"/>
    <w:uiPriority w:val="9"/>
    <w:semiHidden/>
    <w:rsid w:val="00E6645C"/>
    <w:rPr>
      <w:rFonts w:eastAsiaTheme="majorEastAsia" w:cstheme="majorBidi"/>
      <w:i/>
      <w:iCs/>
      <w:color w:val="2E74B5" w:themeColor="accent1" w:themeShade="BF"/>
    </w:rPr>
  </w:style>
  <w:style w:type="character" w:customStyle="1" w:styleId="Nadpis5Char">
    <w:name w:val="Nadpis 5 Char"/>
    <w:basedOn w:val="Standardnpsmoodstavce"/>
    <w:link w:val="Nadpis5"/>
    <w:uiPriority w:val="9"/>
    <w:semiHidden/>
    <w:rsid w:val="00E6645C"/>
    <w:rPr>
      <w:rFonts w:eastAsiaTheme="majorEastAsia" w:cstheme="majorBidi"/>
      <w:color w:val="2E74B5" w:themeColor="accent1" w:themeShade="BF"/>
    </w:rPr>
  </w:style>
  <w:style w:type="character" w:customStyle="1" w:styleId="Nadpis6Char">
    <w:name w:val="Nadpis 6 Char"/>
    <w:basedOn w:val="Standardnpsmoodstavce"/>
    <w:link w:val="Nadpis6"/>
    <w:uiPriority w:val="9"/>
    <w:semiHidden/>
    <w:rsid w:val="00E6645C"/>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E6645C"/>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E6645C"/>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E6645C"/>
    <w:rPr>
      <w:rFonts w:eastAsiaTheme="majorEastAsia" w:cstheme="majorBidi"/>
      <w:color w:val="272727" w:themeColor="text1" w:themeTint="D8"/>
    </w:rPr>
  </w:style>
  <w:style w:type="paragraph" w:styleId="Nzev">
    <w:name w:val="Title"/>
    <w:basedOn w:val="Normln"/>
    <w:next w:val="Normln"/>
    <w:link w:val="NzevChar"/>
    <w:uiPriority w:val="10"/>
    <w:qFormat/>
    <w:rsid w:val="00E664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E6645C"/>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E6645C"/>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E6645C"/>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E6645C"/>
    <w:pPr>
      <w:spacing w:before="160"/>
      <w:jc w:val="center"/>
    </w:pPr>
    <w:rPr>
      <w:i/>
      <w:iCs/>
      <w:color w:val="404040" w:themeColor="text1" w:themeTint="BF"/>
    </w:rPr>
  </w:style>
  <w:style w:type="character" w:customStyle="1" w:styleId="CittChar">
    <w:name w:val="Citát Char"/>
    <w:basedOn w:val="Standardnpsmoodstavce"/>
    <w:link w:val="Citt"/>
    <w:uiPriority w:val="29"/>
    <w:rsid w:val="00E6645C"/>
    <w:rPr>
      <w:i/>
      <w:iCs/>
      <w:color w:val="404040" w:themeColor="text1" w:themeTint="BF"/>
    </w:rPr>
  </w:style>
  <w:style w:type="paragraph" w:styleId="Odstavecseseznamem">
    <w:name w:val="List Paragraph"/>
    <w:basedOn w:val="Normln"/>
    <w:uiPriority w:val="34"/>
    <w:qFormat/>
    <w:rsid w:val="00E6645C"/>
    <w:pPr>
      <w:ind w:left="720"/>
      <w:contextualSpacing/>
    </w:pPr>
  </w:style>
  <w:style w:type="character" w:styleId="Zdraznnintenzivn">
    <w:name w:val="Intense Emphasis"/>
    <w:basedOn w:val="Standardnpsmoodstavce"/>
    <w:uiPriority w:val="21"/>
    <w:qFormat/>
    <w:rsid w:val="00E6645C"/>
    <w:rPr>
      <w:i/>
      <w:iCs/>
      <w:color w:val="2E74B5" w:themeColor="accent1" w:themeShade="BF"/>
    </w:rPr>
  </w:style>
  <w:style w:type="paragraph" w:styleId="Vrazncitt">
    <w:name w:val="Intense Quote"/>
    <w:basedOn w:val="Normln"/>
    <w:next w:val="Normln"/>
    <w:link w:val="VrazncittChar"/>
    <w:uiPriority w:val="30"/>
    <w:qFormat/>
    <w:rsid w:val="00E6645C"/>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VrazncittChar">
    <w:name w:val="Výrazný citát Char"/>
    <w:basedOn w:val="Standardnpsmoodstavce"/>
    <w:link w:val="Vrazncitt"/>
    <w:uiPriority w:val="30"/>
    <w:rsid w:val="00E6645C"/>
    <w:rPr>
      <w:i/>
      <w:iCs/>
      <w:color w:val="2E74B5" w:themeColor="accent1" w:themeShade="BF"/>
    </w:rPr>
  </w:style>
  <w:style w:type="character" w:styleId="Odkazintenzivn">
    <w:name w:val="Intense Reference"/>
    <w:basedOn w:val="Standardnpsmoodstavce"/>
    <w:uiPriority w:val="32"/>
    <w:qFormat/>
    <w:rsid w:val="00E6645C"/>
    <w:rPr>
      <w:b/>
      <w:bCs/>
      <w:smallCaps/>
      <w:color w:val="2E74B5" w:themeColor="accent1" w:themeShade="BF"/>
      <w:spacing w:val="5"/>
    </w:rPr>
  </w:style>
  <w:style w:type="paragraph" w:styleId="Zkladntext">
    <w:name w:val="Body Text"/>
    <w:basedOn w:val="Normln"/>
    <w:link w:val="ZkladntextChar"/>
    <w:rsid w:val="00E6645C"/>
    <w:pPr>
      <w:spacing w:after="140" w:line="276" w:lineRule="auto"/>
    </w:pPr>
  </w:style>
  <w:style w:type="character" w:customStyle="1" w:styleId="ZkladntextChar">
    <w:name w:val="Základní text Char"/>
    <w:basedOn w:val="Standardnpsmoodstavce"/>
    <w:link w:val="Zkladntext"/>
    <w:rsid w:val="00E6645C"/>
    <w:rPr>
      <w:kern w:val="0"/>
      <w:sz w:val="22"/>
      <w:szCs w:val="22"/>
      <w14:ligatures w14:val="none"/>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semiHidden/>
    <w:unhideWhenUsed/>
    <w:pPr>
      <w:spacing w:line="240" w:lineRule="auto"/>
    </w:pPr>
    <w:rPr>
      <w:sz w:val="20"/>
      <w:szCs w:val="20"/>
    </w:rPr>
  </w:style>
  <w:style w:type="character" w:customStyle="1" w:styleId="TextkomenteChar">
    <w:name w:val="Text komentáře Char"/>
    <w:basedOn w:val="Standardnpsmoodstavce"/>
    <w:link w:val="Textkomente"/>
    <w:uiPriority w:val="99"/>
    <w:semiHidden/>
    <w:rPr>
      <w:kern w:val="0"/>
      <w:sz w:val="20"/>
      <w:szCs w:val="20"/>
      <w14:ligatures w14:val="none"/>
    </w:rPr>
  </w:style>
  <w:style w:type="paragraph" w:styleId="Bibliografie">
    <w:name w:val="Bibliography"/>
    <w:basedOn w:val="Normln"/>
    <w:next w:val="Normln"/>
    <w:uiPriority w:val="37"/>
    <w:unhideWhenUsed/>
    <w:rsid w:val="008206CC"/>
    <w:pPr>
      <w:tabs>
        <w:tab w:val="left" w:pos="500"/>
      </w:tabs>
      <w:spacing w:after="240" w:line="240" w:lineRule="auto"/>
    </w:pPr>
  </w:style>
  <w:style w:type="paragraph" w:styleId="Pedmtkomente">
    <w:name w:val="annotation subject"/>
    <w:basedOn w:val="Textkomente"/>
    <w:next w:val="Textkomente"/>
    <w:link w:val="PedmtkomenteChar"/>
    <w:uiPriority w:val="99"/>
    <w:semiHidden/>
    <w:unhideWhenUsed/>
    <w:rsid w:val="005C56D1"/>
    <w:rPr>
      <w:b/>
      <w:bCs/>
    </w:rPr>
  </w:style>
  <w:style w:type="character" w:customStyle="1" w:styleId="PedmtkomenteChar">
    <w:name w:val="Předmět komentáře Char"/>
    <w:basedOn w:val="TextkomenteChar"/>
    <w:link w:val="Pedmtkomente"/>
    <w:uiPriority w:val="99"/>
    <w:semiHidden/>
    <w:rsid w:val="005C56D1"/>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4</Pages>
  <Words>6190</Words>
  <Characters>36526</Characters>
  <Application>Microsoft Office Word</Application>
  <DocSecurity>0</DocSecurity>
  <Lines>304</Lines>
  <Paragraphs>85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Correcta</dc:creator>
  <cp:keywords/>
  <dc:description/>
  <cp:lastModifiedBy>Hrunka Matěj</cp:lastModifiedBy>
  <cp:revision>5</cp:revision>
  <dcterms:created xsi:type="dcterms:W3CDTF">2026-08-10T11:03:00Z</dcterms:created>
  <dcterms:modified xsi:type="dcterms:W3CDTF">2026-08-17T16:14:00Z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zotero-version="9.0.6"&gt;&lt;session id="8IXTR516"/&gt;&lt;style id="http://www.zotero.org/styles/gut-pathogens" hasBibliography="1" bibliographyStyleHasBeenSet="1"/&gt;&lt;prefs&gt;&lt;pref name="fieldType" value="Field"/&gt;&lt;/prefs&gt;&lt;/data&gt;</vt:lpwstr>
  </property>
</Properties>
</file>