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19B86" w14:textId="523CE0C5" w:rsidR="001C7844" w:rsidRPr="00917BBC" w:rsidRDefault="001C7844" w:rsidP="001C7844">
      <w:pPr>
        <w:spacing w:line="480" w:lineRule="auto"/>
        <w:jc w:val="center"/>
        <w:rPr>
          <w:rFonts w:ascii="Calibri" w:hAnsi="Calibri" w:cs="Calibri"/>
          <w:b/>
          <w:bCs/>
        </w:rPr>
      </w:pPr>
      <w:r w:rsidRPr="00917BBC">
        <w:rPr>
          <w:rFonts w:ascii="Calibri" w:hAnsi="Calibri" w:cs="Calibri"/>
          <w:b/>
          <w:bCs/>
        </w:rPr>
        <w:t xml:space="preserve">Table S1. Specification of the target trial and emulation </w:t>
      </w:r>
    </w:p>
    <w:tbl>
      <w:tblPr>
        <w:tblStyle w:val="TableGrid"/>
        <w:tblW w:w="0" w:type="auto"/>
        <w:tblLook w:val="04A0" w:firstRow="1" w:lastRow="0" w:firstColumn="1" w:lastColumn="0" w:noHBand="0" w:noVBand="1"/>
      </w:tblPr>
      <w:tblGrid>
        <w:gridCol w:w="2218"/>
        <w:gridCol w:w="3595"/>
        <w:gridCol w:w="3537"/>
      </w:tblGrid>
      <w:tr w:rsidR="001C7844" w:rsidRPr="00917BBC" w14:paraId="206602EC" w14:textId="77777777" w:rsidTr="00FB59FB">
        <w:tc>
          <w:tcPr>
            <w:tcW w:w="0" w:type="auto"/>
            <w:vAlign w:val="center"/>
            <w:hideMark/>
          </w:tcPr>
          <w:p w14:paraId="3D783607"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Target trial component</w:t>
            </w:r>
          </w:p>
        </w:tc>
        <w:tc>
          <w:tcPr>
            <w:tcW w:w="3595" w:type="dxa"/>
            <w:vAlign w:val="center"/>
            <w:hideMark/>
          </w:tcPr>
          <w:p w14:paraId="47BD75EC" w14:textId="5D898BBE" w:rsidR="001C7844" w:rsidRPr="00917BBC" w:rsidRDefault="001C7844" w:rsidP="00FB59FB">
            <w:pPr>
              <w:spacing w:line="480" w:lineRule="auto"/>
              <w:jc w:val="center"/>
              <w:rPr>
                <w:rFonts w:ascii="Calibri" w:hAnsi="Calibri" w:cs="Calibri"/>
                <w:b/>
                <w:bCs/>
              </w:rPr>
            </w:pPr>
            <w:r w:rsidRPr="00917BBC">
              <w:rPr>
                <w:rFonts w:ascii="Calibri" w:hAnsi="Calibri" w:cs="Calibri"/>
                <w:b/>
                <w:bCs/>
              </w:rPr>
              <w:t>Target trial specification</w:t>
            </w:r>
          </w:p>
        </w:tc>
        <w:tc>
          <w:tcPr>
            <w:tcW w:w="3537" w:type="dxa"/>
            <w:vAlign w:val="center"/>
            <w:hideMark/>
          </w:tcPr>
          <w:p w14:paraId="4A61AE3C"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Emulation in this study</w:t>
            </w:r>
          </w:p>
        </w:tc>
      </w:tr>
      <w:tr w:rsidR="001C7844" w:rsidRPr="00917BBC" w14:paraId="3D29B802" w14:textId="77777777" w:rsidTr="00FB59FB">
        <w:tc>
          <w:tcPr>
            <w:tcW w:w="0" w:type="auto"/>
            <w:vAlign w:val="center"/>
            <w:hideMark/>
          </w:tcPr>
          <w:p w14:paraId="048AEA62"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Research question</w:t>
            </w:r>
          </w:p>
        </w:tc>
        <w:tc>
          <w:tcPr>
            <w:tcW w:w="3595" w:type="dxa"/>
            <w:vAlign w:val="center"/>
            <w:hideMark/>
          </w:tcPr>
          <w:p w14:paraId="604E727D" w14:textId="77777777" w:rsidR="001C7844" w:rsidRPr="00917BBC" w:rsidRDefault="001C7844" w:rsidP="00FB59FB">
            <w:pPr>
              <w:spacing w:line="480" w:lineRule="auto"/>
              <w:rPr>
                <w:rFonts w:ascii="Calibri" w:hAnsi="Calibri" w:cs="Calibri"/>
              </w:rPr>
            </w:pPr>
            <w:r w:rsidRPr="00917BBC">
              <w:rPr>
                <w:rFonts w:ascii="Calibri" w:hAnsi="Calibri" w:cs="Calibri"/>
              </w:rPr>
              <w:t>Efficacy of neoadjuvant pembrolizumab plus chemotherapy versus chemotherapy alone on pCR in early-stage TNBC.</w:t>
            </w:r>
          </w:p>
        </w:tc>
        <w:tc>
          <w:tcPr>
            <w:tcW w:w="3537" w:type="dxa"/>
            <w:vAlign w:val="center"/>
            <w:hideMark/>
          </w:tcPr>
          <w:p w14:paraId="3C8B0ACA" w14:textId="77777777" w:rsidR="001C7844" w:rsidRPr="00917BBC" w:rsidRDefault="001C7844" w:rsidP="00FB59FB">
            <w:pPr>
              <w:spacing w:line="480" w:lineRule="auto"/>
              <w:rPr>
                <w:rFonts w:ascii="Calibri" w:hAnsi="Calibri" w:cs="Calibri"/>
              </w:rPr>
            </w:pPr>
            <w:proofErr w:type="gramStart"/>
            <w:r w:rsidRPr="00917BBC">
              <w:rPr>
                <w:rFonts w:ascii="Calibri" w:hAnsi="Calibri" w:cs="Calibri"/>
              </w:rPr>
              <w:t>Similar to</w:t>
            </w:r>
            <w:proofErr w:type="gramEnd"/>
            <w:r w:rsidRPr="00917BBC">
              <w:rPr>
                <w:rFonts w:ascii="Calibri" w:hAnsi="Calibri" w:cs="Calibri"/>
              </w:rPr>
              <w:t xml:space="preserve"> the KEYNOTE-522 trial, estimated using real-world electronic health record data from Vietnam National Cancer Hospital.</w:t>
            </w:r>
          </w:p>
        </w:tc>
      </w:tr>
      <w:tr w:rsidR="001C7844" w:rsidRPr="00917BBC" w14:paraId="2B886D3B" w14:textId="77777777" w:rsidTr="00FB59FB">
        <w:tc>
          <w:tcPr>
            <w:tcW w:w="0" w:type="auto"/>
            <w:vAlign w:val="center"/>
            <w:hideMark/>
          </w:tcPr>
          <w:p w14:paraId="0484E94A"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Crucial eligibility criteria</w:t>
            </w:r>
          </w:p>
        </w:tc>
        <w:tc>
          <w:tcPr>
            <w:tcW w:w="3595" w:type="dxa"/>
            <w:vAlign w:val="center"/>
            <w:hideMark/>
          </w:tcPr>
          <w:p w14:paraId="79F67713" w14:textId="77777777" w:rsidR="001C7844" w:rsidRPr="00917BBC" w:rsidRDefault="001C7844" w:rsidP="00FB59FB">
            <w:pPr>
              <w:spacing w:line="480" w:lineRule="auto"/>
              <w:rPr>
                <w:rFonts w:ascii="Calibri" w:hAnsi="Calibri" w:cs="Calibri"/>
              </w:rPr>
            </w:pPr>
            <w:r w:rsidRPr="00917BBC">
              <w:rPr>
                <w:rFonts w:ascii="Calibri" w:hAnsi="Calibri" w:cs="Calibri"/>
              </w:rPr>
              <w:t>Women aged ≥18 years with non-metastatic TNBC eligible for neoadjuvant therapy.</w:t>
            </w:r>
          </w:p>
        </w:tc>
        <w:tc>
          <w:tcPr>
            <w:tcW w:w="3537" w:type="dxa"/>
            <w:vAlign w:val="center"/>
            <w:hideMark/>
          </w:tcPr>
          <w:p w14:paraId="7F4300C5" w14:textId="77777777" w:rsidR="001C7844" w:rsidRPr="00917BBC" w:rsidRDefault="001C7844" w:rsidP="00FB59FB">
            <w:pPr>
              <w:spacing w:line="480" w:lineRule="auto"/>
              <w:rPr>
                <w:rFonts w:ascii="Calibri" w:hAnsi="Calibri" w:cs="Calibri"/>
              </w:rPr>
            </w:pPr>
            <w:r w:rsidRPr="00917BBC">
              <w:rPr>
                <w:rFonts w:ascii="Calibri" w:hAnsi="Calibri" w:cs="Calibri"/>
              </w:rPr>
              <w:t>Women aged ≥18 years with stage II–III TNBC who received neoadjuvant pembrolizumab-based therapy or chemotherapy.</w:t>
            </w:r>
          </w:p>
          <w:p w14:paraId="488182EC" w14:textId="77777777" w:rsidR="001C7844" w:rsidRPr="00917BBC" w:rsidRDefault="001C7844" w:rsidP="00FB59FB">
            <w:pPr>
              <w:spacing w:line="480" w:lineRule="auto"/>
              <w:rPr>
                <w:rFonts w:ascii="Calibri" w:hAnsi="Calibri" w:cs="Calibri"/>
              </w:rPr>
            </w:pPr>
          </w:p>
        </w:tc>
      </w:tr>
      <w:tr w:rsidR="001C7844" w:rsidRPr="00917BBC" w14:paraId="615A8EF9" w14:textId="77777777" w:rsidTr="00FB59FB">
        <w:tc>
          <w:tcPr>
            <w:tcW w:w="0" w:type="auto"/>
            <w:vAlign w:val="center"/>
            <w:hideMark/>
          </w:tcPr>
          <w:p w14:paraId="2BD32D94"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Treatment strategies</w:t>
            </w:r>
          </w:p>
        </w:tc>
        <w:tc>
          <w:tcPr>
            <w:tcW w:w="3595" w:type="dxa"/>
            <w:vAlign w:val="center"/>
            <w:hideMark/>
          </w:tcPr>
          <w:p w14:paraId="5F8842A2" w14:textId="77777777" w:rsidR="001C7844" w:rsidRPr="00917BBC" w:rsidRDefault="001C7844" w:rsidP="00FB59FB">
            <w:pPr>
              <w:spacing w:line="480" w:lineRule="auto"/>
              <w:rPr>
                <w:rFonts w:ascii="Calibri" w:hAnsi="Calibri" w:cs="Calibri"/>
              </w:rPr>
            </w:pPr>
            <w:r w:rsidRPr="00917BBC">
              <w:rPr>
                <w:rFonts w:ascii="Calibri" w:hAnsi="Calibri" w:cs="Calibri"/>
              </w:rPr>
              <w:t>Pembrolizumab plus chemotherapy versus chemotherapy alone.</w:t>
            </w:r>
          </w:p>
          <w:p w14:paraId="09711FB7" w14:textId="77777777" w:rsidR="001C7844" w:rsidRPr="00917BBC" w:rsidRDefault="001C7844" w:rsidP="00FB59FB">
            <w:pPr>
              <w:spacing w:line="480" w:lineRule="auto"/>
              <w:rPr>
                <w:rFonts w:ascii="Calibri" w:hAnsi="Calibri" w:cs="Calibri"/>
              </w:rPr>
            </w:pPr>
          </w:p>
          <w:p w14:paraId="53DA614F" w14:textId="77777777" w:rsidR="001C7844" w:rsidRPr="00917BBC" w:rsidRDefault="001C7844" w:rsidP="00FB59FB">
            <w:pPr>
              <w:spacing w:line="480" w:lineRule="auto"/>
              <w:rPr>
                <w:rFonts w:ascii="Calibri" w:hAnsi="Calibri" w:cs="Calibri"/>
              </w:rPr>
            </w:pPr>
            <w:r w:rsidRPr="00917BBC">
              <w:rPr>
                <w:rFonts w:ascii="Calibri" w:hAnsi="Calibri" w:cs="Calibri"/>
              </w:rPr>
              <w:t xml:space="preserve">Patients received 4 cycles of IV pembrolizumab or placebo once every 3 weeks + paclitaxel + carboplatin, </w:t>
            </w:r>
            <w:r w:rsidRPr="00917BBC">
              <w:rPr>
                <w:rFonts w:ascii="Calibri" w:hAnsi="Calibri" w:cs="Calibri"/>
                <w:b/>
                <w:bCs/>
                <w:i/>
                <w:iCs/>
              </w:rPr>
              <w:t>followed by</w:t>
            </w:r>
            <w:r w:rsidRPr="00917BBC">
              <w:rPr>
                <w:rFonts w:ascii="Calibri" w:hAnsi="Calibri" w:cs="Calibri"/>
              </w:rPr>
              <w:t xml:space="preserve"> 4 cycles of pembrolizumab or placebo plus </w:t>
            </w:r>
            <w:r w:rsidRPr="00917BBC">
              <w:rPr>
                <w:rFonts w:ascii="Calibri" w:hAnsi="Calibri" w:cs="Calibri"/>
              </w:rPr>
              <w:lastRenderedPageBreak/>
              <w:t>doxorubicin/epirubicin + cyclophosphamide every 3 weeks in the subsequent 12 weeks.</w:t>
            </w:r>
          </w:p>
        </w:tc>
        <w:tc>
          <w:tcPr>
            <w:tcW w:w="3537" w:type="dxa"/>
            <w:vAlign w:val="center"/>
            <w:hideMark/>
          </w:tcPr>
          <w:p w14:paraId="7BD3E585" w14:textId="77777777" w:rsidR="001C7844" w:rsidRPr="00917BBC" w:rsidRDefault="001C7844" w:rsidP="00FB59FB">
            <w:pPr>
              <w:spacing w:line="480" w:lineRule="auto"/>
              <w:rPr>
                <w:rFonts w:ascii="Calibri" w:hAnsi="Calibri" w:cs="Calibri"/>
              </w:rPr>
            </w:pPr>
            <w:r w:rsidRPr="00917BBC">
              <w:rPr>
                <w:rFonts w:ascii="Calibri" w:hAnsi="Calibri" w:cs="Calibri"/>
              </w:rPr>
              <w:lastRenderedPageBreak/>
              <w:t>Pembrolizumab plus chemotherapy versus chemotherapy alone.</w:t>
            </w:r>
          </w:p>
          <w:p w14:paraId="0B1906A5" w14:textId="77777777" w:rsidR="001C7844" w:rsidRPr="00917BBC" w:rsidRDefault="001C7844" w:rsidP="00FB59FB">
            <w:pPr>
              <w:spacing w:line="480" w:lineRule="auto"/>
              <w:rPr>
                <w:rFonts w:ascii="Calibri" w:hAnsi="Calibri" w:cs="Calibri"/>
              </w:rPr>
            </w:pPr>
          </w:p>
          <w:p w14:paraId="5A20AE00" w14:textId="77777777" w:rsidR="001C7844" w:rsidRPr="00917BBC" w:rsidRDefault="001C7844" w:rsidP="00FB59FB">
            <w:pPr>
              <w:spacing w:line="480" w:lineRule="auto"/>
              <w:rPr>
                <w:rFonts w:ascii="Calibri" w:hAnsi="Calibri" w:cs="Calibri"/>
              </w:rPr>
            </w:pPr>
            <w:r w:rsidRPr="00917BBC">
              <w:rPr>
                <w:rFonts w:ascii="Calibri" w:hAnsi="Calibri" w:cs="Calibri"/>
              </w:rPr>
              <w:t xml:space="preserve">For pembrolizumab arm: patients received 4 cycles of IV pembrolizumab + paclitaxel + carboplatin every 3 weeks, </w:t>
            </w:r>
            <w:r w:rsidRPr="00917BBC">
              <w:rPr>
                <w:rFonts w:ascii="Calibri" w:hAnsi="Calibri" w:cs="Calibri"/>
                <w:b/>
                <w:bCs/>
                <w:i/>
                <w:iCs/>
              </w:rPr>
              <w:t>followed by</w:t>
            </w:r>
            <w:r w:rsidRPr="00917BBC">
              <w:rPr>
                <w:rFonts w:ascii="Calibri" w:hAnsi="Calibri" w:cs="Calibri"/>
              </w:rPr>
              <w:t xml:space="preserve"> 4 cycles of </w:t>
            </w:r>
            <w:r w:rsidRPr="00917BBC">
              <w:rPr>
                <w:rFonts w:ascii="Calibri" w:hAnsi="Calibri" w:cs="Calibri"/>
              </w:rPr>
              <w:lastRenderedPageBreak/>
              <w:t>pembrolizumab + doxorubicin+ cyclophosphamide every 3 weeks in the subsequent 12 weeks</w:t>
            </w:r>
          </w:p>
          <w:p w14:paraId="32C00979" w14:textId="77777777" w:rsidR="001C7844" w:rsidRPr="00917BBC" w:rsidRDefault="001C7844" w:rsidP="00FB59FB">
            <w:pPr>
              <w:spacing w:line="480" w:lineRule="auto"/>
              <w:rPr>
                <w:rFonts w:ascii="Calibri" w:hAnsi="Calibri" w:cs="Calibri"/>
              </w:rPr>
            </w:pPr>
          </w:p>
          <w:p w14:paraId="0C3827C6" w14:textId="77777777" w:rsidR="001C7844" w:rsidRPr="00917BBC" w:rsidRDefault="001C7844" w:rsidP="00FB59FB">
            <w:pPr>
              <w:spacing w:line="480" w:lineRule="auto"/>
              <w:rPr>
                <w:rFonts w:ascii="Calibri" w:hAnsi="Calibri" w:cs="Calibri"/>
              </w:rPr>
            </w:pPr>
            <w:r w:rsidRPr="00917BBC">
              <w:rPr>
                <w:rFonts w:ascii="Calibri" w:hAnsi="Calibri" w:cs="Calibri"/>
              </w:rPr>
              <w:t>For chemotherapy arm: patients received anthracycline-based therapy: dominantly 4AC (in 12 weeks)-4T (in 12 weeks), or dose-dense 4AC (in 8 weeks)-4T (in 8 weeks).</w:t>
            </w:r>
          </w:p>
        </w:tc>
      </w:tr>
      <w:tr w:rsidR="001C7844" w:rsidRPr="00917BBC" w14:paraId="5E42771C" w14:textId="77777777" w:rsidTr="00FB59FB">
        <w:tc>
          <w:tcPr>
            <w:tcW w:w="0" w:type="auto"/>
            <w:vAlign w:val="center"/>
            <w:hideMark/>
          </w:tcPr>
          <w:p w14:paraId="6A2BE190"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lastRenderedPageBreak/>
              <w:t>Treatment assignment</w:t>
            </w:r>
          </w:p>
        </w:tc>
        <w:tc>
          <w:tcPr>
            <w:tcW w:w="3595" w:type="dxa"/>
            <w:vAlign w:val="center"/>
            <w:hideMark/>
          </w:tcPr>
          <w:p w14:paraId="30793BDD" w14:textId="77777777" w:rsidR="001C7844" w:rsidRPr="00917BBC" w:rsidRDefault="001C7844" w:rsidP="00FB59FB">
            <w:pPr>
              <w:spacing w:line="480" w:lineRule="auto"/>
              <w:rPr>
                <w:rFonts w:ascii="Calibri" w:hAnsi="Calibri" w:cs="Calibri"/>
              </w:rPr>
            </w:pPr>
            <w:r w:rsidRPr="00917BBC">
              <w:rPr>
                <w:rFonts w:ascii="Calibri" w:hAnsi="Calibri" w:cs="Calibri"/>
              </w:rPr>
              <w:t>Randomized allocation.</w:t>
            </w:r>
          </w:p>
        </w:tc>
        <w:tc>
          <w:tcPr>
            <w:tcW w:w="3537" w:type="dxa"/>
            <w:vAlign w:val="center"/>
            <w:hideMark/>
          </w:tcPr>
          <w:p w14:paraId="35FA4C00" w14:textId="77777777" w:rsidR="001C7844" w:rsidRPr="00917BBC" w:rsidRDefault="001C7844" w:rsidP="00FB59FB">
            <w:pPr>
              <w:spacing w:line="480" w:lineRule="auto"/>
              <w:rPr>
                <w:rFonts w:ascii="Calibri" w:hAnsi="Calibri" w:cs="Calibri"/>
              </w:rPr>
            </w:pPr>
            <w:r w:rsidRPr="00917BBC">
              <w:rPr>
                <w:rFonts w:ascii="Calibri" w:hAnsi="Calibri" w:cs="Calibri"/>
              </w:rPr>
              <w:t>Non-randomized treatment selection in routine clinical practice.</w:t>
            </w:r>
          </w:p>
        </w:tc>
      </w:tr>
      <w:tr w:rsidR="001C7844" w:rsidRPr="00917BBC" w14:paraId="110E5180" w14:textId="77777777" w:rsidTr="00FB59FB">
        <w:tc>
          <w:tcPr>
            <w:tcW w:w="0" w:type="auto"/>
            <w:vAlign w:val="center"/>
            <w:hideMark/>
          </w:tcPr>
          <w:p w14:paraId="36E06894"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Time zero</w:t>
            </w:r>
          </w:p>
        </w:tc>
        <w:tc>
          <w:tcPr>
            <w:tcW w:w="3595" w:type="dxa"/>
            <w:vAlign w:val="center"/>
            <w:hideMark/>
          </w:tcPr>
          <w:p w14:paraId="5A18D5D3" w14:textId="77777777" w:rsidR="001C7844" w:rsidRPr="00917BBC" w:rsidRDefault="001C7844" w:rsidP="00FB59FB">
            <w:pPr>
              <w:spacing w:line="480" w:lineRule="auto"/>
              <w:rPr>
                <w:rFonts w:ascii="Calibri" w:hAnsi="Calibri" w:cs="Calibri"/>
              </w:rPr>
            </w:pPr>
            <w:r w:rsidRPr="00917BBC">
              <w:rPr>
                <w:rFonts w:ascii="Calibri" w:hAnsi="Calibri" w:cs="Calibri"/>
              </w:rPr>
              <w:t>Initiation of neoadjuvant treatment.</w:t>
            </w:r>
          </w:p>
        </w:tc>
        <w:tc>
          <w:tcPr>
            <w:tcW w:w="3537" w:type="dxa"/>
            <w:vAlign w:val="center"/>
            <w:hideMark/>
          </w:tcPr>
          <w:p w14:paraId="05CFD440" w14:textId="77777777" w:rsidR="001C7844" w:rsidRPr="00917BBC" w:rsidRDefault="001C7844" w:rsidP="00FB59FB">
            <w:pPr>
              <w:spacing w:line="480" w:lineRule="auto"/>
              <w:rPr>
                <w:rFonts w:ascii="Calibri" w:hAnsi="Calibri" w:cs="Calibri"/>
              </w:rPr>
            </w:pPr>
            <w:r w:rsidRPr="00917BBC">
              <w:rPr>
                <w:rFonts w:ascii="Calibri" w:hAnsi="Calibri" w:cs="Calibri"/>
              </w:rPr>
              <w:t>Initiation of neoadjuvant treatment.</w:t>
            </w:r>
          </w:p>
        </w:tc>
      </w:tr>
      <w:tr w:rsidR="001C7844" w:rsidRPr="00917BBC" w14:paraId="68344AF1" w14:textId="77777777" w:rsidTr="00FB59FB">
        <w:tc>
          <w:tcPr>
            <w:tcW w:w="0" w:type="auto"/>
            <w:vAlign w:val="center"/>
            <w:hideMark/>
          </w:tcPr>
          <w:p w14:paraId="6D596274"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Follow-up</w:t>
            </w:r>
          </w:p>
        </w:tc>
        <w:tc>
          <w:tcPr>
            <w:tcW w:w="3595" w:type="dxa"/>
            <w:vAlign w:val="center"/>
            <w:hideMark/>
          </w:tcPr>
          <w:p w14:paraId="1922FCDF" w14:textId="77777777" w:rsidR="001C7844" w:rsidRPr="00917BBC" w:rsidRDefault="001C7844" w:rsidP="00FB59FB">
            <w:pPr>
              <w:spacing w:line="480" w:lineRule="auto"/>
              <w:rPr>
                <w:rFonts w:ascii="Calibri" w:hAnsi="Calibri" w:cs="Calibri"/>
              </w:rPr>
            </w:pPr>
            <w:r w:rsidRPr="00917BBC">
              <w:rPr>
                <w:rFonts w:ascii="Calibri" w:hAnsi="Calibri" w:cs="Calibri"/>
              </w:rPr>
              <w:t>Treatment initiation to surgery for pCR.</w:t>
            </w:r>
          </w:p>
        </w:tc>
        <w:tc>
          <w:tcPr>
            <w:tcW w:w="3537" w:type="dxa"/>
            <w:vAlign w:val="center"/>
            <w:hideMark/>
          </w:tcPr>
          <w:p w14:paraId="6E4BACE2" w14:textId="77777777" w:rsidR="001C7844" w:rsidRPr="00917BBC" w:rsidRDefault="001C7844" w:rsidP="00FB59FB">
            <w:pPr>
              <w:spacing w:line="480" w:lineRule="auto"/>
              <w:rPr>
                <w:rFonts w:ascii="Calibri" w:hAnsi="Calibri" w:cs="Calibri"/>
              </w:rPr>
            </w:pPr>
            <w:r w:rsidRPr="00917BBC">
              <w:rPr>
                <w:rFonts w:ascii="Calibri" w:hAnsi="Calibri" w:cs="Calibri"/>
              </w:rPr>
              <w:t>Treatment initiation to surgery for pCR.</w:t>
            </w:r>
          </w:p>
        </w:tc>
      </w:tr>
      <w:tr w:rsidR="001C7844" w:rsidRPr="00917BBC" w14:paraId="3BF39424" w14:textId="77777777" w:rsidTr="00FB59FB">
        <w:tc>
          <w:tcPr>
            <w:tcW w:w="0" w:type="auto"/>
            <w:vAlign w:val="center"/>
            <w:hideMark/>
          </w:tcPr>
          <w:p w14:paraId="392BEEAC"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Outcome</w:t>
            </w:r>
          </w:p>
        </w:tc>
        <w:tc>
          <w:tcPr>
            <w:tcW w:w="3595" w:type="dxa"/>
            <w:vAlign w:val="center"/>
            <w:hideMark/>
          </w:tcPr>
          <w:p w14:paraId="656FFE45" w14:textId="77777777" w:rsidR="001C7844" w:rsidRPr="00917BBC" w:rsidRDefault="001C7844" w:rsidP="00FB59FB">
            <w:pPr>
              <w:spacing w:line="480" w:lineRule="auto"/>
              <w:rPr>
                <w:rFonts w:ascii="Calibri" w:hAnsi="Calibri" w:cs="Calibri"/>
              </w:rPr>
            </w:pPr>
            <w:r w:rsidRPr="00917BBC">
              <w:rPr>
                <w:rFonts w:ascii="Calibri" w:hAnsi="Calibri" w:cs="Calibri"/>
              </w:rPr>
              <w:t>Pathological complete response (pCR), defined as ypT0/Tis ypN0.</w:t>
            </w:r>
          </w:p>
        </w:tc>
        <w:tc>
          <w:tcPr>
            <w:tcW w:w="3537" w:type="dxa"/>
            <w:vAlign w:val="center"/>
            <w:hideMark/>
          </w:tcPr>
          <w:p w14:paraId="147A8957" w14:textId="77777777" w:rsidR="001C7844" w:rsidRPr="00917BBC" w:rsidRDefault="001C7844" w:rsidP="00FB59FB">
            <w:pPr>
              <w:spacing w:line="480" w:lineRule="auto"/>
              <w:rPr>
                <w:rFonts w:ascii="Calibri" w:hAnsi="Calibri" w:cs="Calibri"/>
              </w:rPr>
            </w:pPr>
            <w:r w:rsidRPr="00917BBC">
              <w:rPr>
                <w:rFonts w:ascii="Calibri" w:hAnsi="Calibri" w:cs="Calibri"/>
              </w:rPr>
              <w:t>pCR defined as ypT0/Tis ypN0.</w:t>
            </w:r>
          </w:p>
        </w:tc>
      </w:tr>
      <w:tr w:rsidR="001C7844" w:rsidRPr="00917BBC" w14:paraId="0E02B4D9" w14:textId="77777777" w:rsidTr="00FB59FB">
        <w:tc>
          <w:tcPr>
            <w:tcW w:w="0" w:type="auto"/>
            <w:vAlign w:val="center"/>
            <w:hideMark/>
          </w:tcPr>
          <w:p w14:paraId="0A86F223"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Causal contrast</w:t>
            </w:r>
          </w:p>
        </w:tc>
        <w:tc>
          <w:tcPr>
            <w:tcW w:w="3595" w:type="dxa"/>
            <w:vAlign w:val="center"/>
            <w:hideMark/>
          </w:tcPr>
          <w:p w14:paraId="7603E002" w14:textId="77777777" w:rsidR="001C7844" w:rsidRPr="00917BBC" w:rsidRDefault="001C7844" w:rsidP="00FB59FB">
            <w:pPr>
              <w:spacing w:line="480" w:lineRule="auto"/>
              <w:rPr>
                <w:rFonts w:ascii="Calibri" w:hAnsi="Calibri" w:cs="Calibri"/>
              </w:rPr>
            </w:pPr>
            <w:r w:rsidRPr="00917BBC">
              <w:rPr>
                <w:rFonts w:ascii="Calibri" w:hAnsi="Calibri" w:cs="Calibri"/>
              </w:rPr>
              <w:t>Intention-to-treat effect.</w:t>
            </w:r>
          </w:p>
        </w:tc>
        <w:tc>
          <w:tcPr>
            <w:tcW w:w="3537" w:type="dxa"/>
            <w:vAlign w:val="center"/>
            <w:hideMark/>
          </w:tcPr>
          <w:p w14:paraId="0DB5AEE1" w14:textId="77777777" w:rsidR="001C7844" w:rsidRPr="00917BBC" w:rsidRDefault="001C7844" w:rsidP="00FB59FB">
            <w:pPr>
              <w:spacing w:line="480" w:lineRule="auto"/>
              <w:rPr>
                <w:rFonts w:ascii="Calibri" w:hAnsi="Calibri" w:cs="Calibri"/>
              </w:rPr>
            </w:pPr>
            <w:r w:rsidRPr="00917BBC">
              <w:rPr>
                <w:rFonts w:ascii="Calibri" w:hAnsi="Calibri" w:cs="Calibri"/>
              </w:rPr>
              <w:t>Intention-to-treat analysis.</w:t>
            </w:r>
          </w:p>
        </w:tc>
      </w:tr>
      <w:tr w:rsidR="001C7844" w:rsidRPr="00917BBC" w14:paraId="5253786D" w14:textId="77777777" w:rsidTr="00FB59FB">
        <w:tc>
          <w:tcPr>
            <w:tcW w:w="0" w:type="auto"/>
            <w:vAlign w:val="center"/>
            <w:hideMark/>
          </w:tcPr>
          <w:p w14:paraId="18E0AAC6"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lastRenderedPageBreak/>
              <w:t>Confounding control</w:t>
            </w:r>
          </w:p>
        </w:tc>
        <w:tc>
          <w:tcPr>
            <w:tcW w:w="3595" w:type="dxa"/>
            <w:vAlign w:val="center"/>
            <w:hideMark/>
          </w:tcPr>
          <w:p w14:paraId="7E041B68" w14:textId="77777777" w:rsidR="001C7844" w:rsidRPr="00917BBC" w:rsidRDefault="001C7844" w:rsidP="00FB59FB">
            <w:pPr>
              <w:spacing w:line="480" w:lineRule="auto"/>
              <w:rPr>
                <w:rFonts w:ascii="Calibri" w:hAnsi="Calibri" w:cs="Calibri"/>
              </w:rPr>
            </w:pPr>
            <w:r w:rsidRPr="00917BBC">
              <w:rPr>
                <w:rFonts w:ascii="Calibri" w:hAnsi="Calibri" w:cs="Calibri"/>
              </w:rPr>
              <w:t>Randomization.</w:t>
            </w:r>
          </w:p>
        </w:tc>
        <w:tc>
          <w:tcPr>
            <w:tcW w:w="3537" w:type="dxa"/>
            <w:vAlign w:val="center"/>
            <w:hideMark/>
          </w:tcPr>
          <w:p w14:paraId="7E9C6ECC" w14:textId="77777777" w:rsidR="001C7844" w:rsidRPr="00917BBC" w:rsidRDefault="001C7844" w:rsidP="00FB59FB">
            <w:pPr>
              <w:spacing w:line="480" w:lineRule="auto"/>
              <w:rPr>
                <w:rFonts w:ascii="Calibri" w:hAnsi="Calibri" w:cs="Calibri"/>
              </w:rPr>
            </w:pPr>
            <w:r w:rsidRPr="00917BBC">
              <w:rPr>
                <w:rFonts w:ascii="Calibri" w:hAnsi="Calibri" w:cs="Calibri"/>
              </w:rPr>
              <w:t>Adjustment for prespecified baseline confounders identified using a DAG.</w:t>
            </w:r>
          </w:p>
        </w:tc>
      </w:tr>
      <w:tr w:rsidR="001C7844" w:rsidRPr="00917BBC" w14:paraId="2A78BDFD" w14:textId="77777777" w:rsidTr="00FB59FB">
        <w:tc>
          <w:tcPr>
            <w:tcW w:w="0" w:type="auto"/>
            <w:vAlign w:val="center"/>
            <w:hideMark/>
          </w:tcPr>
          <w:p w14:paraId="673FD239"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Statistical analysis</w:t>
            </w:r>
          </w:p>
        </w:tc>
        <w:tc>
          <w:tcPr>
            <w:tcW w:w="3595" w:type="dxa"/>
            <w:vAlign w:val="center"/>
            <w:hideMark/>
          </w:tcPr>
          <w:p w14:paraId="1670D2BD" w14:textId="77777777" w:rsidR="001C7844" w:rsidRPr="00917BBC" w:rsidRDefault="001C7844" w:rsidP="00FB59FB">
            <w:pPr>
              <w:spacing w:line="480" w:lineRule="auto"/>
              <w:rPr>
                <w:rFonts w:ascii="Calibri" w:hAnsi="Calibri" w:cs="Calibri"/>
              </w:rPr>
            </w:pPr>
            <w:r w:rsidRPr="00917BBC">
              <w:rPr>
                <w:rFonts w:ascii="Calibri" w:hAnsi="Calibri" w:cs="Calibri"/>
              </w:rPr>
              <w:t>Comparison between randomized groups.</w:t>
            </w:r>
          </w:p>
        </w:tc>
        <w:tc>
          <w:tcPr>
            <w:tcW w:w="3537" w:type="dxa"/>
            <w:vAlign w:val="center"/>
            <w:hideMark/>
          </w:tcPr>
          <w:p w14:paraId="01516412" w14:textId="77777777" w:rsidR="001C7844" w:rsidRPr="00917BBC" w:rsidRDefault="001C7844" w:rsidP="00FB59FB">
            <w:pPr>
              <w:spacing w:line="480" w:lineRule="auto"/>
              <w:rPr>
                <w:rFonts w:ascii="Calibri" w:hAnsi="Calibri" w:cs="Calibri"/>
              </w:rPr>
            </w:pPr>
            <w:r w:rsidRPr="00917BBC">
              <w:rPr>
                <w:rFonts w:ascii="Calibri" w:hAnsi="Calibri" w:cs="Calibri"/>
              </w:rPr>
              <w:t>IPTW combined with doubly robust g-computation.</w:t>
            </w:r>
          </w:p>
        </w:tc>
      </w:tr>
      <w:tr w:rsidR="001C7844" w:rsidRPr="00917BBC" w14:paraId="00C24CAD" w14:textId="77777777" w:rsidTr="00FB59FB">
        <w:tc>
          <w:tcPr>
            <w:tcW w:w="0" w:type="auto"/>
            <w:vAlign w:val="center"/>
            <w:hideMark/>
          </w:tcPr>
          <w:p w14:paraId="751D5645"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Estimand</w:t>
            </w:r>
          </w:p>
        </w:tc>
        <w:tc>
          <w:tcPr>
            <w:tcW w:w="3595" w:type="dxa"/>
            <w:vAlign w:val="center"/>
            <w:hideMark/>
          </w:tcPr>
          <w:p w14:paraId="018385BA" w14:textId="77777777" w:rsidR="001C7844" w:rsidRPr="00917BBC" w:rsidRDefault="001C7844" w:rsidP="00FB59FB">
            <w:pPr>
              <w:spacing w:line="480" w:lineRule="auto"/>
              <w:rPr>
                <w:rFonts w:ascii="Calibri" w:hAnsi="Calibri" w:cs="Calibri"/>
              </w:rPr>
            </w:pPr>
            <w:r w:rsidRPr="00917BBC">
              <w:rPr>
                <w:rFonts w:ascii="Calibri" w:hAnsi="Calibri" w:cs="Calibri"/>
              </w:rPr>
              <w:t xml:space="preserve">The difference in the probability of pCR </w:t>
            </w:r>
            <w:proofErr w:type="gramStart"/>
            <w:r w:rsidRPr="00917BBC">
              <w:rPr>
                <w:rFonts w:ascii="Calibri" w:hAnsi="Calibri" w:cs="Calibri"/>
              </w:rPr>
              <w:t>if</w:t>
            </w:r>
            <w:proofErr w:type="gramEnd"/>
            <w:r w:rsidRPr="00917BBC">
              <w:rPr>
                <w:rFonts w:ascii="Calibri" w:hAnsi="Calibri" w:cs="Calibri"/>
              </w:rPr>
              <w:t xml:space="preserve"> all eligible patients were assigned to pembrolizumab plus chemotherapy versus placebo plus chemotherapy.</w:t>
            </w:r>
          </w:p>
        </w:tc>
        <w:tc>
          <w:tcPr>
            <w:tcW w:w="3537" w:type="dxa"/>
            <w:vAlign w:val="center"/>
            <w:hideMark/>
          </w:tcPr>
          <w:p w14:paraId="2DADD49D" w14:textId="77777777" w:rsidR="001C7844" w:rsidRPr="00917BBC" w:rsidRDefault="001C7844" w:rsidP="00FB59FB">
            <w:pPr>
              <w:spacing w:line="480" w:lineRule="auto"/>
              <w:rPr>
                <w:rFonts w:ascii="Calibri" w:hAnsi="Calibri" w:cs="Calibri"/>
              </w:rPr>
            </w:pPr>
            <w:r w:rsidRPr="00917BBC">
              <w:rPr>
                <w:rFonts w:ascii="Calibri" w:hAnsi="Calibri" w:cs="Calibri"/>
              </w:rPr>
              <w:t>Average treatment effect (ATE): the expected difference in pCR if all eligible patients received pembrolizumab-based therapy versus chemotherapy alone.</w:t>
            </w:r>
          </w:p>
        </w:tc>
      </w:tr>
      <w:tr w:rsidR="001C7844" w:rsidRPr="00917BBC" w14:paraId="2FC1D51C" w14:textId="77777777" w:rsidTr="00FB59FB">
        <w:tc>
          <w:tcPr>
            <w:tcW w:w="0" w:type="auto"/>
            <w:vAlign w:val="center"/>
            <w:hideMark/>
          </w:tcPr>
          <w:p w14:paraId="39044C52"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t>Exploratory analyses</w:t>
            </w:r>
          </w:p>
        </w:tc>
        <w:tc>
          <w:tcPr>
            <w:tcW w:w="3595" w:type="dxa"/>
            <w:vAlign w:val="center"/>
            <w:hideMark/>
          </w:tcPr>
          <w:p w14:paraId="74F0C236" w14:textId="77777777" w:rsidR="001C7844" w:rsidRPr="00917BBC" w:rsidRDefault="001C7844" w:rsidP="00FB59FB">
            <w:pPr>
              <w:spacing w:line="480" w:lineRule="auto"/>
              <w:rPr>
                <w:rFonts w:ascii="Calibri" w:hAnsi="Calibri" w:cs="Calibri"/>
              </w:rPr>
            </w:pPr>
            <w:r w:rsidRPr="00917BBC">
              <w:rPr>
                <w:rFonts w:ascii="Calibri" w:hAnsi="Calibri" w:cs="Calibri"/>
              </w:rPr>
              <w:t xml:space="preserve">Subgroup analysis for: PD-L1 status (≥1 and &lt;1), </w:t>
            </w:r>
          </w:p>
          <w:p w14:paraId="53578C33" w14:textId="77777777" w:rsidR="001C7844" w:rsidRPr="00917BBC" w:rsidRDefault="001C7844" w:rsidP="00FB59FB">
            <w:pPr>
              <w:spacing w:line="480" w:lineRule="auto"/>
              <w:rPr>
                <w:rFonts w:ascii="Calibri" w:hAnsi="Calibri" w:cs="Calibri"/>
              </w:rPr>
            </w:pPr>
            <w:r w:rsidRPr="00917BBC">
              <w:rPr>
                <w:rFonts w:ascii="Calibri" w:hAnsi="Calibri" w:cs="Calibri"/>
              </w:rPr>
              <w:t>nodal status (N+ and N−),</w:t>
            </w:r>
          </w:p>
          <w:p w14:paraId="60AA60A9" w14:textId="77777777" w:rsidR="001C7844" w:rsidRPr="00917BBC" w:rsidRDefault="001C7844" w:rsidP="00FB59FB">
            <w:pPr>
              <w:spacing w:line="480" w:lineRule="auto"/>
              <w:rPr>
                <w:rFonts w:ascii="Calibri" w:hAnsi="Calibri" w:cs="Calibri"/>
              </w:rPr>
            </w:pPr>
            <w:r w:rsidRPr="00917BBC">
              <w:rPr>
                <w:rFonts w:ascii="Calibri" w:hAnsi="Calibri" w:cs="Calibri"/>
              </w:rPr>
              <w:t>tumor size (T1/T2 and T3/T4),</w:t>
            </w:r>
          </w:p>
          <w:p w14:paraId="034B0EF6" w14:textId="77777777" w:rsidR="001C7844" w:rsidRPr="00917BBC" w:rsidRDefault="001C7844" w:rsidP="00FB59FB">
            <w:pPr>
              <w:spacing w:line="480" w:lineRule="auto"/>
              <w:rPr>
                <w:rFonts w:ascii="Calibri" w:hAnsi="Calibri" w:cs="Calibri"/>
              </w:rPr>
            </w:pPr>
            <w:r w:rsidRPr="00917BBC">
              <w:rPr>
                <w:rFonts w:ascii="Calibri" w:hAnsi="Calibri" w:cs="Calibri"/>
              </w:rPr>
              <w:t>stage (II and III), age (&lt;65 and ≥65), ECOG (0 and 1), carboplatin schedule (weekly and q3w)</w:t>
            </w:r>
          </w:p>
        </w:tc>
        <w:tc>
          <w:tcPr>
            <w:tcW w:w="3537" w:type="dxa"/>
            <w:vAlign w:val="center"/>
            <w:hideMark/>
          </w:tcPr>
          <w:p w14:paraId="7189A57E" w14:textId="77777777" w:rsidR="001C7844" w:rsidRPr="00917BBC" w:rsidRDefault="001C7844" w:rsidP="00FB59FB">
            <w:pPr>
              <w:spacing w:line="480" w:lineRule="auto"/>
              <w:rPr>
                <w:rFonts w:ascii="Calibri" w:hAnsi="Calibri" w:cs="Calibri"/>
              </w:rPr>
            </w:pPr>
            <w:r w:rsidRPr="00917BBC">
              <w:rPr>
                <w:rFonts w:ascii="Calibri" w:hAnsi="Calibri" w:cs="Calibri"/>
              </w:rPr>
              <w:t>Subgroup analysis for: nodal status (N+ and N−),</w:t>
            </w:r>
          </w:p>
          <w:p w14:paraId="489EC078" w14:textId="77777777" w:rsidR="001C7844" w:rsidRPr="00917BBC" w:rsidRDefault="001C7844" w:rsidP="00FB59FB">
            <w:pPr>
              <w:spacing w:line="480" w:lineRule="auto"/>
              <w:rPr>
                <w:rFonts w:ascii="Calibri" w:hAnsi="Calibri" w:cs="Calibri"/>
              </w:rPr>
            </w:pPr>
            <w:r w:rsidRPr="00917BBC">
              <w:rPr>
                <w:rFonts w:ascii="Calibri" w:hAnsi="Calibri" w:cs="Calibri"/>
              </w:rPr>
              <w:t>tumor size (T1/T2 and T3/T4),</w:t>
            </w:r>
          </w:p>
          <w:p w14:paraId="0D4AA984" w14:textId="77777777" w:rsidR="001C7844" w:rsidRPr="00917BBC" w:rsidRDefault="001C7844" w:rsidP="00FB59FB">
            <w:pPr>
              <w:spacing w:line="480" w:lineRule="auto"/>
              <w:rPr>
                <w:rFonts w:ascii="Calibri" w:hAnsi="Calibri" w:cs="Calibri"/>
              </w:rPr>
            </w:pPr>
            <w:r w:rsidRPr="00917BBC">
              <w:rPr>
                <w:rFonts w:ascii="Calibri" w:hAnsi="Calibri" w:cs="Calibri"/>
              </w:rPr>
              <w:t>stage (II and III), age (&lt;50 and ≥50), menopausal status (pre- and post-menopause), Ki67 (&lt;70% and ≥70%), HER2 status (zero and low)</w:t>
            </w:r>
          </w:p>
          <w:p w14:paraId="0455F257" w14:textId="77777777" w:rsidR="001C7844" w:rsidRPr="00917BBC" w:rsidRDefault="001C7844" w:rsidP="00FB59FB">
            <w:pPr>
              <w:spacing w:line="480" w:lineRule="auto"/>
              <w:rPr>
                <w:rFonts w:ascii="Calibri" w:hAnsi="Calibri" w:cs="Calibri"/>
              </w:rPr>
            </w:pPr>
          </w:p>
          <w:p w14:paraId="703EAEB9" w14:textId="77777777" w:rsidR="001C7844" w:rsidRPr="00917BBC" w:rsidRDefault="001C7844" w:rsidP="00FB59FB">
            <w:pPr>
              <w:spacing w:line="480" w:lineRule="auto"/>
              <w:rPr>
                <w:rFonts w:ascii="Calibri" w:hAnsi="Calibri" w:cs="Calibri"/>
              </w:rPr>
            </w:pPr>
            <w:r w:rsidRPr="00917BBC">
              <w:rPr>
                <w:rFonts w:ascii="Calibri" w:hAnsi="Calibri" w:cs="Calibri"/>
              </w:rPr>
              <w:t xml:space="preserve">Sensitivity analysis: ATT weighting, exclusion of treatment </w:t>
            </w:r>
            <w:r w:rsidRPr="00917BBC">
              <w:rPr>
                <w:rFonts w:ascii="Calibri" w:hAnsi="Calibri" w:cs="Calibri"/>
              </w:rPr>
              <w:lastRenderedPageBreak/>
              <w:t>discontinuation, and treatment-year adjustment.</w:t>
            </w:r>
          </w:p>
        </w:tc>
      </w:tr>
    </w:tbl>
    <w:p w14:paraId="3A196E36" w14:textId="77777777" w:rsidR="001C7844" w:rsidRPr="00917BBC" w:rsidRDefault="001C7844" w:rsidP="001C7844">
      <w:pPr>
        <w:spacing w:line="480" w:lineRule="auto"/>
        <w:jc w:val="center"/>
        <w:rPr>
          <w:rFonts w:ascii="Calibri" w:hAnsi="Calibri" w:cs="Calibri"/>
          <w:b/>
          <w:bCs/>
        </w:rPr>
      </w:pPr>
      <w:r w:rsidRPr="00917BBC">
        <w:rPr>
          <w:rFonts w:ascii="Calibri" w:hAnsi="Calibri" w:cs="Calibri"/>
          <w:noProof/>
        </w:rPr>
        <w:lastRenderedPageBreak/>
        <w:drawing>
          <wp:inline distT="0" distB="0" distL="0" distR="0" wp14:anchorId="3DD8E847" wp14:editId="4553D3A5">
            <wp:extent cx="5579745" cy="4046827"/>
            <wp:effectExtent l="0" t="0" r="1905" b="0"/>
            <wp:docPr id="2005446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15590"/>
                    <a:stretch>
                      <a:fillRect/>
                    </a:stretch>
                  </pic:blipFill>
                  <pic:spPr bwMode="auto">
                    <a:xfrm>
                      <a:off x="0" y="0"/>
                      <a:ext cx="5579745" cy="4046827"/>
                    </a:xfrm>
                    <a:prstGeom prst="rect">
                      <a:avLst/>
                    </a:prstGeom>
                    <a:noFill/>
                    <a:ln>
                      <a:noFill/>
                    </a:ln>
                    <a:extLst>
                      <a:ext uri="{53640926-AAD7-44D8-BBD7-CCE9431645EC}">
                        <a14:shadowObscured xmlns:a14="http://schemas.microsoft.com/office/drawing/2010/main"/>
                      </a:ext>
                    </a:extLst>
                  </pic:spPr>
                </pic:pic>
              </a:graphicData>
            </a:graphic>
          </wp:inline>
        </w:drawing>
      </w:r>
    </w:p>
    <w:p w14:paraId="7CA5DBB0" w14:textId="67DF1376" w:rsidR="001C7844" w:rsidRPr="00917BBC" w:rsidRDefault="00881029" w:rsidP="001C7844">
      <w:pPr>
        <w:spacing w:line="480" w:lineRule="auto"/>
        <w:jc w:val="center"/>
        <w:rPr>
          <w:rFonts w:ascii="Calibri" w:hAnsi="Calibri" w:cs="Calibri"/>
          <w:b/>
          <w:bCs/>
        </w:rPr>
      </w:pPr>
      <w:r w:rsidRPr="00917BBC">
        <w:rPr>
          <w:rFonts w:ascii="Calibri" w:hAnsi="Calibri" w:cs="Calibri"/>
          <w:b/>
          <w:bCs/>
        </w:rPr>
        <w:t>Fig</w:t>
      </w:r>
      <w:r>
        <w:rPr>
          <w:rFonts w:ascii="Calibri" w:hAnsi="Calibri" w:cs="Calibri"/>
          <w:b/>
          <w:bCs/>
        </w:rPr>
        <w:t>ure</w:t>
      </w:r>
      <w:r w:rsidRPr="00917BBC">
        <w:rPr>
          <w:rFonts w:ascii="Calibri" w:hAnsi="Calibri" w:cs="Calibri"/>
          <w:b/>
          <w:bCs/>
        </w:rPr>
        <w:t xml:space="preserve"> </w:t>
      </w:r>
      <w:r w:rsidR="001C7844" w:rsidRPr="00917BBC">
        <w:rPr>
          <w:rFonts w:ascii="Calibri" w:hAnsi="Calibri" w:cs="Calibri"/>
          <w:b/>
          <w:bCs/>
        </w:rPr>
        <w:t xml:space="preserve">S1. Directed acyclic graph used for confounder selection. </w:t>
      </w:r>
    </w:p>
    <w:p w14:paraId="01E9F97C" w14:textId="77777777" w:rsidR="001C7844" w:rsidRPr="00917BBC" w:rsidRDefault="001C7844" w:rsidP="001C7844">
      <w:pPr>
        <w:spacing w:line="480" w:lineRule="auto"/>
        <w:jc w:val="center"/>
        <w:rPr>
          <w:rFonts w:ascii="Calibri" w:hAnsi="Calibri" w:cs="Calibri"/>
          <w:b/>
          <w:bCs/>
        </w:rPr>
      </w:pPr>
      <w:r w:rsidRPr="00917BBC">
        <w:rPr>
          <w:rFonts w:ascii="Calibri" w:hAnsi="Calibri" w:cs="Calibri"/>
          <w:b/>
          <w:bCs/>
        </w:rPr>
        <w:t>Socioeconomic status (SES) and PD-L1 were unmeasured covariates</w:t>
      </w:r>
    </w:p>
    <w:p w14:paraId="0814B7FB" w14:textId="77777777" w:rsidR="001C7844" w:rsidRPr="00917BBC" w:rsidRDefault="001C7844" w:rsidP="001C7844">
      <w:pPr>
        <w:spacing w:line="480" w:lineRule="auto"/>
        <w:jc w:val="center"/>
        <w:rPr>
          <w:rFonts w:ascii="Calibri" w:hAnsi="Calibri" w:cs="Calibri"/>
          <w:b/>
          <w:bCs/>
        </w:rPr>
      </w:pPr>
    </w:p>
    <w:p w14:paraId="1DE2D8ED" w14:textId="77777777" w:rsidR="001C7844" w:rsidRPr="00917BBC" w:rsidRDefault="001C7844" w:rsidP="001C7844">
      <w:pPr>
        <w:spacing w:line="480" w:lineRule="auto"/>
        <w:jc w:val="both"/>
        <w:rPr>
          <w:rFonts w:ascii="Calibri" w:hAnsi="Calibri" w:cs="Calibri"/>
        </w:rPr>
      </w:pPr>
      <w:r w:rsidRPr="00917BBC">
        <w:rPr>
          <w:rFonts w:ascii="Calibri" w:hAnsi="Calibri" w:cs="Calibri"/>
          <w:b/>
          <w:bCs/>
          <w:i/>
          <w:iCs/>
        </w:rPr>
        <w:t>Comment:</w:t>
      </w:r>
      <w:r w:rsidRPr="00917BBC">
        <w:rPr>
          <w:rFonts w:ascii="Calibri" w:hAnsi="Calibri" w:cs="Calibri"/>
        </w:rPr>
        <w:t xml:space="preserve"> Socioeconomic status was not available for adjustment and may have influenced treatment selection. However, compared with biological factors such as PD-L1 expression, socioeconomic status is unlikely to be a strong determinant of pCR. Together with the robustness of the sensitivity analyses and quantitative bias analysis, this suggests that residual confounding from socioeconomic differences alone is unlikely to fully explain the observed treatment benefit.</w:t>
      </w:r>
    </w:p>
    <w:p w14:paraId="22A8C42C" w14:textId="77777777" w:rsidR="001C7844" w:rsidRPr="00917BBC" w:rsidRDefault="001C7844" w:rsidP="001C7844">
      <w:pPr>
        <w:spacing w:line="480" w:lineRule="auto"/>
        <w:jc w:val="center"/>
        <w:rPr>
          <w:rFonts w:ascii="Calibri" w:hAnsi="Calibri" w:cs="Calibri"/>
          <w:b/>
          <w:bCs/>
        </w:rPr>
      </w:pPr>
    </w:p>
    <w:p w14:paraId="3F7A8C89" w14:textId="77777777" w:rsidR="001C7844" w:rsidRPr="00917BBC" w:rsidRDefault="001C7844" w:rsidP="001C7844">
      <w:pPr>
        <w:spacing w:line="480" w:lineRule="auto"/>
        <w:jc w:val="center"/>
        <w:rPr>
          <w:rFonts w:ascii="Calibri" w:hAnsi="Calibri" w:cs="Calibri"/>
          <w:b/>
          <w:bCs/>
        </w:rPr>
      </w:pPr>
      <w:r w:rsidRPr="00917BBC">
        <w:rPr>
          <w:rFonts w:ascii="Calibri" w:hAnsi="Calibri" w:cs="Calibri"/>
          <w:b/>
          <w:bCs/>
          <w:noProof/>
        </w:rPr>
        <w:lastRenderedPageBreak/>
        <w:drawing>
          <wp:inline distT="0" distB="0" distL="0" distR="0" wp14:anchorId="3BEB3157" wp14:editId="48D0AC9F">
            <wp:extent cx="5364000" cy="3000245"/>
            <wp:effectExtent l="0" t="0" r="8255" b="0"/>
            <wp:docPr id="11038475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64000" cy="3000245"/>
                    </a:xfrm>
                    <a:prstGeom prst="rect">
                      <a:avLst/>
                    </a:prstGeom>
                    <a:noFill/>
                  </pic:spPr>
                </pic:pic>
              </a:graphicData>
            </a:graphic>
          </wp:inline>
        </w:drawing>
      </w:r>
    </w:p>
    <w:p w14:paraId="5B6E3CF8" w14:textId="77EB4825" w:rsidR="001C7844" w:rsidRDefault="00881029" w:rsidP="001C7844">
      <w:pPr>
        <w:spacing w:line="480" w:lineRule="auto"/>
        <w:jc w:val="center"/>
        <w:rPr>
          <w:rFonts w:ascii="Calibri" w:hAnsi="Calibri" w:cs="Calibri"/>
          <w:b/>
          <w:bCs/>
        </w:rPr>
      </w:pPr>
      <w:r w:rsidRPr="00917BBC">
        <w:rPr>
          <w:rFonts w:ascii="Calibri" w:hAnsi="Calibri" w:cs="Calibri"/>
          <w:b/>
          <w:bCs/>
        </w:rPr>
        <w:t>Fig</w:t>
      </w:r>
      <w:r>
        <w:rPr>
          <w:rFonts w:ascii="Calibri" w:hAnsi="Calibri" w:cs="Calibri"/>
          <w:b/>
          <w:bCs/>
        </w:rPr>
        <w:t>ure</w:t>
      </w:r>
      <w:r w:rsidRPr="00917BBC">
        <w:rPr>
          <w:rFonts w:ascii="Calibri" w:hAnsi="Calibri" w:cs="Calibri"/>
          <w:b/>
          <w:bCs/>
        </w:rPr>
        <w:t xml:space="preserve"> </w:t>
      </w:r>
      <w:r w:rsidR="001C7844" w:rsidRPr="00917BBC">
        <w:rPr>
          <w:rFonts w:ascii="Calibri" w:hAnsi="Calibri" w:cs="Calibri"/>
          <w:b/>
          <w:bCs/>
        </w:rPr>
        <w:t>S2. Subgroup analysis results</w:t>
      </w:r>
    </w:p>
    <w:p w14:paraId="2F25EC7B" w14:textId="77777777" w:rsidR="001C7844" w:rsidRDefault="001C7844" w:rsidP="001C7844">
      <w:pPr>
        <w:rPr>
          <w:rFonts w:ascii="Calibri" w:hAnsi="Calibri" w:cs="Calibri"/>
          <w:b/>
          <w:bCs/>
        </w:rPr>
      </w:pPr>
      <w:r>
        <w:rPr>
          <w:rFonts w:ascii="Calibri" w:hAnsi="Calibri" w:cs="Calibri"/>
          <w:b/>
          <w:bCs/>
        </w:rPr>
        <w:br w:type="page"/>
      </w:r>
    </w:p>
    <w:p w14:paraId="5CEE0439" w14:textId="77777777" w:rsidR="001C7844" w:rsidRPr="00917BBC" w:rsidRDefault="001C7844" w:rsidP="001C7844">
      <w:pPr>
        <w:spacing w:line="480" w:lineRule="auto"/>
        <w:jc w:val="center"/>
        <w:rPr>
          <w:rFonts w:ascii="Calibri" w:hAnsi="Calibri" w:cs="Calibr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6"/>
      </w:tblGrid>
      <w:tr w:rsidR="001C7844" w:rsidRPr="00917BBC" w14:paraId="4AED6086" w14:textId="77777777" w:rsidTr="00FB59FB">
        <w:tc>
          <w:tcPr>
            <w:tcW w:w="8787" w:type="dxa"/>
          </w:tcPr>
          <w:p w14:paraId="3224DADF"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rPr>
              <w:br w:type="page"/>
            </w:r>
            <w:r w:rsidRPr="00917BBC">
              <w:rPr>
                <w:rFonts w:ascii="Calibri" w:hAnsi="Calibri" w:cs="Calibri"/>
                <w:b/>
                <w:bCs/>
                <w:noProof/>
              </w:rPr>
              <w:drawing>
                <wp:inline distT="0" distB="0" distL="0" distR="0" wp14:anchorId="087B3DAF" wp14:editId="7AFA27F4">
                  <wp:extent cx="5579745" cy="2479040"/>
                  <wp:effectExtent l="0" t="0" r="1905" b="0"/>
                  <wp:docPr id="127472935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1152"/>
                          <a:stretch>
                            <a:fillRect/>
                          </a:stretch>
                        </pic:blipFill>
                        <pic:spPr bwMode="auto">
                          <a:xfrm>
                            <a:off x="0" y="0"/>
                            <a:ext cx="5579745" cy="247904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C7844" w:rsidRPr="00917BBC" w14:paraId="0BB48CA0" w14:textId="77777777" w:rsidTr="00FB59FB">
        <w:tc>
          <w:tcPr>
            <w:tcW w:w="8787" w:type="dxa"/>
          </w:tcPr>
          <w:p w14:paraId="0F9CC169" w14:textId="77777777" w:rsidR="001C7844" w:rsidRPr="00917BBC" w:rsidRDefault="001C7844" w:rsidP="00FB59FB">
            <w:pPr>
              <w:spacing w:line="480" w:lineRule="auto"/>
              <w:jc w:val="center"/>
              <w:rPr>
                <w:rFonts w:ascii="Calibri" w:hAnsi="Calibri" w:cs="Calibri"/>
                <w:b/>
                <w:bCs/>
              </w:rPr>
            </w:pPr>
            <w:r w:rsidRPr="00917BBC">
              <w:rPr>
                <w:rFonts w:ascii="Calibri" w:hAnsi="Calibri" w:cs="Calibri"/>
                <w:b/>
                <w:bCs/>
                <w:noProof/>
              </w:rPr>
              <w:drawing>
                <wp:inline distT="0" distB="0" distL="0" distR="0" wp14:anchorId="69DBC37C" wp14:editId="2EE75207">
                  <wp:extent cx="5579745" cy="2504440"/>
                  <wp:effectExtent l="0" t="0" r="1905" b="0"/>
                  <wp:docPr id="18431014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0241"/>
                          <a:stretch>
                            <a:fillRect/>
                          </a:stretch>
                        </pic:blipFill>
                        <pic:spPr bwMode="auto">
                          <a:xfrm>
                            <a:off x="0" y="0"/>
                            <a:ext cx="5579745" cy="250444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883816F" w14:textId="79212DD1" w:rsidR="001C7844" w:rsidRPr="00917BBC" w:rsidRDefault="001C7844" w:rsidP="001C7844">
      <w:pPr>
        <w:spacing w:line="480" w:lineRule="auto"/>
        <w:jc w:val="center"/>
        <w:rPr>
          <w:rFonts w:ascii="Calibri" w:hAnsi="Calibri" w:cs="Calibri"/>
          <w:b/>
          <w:bCs/>
        </w:rPr>
      </w:pPr>
      <w:r w:rsidRPr="00917BBC">
        <w:rPr>
          <w:rFonts w:ascii="Calibri" w:hAnsi="Calibri" w:cs="Calibri"/>
          <w:b/>
          <w:bCs/>
        </w:rPr>
        <w:t>Fig</w:t>
      </w:r>
      <w:r w:rsidR="00881029">
        <w:rPr>
          <w:rFonts w:ascii="Calibri" w:hAnsi="Calibri" w:cs="Calibri"/>
          <w:b/>
          <w:bCs/>
        </w:rPr>
        <w:t>ure</w:t>
      </w:r>
      <w:r w:rsidRPr="00917BBC">
        <w:rPr>
          <w:rFonts w:ascii="Calibri" w:hAnsi="Calibri" w:cs="Calibri"/>
          <w:b/>
          <w:bCs/>
        </w:rPr>
        <w:t xml:space="preserve"> S3. Quantitative bias analysis for potential unmeasured confounding by PD-L1 status (upper: risk ratio, lower: risk difference)</w:t>
      </w:r>
    </w:p>
    <w:p w14:paraId="580958B6" w14:textId="77777777" w:rsidR="001C7844" w:rsidRPr="00917BBC" w:rsidRDefault="001C7844" w:rsidP="001C7844">
      <w:pPr>
        <w:spacing w:line="480" w:lineRule="auto"/>
        <w:jc w:val="center"/>
        <w:rPr>
          <w:rFonts w:ascii="Calibri" w:hAnsi="Calibri" w:cs="Calibri"/>
          <w:b/>
          <w:bCs/>
        </w:rPr>
      </w:pPr>
    </w:p>
    <w:p w14:paraId="799D32B4" w14:textId="77777777" w:rsidR="001C7844" w:rsidRPr="00917BBC" w:rsidRDefault="001C7844" w:rsidP="001C7844">
      <w:pPr>
        <w:spacing w:line="480" w:lineRule="auto"/>
        <w:jc w:val="center"/>
        <w:rPr>
          <w:rFonts w:ascii="Calibri" w:hAnsi="Calibri" w:cs="Calibri"/>
          <w:b/>
          <w:bCs/>
        </w:rPr>
      </w:pPr>
      <w:r w:rsidRPr="00917BBC">
        <w:rPr>
          <w:rFonts w:ascii="Calibri" w:hAnsi="Calibri" w:cs="Calibri"/>
          <w:b/>
          <w:bCs/>
          <w:noProof/>
        </w:rPr>
        <w:lastRenderedPageBreak/>
        <w:drawing>
          <wp:inline distT="0" distB="0" distL="0" distR="0" wp14:anchorId="7B42922F" wp14:editId="43EF0564">
            <wp:extent cx="5026778" cy="2896788"/>
            <wp:effectExtent l="0" t="0" r="2540" b="0"/>
            <wp:docPr id="18569797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4405" cy="2906946"/>
                    </a:xfrm>
                    <a:prstGeom prst="rect">
                      <a:avLst/>
                    </a:prstGeom>
                    <a:noFill/>
                  </pic:spPr>
                </pic:pic>
              </a:graphicData>
            </a:graphic>
          </wp:inline>
        </w:drawing>
      </w:r>
    </w:p>
    <w:p w14:paraId="246685CB" w14:textId="211AB154" w:rsidR="00F8637E" w:rsidRDefault="00881029" w:rsidP="001C7844">
      <w:pPr>
        <w:jc w:val="center"/>
      </w:pPr>
      <w:r w:rsidRPr="00917BBC">
        <w:rPr>
          <w:rFonts w:ascii="Calibri" w:hAnsi="Calibri" w:cs="Calibri"/>
          <w:b/>
          <w:bCs/>
        </w:rPr>
        <w:t>Fig</w:t>
      </w:r>
      <w:r>
        <w:rPr>
          <w:rFonts w:ascii="Calibri" w:hAnsi="Calibri" w:cs="Calibri"/>
          <w:b/>
          <w:bCs/>
        </w:rPr>
        <w:t>ure</w:t>
      </w:r>
      <w:r w:rsidR="001C7844" w:rsidRPr="00917BBC">
        <w:rPr>
          <w:rFonts w:ascii="Calibri" w:hAnsi="Calibri" w:cs="Calibri"/>
          <w:b/>
          <w:bCs/>
        </w:rPr>
        <w:t xml:space="preserve"> S4. Sensitivity analysis for pCR</w:t>
      </w:r>
    </w:p>
    <w:sectPr w:rsidR="00F863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844"/>
    <w:rsid w:val="00041B94"/>
    <w:rsid w:val="000F7474"/>
    <w:rsid w:val="001C7844"/>
    <w:rsid w:val="001F3968"/>
    <w:rsid w:val="00224376"/>
    <w:rsid w:val="002C6DFB"/>
    <w:rsid w:val="003A1196"/>
    <w:rsid w:val="003D1D3B"/>
    <w:rsid w:val="004069FE"/>
    <w:rsid w:val="00406AA0"/>
    <w:rsid w:val="0057108F"/>
    <w:rsid w:val="00881029"/>
    <w:rsid w:val="008F1736"/>
    <w:rsid w:val="008F69E1"/>
    <w:rsid w:val="00AC1905"/>
    <w:rsid w:val="00AD13EB"/>
    <w:rsid w:val="00B84C2A"/>
    <w:rsid w:val="00D568F2"/>
    <w:rsid w:val="00F86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E26F7"/>
  <w15:chartTrackingRefBased/>
  <w15:docId w15:val="{17A7D2C5-E127-454D-8FA6-9FCF11236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84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1C784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C784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C784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C7844"/>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1C7844"/>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1C7844"/>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1C7844"/>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C7844"/>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1C7844"/>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8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78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78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78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78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78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78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78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7844"/>
    <w:rPr>
      <w:rFonts w:eastAsiaTheme="majorEastAsia" w:cstheme="majorBidi"/>
      <w:color w:val="272727" w:themeColor="text1" w:themeTint="D8"/>
    </w:rPr>
  </w:style>
  <w:style w:type="paragraph" w:styleId="Title">
    <w:name w:val="Title"/>
    <w:basedOn w:val="Normal"/>
    <w:next w:val="Normal"/>
    <w:link w:val="TitleChar"/>
    <w:uiPriority w:val="10"/>
    <w:qFormat/>
    <w:rsid w:val="001C784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C78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784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C78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7844"/>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1C7844"/>
    <w:rPr>
      <w:i/>
      <w:iCs/>
      <w:color w:val="404040" w:themeColor="text1" w:themeTint="BF"/>
    </w:rPr>
  </w:style>
  <w:style w:type="paragraph" w:styleId="ListParagraph">
    <w:name w:val="List Paragraph"/>
    <w:basedOn w:val="Normal"/>
    <w:uiPriority w:val="34"/>
    <w:qFormat/>
    <w:rsid w:val="001C7844"/>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1C7844"/>
    <w:rPr>
      <w:i/>
      <w:iCs/>
      <w:color w:val="0F4761" w:themeColor="accent1" w:themeShade="BF"/>
    </w:rPr>
  </w:style>
  <w:style w:type="paragraph" w:styleId="IntenseQuote">
    <w:name w:val="Intense Quote"/>
    <w:basedOn w:val="Normal"/>
    <w:next w:val="Normal"/>
    <w:link w:val="IntenseQuoteChar"/>
    <w:uiPriority w:val="30"/>
    <w:qFormat/>
    <w:rsid w:val="001C784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1C7844"/>
    <w:rPr>
      <w:i/>
      <w:iCs/>
      <w:color w:val="0F4761" w:themeColor="accent1" w:themeShade="BF"/>
    </w:rPr>
  </w:style>
  <w:style w:type="character" w:styleId="IntenseReference">
    <w:name w:val="Intense Reference"/>
    <w:basedOn w:val="DefaultParagraphFont"/>
    <w:uiPriority w:val="32"/>
    <w:qFormat/>
    <w:rsid w:val="001C7844"/>
    <w:rPr>
      <w:b/>
      <w:bCs/>
      <w:smallCaps/>
      <w:color w:val="0F4761" w:themeColor="accent1" w:themeShade="BF"/>
      <w:spacing w:val="5"/>
    </w:rPr>
  </w:style>
  <w:style w:type="table" w:styleId="TableGrid">
    <w:name w:val="Table Grid"/>
    <w:basedOn w:val="TableNormal"/>
    <w:uiPriority w:val="39"/>
    <w:rsid w:val="001C7844"/>
    <w:pPr>
      <w:spacing w:after="0" w:line="240" w:lineRule="auto"/>
    </w:pPr>
    <w:rPr>
      <w:rFonts w:ascii="Times New Roman" w:eastAsia="Times New Roman" w:hAnsi="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Hiep Le Nguyen</dc:creator>
  <cp:keywords/>
  <dc:description/>
  <cp:lastModifiedBy>Hiep Le Nguyen</cp:lastModifiedBy>
  <cp:revision>2</cp:revision>
  <dcterms:created xsi:type="dcterms:W3CDTF">2026-07-30T04:35:00Z</dcterms:created>
  <dcterms:modified xsi:type="dcterms:W3CDTF">2026-08-20T09:50:00Z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f5c312cc-cddc-4a4d-aab1-66813e691267</vt:lpwstr>
  </property>
</Properties>
</file>