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DF8D2">
      <w:pPr>
        <w:pStyle w:val="2"/>
        <w:widowControl/>
        <w:spacing w:after="0" w:line="240" w:lineRule="auto"/>
        <w:jc w:val="left"/>
        <w:rPr>
          <w:rFonts w:hint="eastAsia" w:eastAsia="黑体"/>
          <w:lang w:val="en-US" w:eastAsia="zh-CN"/>
        </w:rPr>
      </w:pPr>
      <w:r>
        <w:rPr>
          <w:rFonts w:hint="default" w:ascii="Arial Bold" w:hAnsi="Arial Bold" w:cs="Arial Bold"/>
          <w:b/>
          <w:bCs/>
        </w:rPr>
        <w:t>Supplementary Table S2</w:t>
      </w:r>
      <w:r>
        <w:rPr>
          <w:rFonts w:hint="default" w:ascii="Arial Bold" w:hAnsi="Arial Bold" w:cs="Arial Bold"/>
          <w:b/>
          <w:bCs/>
          <w:lang w:val="en-US"/>
        </w:rPr>
        <w:t xml:space="preserve">. </w:t>
      </w:r>
      <w:r>
        <w:rPr>
          <w:rFonts w:hint="eastAsia"/>
        </w:rPr>
        <w:t>Univariable and multivariable logistic regression analyses for clinical predictors of p53abn</w:t>
      </w:r>
      <w:bookmarkStart w:id="0" w:name="_GoBack"/>
      <w:r>
        <w:rPr>
          <w:rFonts w:hint="eastAsia"/>
          <w:lang w:val="en-US" w:eastAsia="zh-CN"/>
        </w:rPr>
        <w:t xml:space="preserve"> </w:t>
      </w:r>
      <w:bookmarkEnd w:id="0"/>
      <w:r>
        <w:rPr>
          <w:rFonts w:hint="eastAsia"/>
          <w:lang w:val="en-US" w:eastAsia="zh-CN"/>
        </w:rPr>
        <w:t>in the train cohort</w:t>
      </w:r>
    </w:p>
    <w:p w14:paraId="4F0EB941">
      <w:pPr>
        <w:rPr>
          <w:rFonts w:hint="eastAsia"/>
        </w:rPr>
      </w:pPr>
    </w:p>
    <w:tbl>
      <w:tblPr>
        <w:tblStyle w:val="6"/>
        <w:tblpPr w:leftFromText="180" w:rightFromText="180" w:vertAnchor="page" w:horzAnchor="page" w:tblpX="700" w:tblpY="1898"/>
        <w:tblOverlap w:val="never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9"/>
        <w:gridCol w:w="2885"/>
        <w:gridCol w:w="1141"/>
        <w:gridCol w:w="2885"/>
        <w:gridCol w:w="1144"/>
      </w:tblGrid>
      <w:tr w14:paraId="06FA68CC">
        <w:trPr>
          <w:trHeight w:val="320" w:hRule="exact"/>
        </w:trPr>
        <w:tc>
          <w:tcPr>
            <w:tcW w:w="1180" w:type="pct"/>
            <w:tcBorders>
              <w:top w:val="single" w:color="404040" w:sz="8" w:space="0"/>
              <w:left w:val="nil"/>
              <w:bottom w:val="single" w:color="808080" w:sz="4" w:space="0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7B22C2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1909" w:type="pct"/>
            <w:gridSpan w:val="2"/>
            <w:tcBorders>
              <w:top w:val="single" w:color="404040" w:sz="8" w:space="0"/>
              <w:left w:val="nil"/>
              <w:bottom w:val="single" w:color="808080" w:sz="4" w:space="0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126D42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Univariable Analysis</w:t>
            </w:r>
          </w:p>
        </w:tc>
        <w:tc>
          <w:tcPr>
            <w:tcW w:w="1910" w:type="pct"/>
            <w:gridSpan w:val="2"/>
            <w:tcBorders>
              <w:top w:val="single" w:color="404040" w:sz="8" w:space="0"/>
              <w:left w:val="nil"/>
              <w:bottom w:val="single" w:color="808080" w:sz="4" w:space="0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6DE448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Multivariable Analysis</w:t>
            </w:r>
          </w:p>
        </w:tc>
      </w:tr>
      <w:tr w14:paraId="3DEA7E10">
        <w:trPr>
          <w:trHeight w:val="320" w:hRule="exact"/>
        </w:trPr>
        <w:tc>
          <w:tcPr>
            <w:tcW w:w="1180" w:type="pct"/>
            <w:tcBorders>
              <w:top w:val="nil"/>
              <w:left w:val="nil"/>
              <w:bottom w:val="single" w:color="404040" w:sz="8" w:space="0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79287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Characteristic</w:t>
            </w:r>
          </w:p>
        </w:tc>
        <w:tc>
          <w:tcPr>
            <w:tcW w:w="1368" w:type="pct"/>
            <w:tcBorders>
              <w:top w:val="nil"/>
              <w:left w:val="nil"/>
              <w:bottom w:val="single" w:color="404040" w:sz="8" w:space="0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3A2A4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OR (95% CI)</w:t>
            </w:r>
          </w:p>
        </w:tc>
        <w:tc>
          <w:tcPr>
            <w:tcW w:w="541" w:type="pct"/>
            <w:tcBorders>
              <w:top w:val="nil"/>
              <w:left w:val="nil"/>
              <w:bottom w:val="single" w:color="404040" w:sz="8" w:space="0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1BAA5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P Value</w:t>
            </w:r>
          </w:p>
        </w:tc>
        <w:tc>
          <w:tcPr>
            <w:tcW w:w="1368" w:type="pct"/>
            <w:tcBorders>
              <w:top w:val="nil"/>
              <w:left w:val="nil"/>
              <w:bottom w:val="single" w:color="404040" w:sz="8" w:space="0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6C8F8B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OR (95% CI)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404040" w:sz="8" w:space="0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221B8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v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alue</w:t>
            </w:r>
          </w:p>
        </w:tc>
      </w:tr>
      <w:tr w14:paraId="6A826DCC">
        <w:trPr>
          <w:trHeight w:val="290" w:hRule="exact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49CE6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Hypertension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72A98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2.546 (1.393–4.653)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710F8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.002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3BAAA2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3.392 (1.765–6.520)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3ADD2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15"/>
                <w:szCs w:val="15"/>
                <w:lang w:eastAsia="zh-CN"/>
              </w:rPr>
              <w:t>&lt;</w:t>
            </w:r>
            <w:r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15"/>
                <w:szCs w:val="15"/>
                <w:lang w:eastAsia="zh-CN"/>
              </w:rPr>
              <w:t>.001</w:t>
            </w:r>
          </w:p>
        </w:tc>
      </w:tr>
      <w:tr w14:paraId="7CF52E11">
        <w:trPr>
          <w:trHeight w:val="290" w:hRule="exact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45AAB4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Diabetes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2C545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1.444 (0.692–3.012)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3B544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.328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514D45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3E5E2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</w:tr>
      <w:tr w14:paraId="40E7EC40">
        <w:trPr>
          <w:trHeight w:val="290" w:hRule="exact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10FF0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Family history of cancer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33952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0.991 (0.501–1.958)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17D59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.979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7431A5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49229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</w:tr>
      <w:tr w14:paraId="40B059DC">
        <w:trPr>
          <w:trHeight w:val="290" w:hRule="exact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6057F1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Menopausal status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16E95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1.107 (0.603–2.032)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5D038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.742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6D41B3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47F77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</w:tr>
      <w:tr w14:paraId="2AA04BA9">
        <w:trPr>
          <w:trHeight w:val="290" w:hRule="exact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73ABB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Age (y)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395820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1.022 (0.989–1.056)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57FD3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.192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032EC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50EA0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</w:tr>
      <w:tr w14:paraId="203743FD">
        <w:trPr>
          <w:trHeight w:val="290" w:hRule="exact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18C03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BMI (kg/m²)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7FE95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1.026 (0.965–1.091)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0D89E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.410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44511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561002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</w:tr>
      <w:tr w14:paraId="44898BC9">
        <w:trPr>
          <w:trHeight w:val="290" w:hRule="exact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694E7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AFP (ng/mL)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19207B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1.065 (0.947–1.197)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3B92D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.294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24EB1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3177E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</w:tr>
      <w:tr w14:paraId="73FB6E93">
        <w:trPr>
          <w:trHeight w:val="290" w:hRule="exact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247C3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CEA (ng/mL)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123A49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1.081 (0.918–1.273)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48728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.351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614FC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6BCDD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</w:tr>
      <w:tr w14:paraId="4E3E3296">
        <w:trPr>
          <w:trHeight w:val="290" w:hRule="exact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02BE7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CA153 (U/mL)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56C416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1.042 (0.997–1.089)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4E174C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.066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3FFA9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73A36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</w:tr>
      <w:tr w14:paraId="6A6C02E4">
        <w:trPr>
          <w:trHeight w:val="290" w:hRule="exact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2177E3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CA199 (U/mL)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4A459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1.005 (1.000–1.010)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458CEF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.050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1EC1B7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1.002 (0.997–1.008)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7C8A44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.438</w:t>
            </w:r>
          </w:p>
        </w:tc>
      </w:tr>
      <w:tr w14:paraId="78342E29">
        <w:trPr>
          <w:trHeight w:val="290" w:hRule="exact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2D3C9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CA125 (U/mL)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632817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1.001 (0.993–1.008)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49D3A0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.890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2A3A0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6A299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</w:tr>
      <w:tr w14:paraId="78FA0006">
        <w:trPr>
          <w:trHeight w:val="290" w:hRule="exact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1B7344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NSE (ng/mL)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01562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0.996 (0.957–1.036)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4681F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.844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148FF9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4CC53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</w:tr>
      <w:tr w14:paraId="65D36F5D">
        <w:trPr>
          <w:trHeight w:val="290" w:hRule="exact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17E4C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LDH (U/L)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4A77D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1.008 (0.999–1.016)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7C825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.076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6ABAE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325DB7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</w:tr>
      <w:tr w14:paraId="614CF0C2">
        <w:trPr>
          <w:trHeight w:val="290" w:hRule="exact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2C4E2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Albumin (g/L)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27477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0.983 (0.900–1.073)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1B123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.698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7ED45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4E4922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</w:tr>
      <w:tr w14:paraId="1D66A57D">
        <w:trPr>
          <w:trHeight w:val="290" w:hRule="exact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5BC7A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PLT (10⁹/L)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4C2FEC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1.003 (0.999–1.008)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217144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.135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3EC78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22DC20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</w:tr>
      <w:tr w14:paraId="1612E56A">
        <w:trPr>
          <w:trHeight w:val="290" w:hRule="exact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1DB76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Hb (g/L)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59EFE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1.038 (1.016–1.061)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7303FB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&lt;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.001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2D7AA4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1.038 (1.014–1.063)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521B9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15"/>
                <w:szCs w:val="15"/>
                <w:lang w:eastAsia="zh-CN"/>
              </w:rPr>
              <w:t>.002</w:t>
            </w:r>
          </w:p>
        </w:tc>
      </w:tr>
      <w:tr w14:paraId="704878D6">
        <w:trPr>
          <w:trHeight w:val="290" w:hRule="exact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003EA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RBC (10¹²/L)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61F818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1.238 (0.780–1.965)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37116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.366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5A03F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5A5BD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</w:tr>
      <w:tr w14:paraId="60D1EB04">
        <w:trPr>
          <w:trHeight w:val="290" w:hRule="exact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4A4EA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TBil (μmol/L)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19484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1.055 (1.011–1.100)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1EBC82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.014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111CE3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1.036 (0.987–1.088)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2B1AE6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.154</w:t>
            </w:r>
          </w:p>
        </w:tc>
      </w:tr>
      <w:tr w14:paraId="6A18BC75">
        <w:trPr>
          <w:trHeight w:val="290" w:hRule="exact"/>
        </w:trPr>
        <w:tc>
          <w:tcPr>
            <w:tcW w:w="1180" w:type="pct"/>
            <w:tcBorders>
              <w:top w:val="nil"/>
              <w:left w:val="nil"/>
              <w:bottom w:val="single" w:color="404040" w:sz="8" w:space="0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70453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TC (mmol/L)</w:t>
            </w:r>
          </w:p>
        </w:tc>
        <w:tc>
          <w:tcPr>
            <w:tcW w:w="1368" w:type="pct"/>
            <w:tcBorders>
              <w:top w:val="nil"/>
              <w:left w:val="nil"/>
              <w:bottom w:val="single" w:color="404040" w:sz="8" w:space="0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64937D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0.965 (0.739–1.260)</w:t>
            </w:r>
          </w:p>
        </w:tc>
        <w:tc>
          <w:tcPr>
            <w:tcW w:w="541" w:type="pct"/>
            <w:tcBorders>
              <w:top w:val="nil"/>
              <w:left w:val="nil"/>
              <w:bottom w:val="single" w:color="404040" w:sz="8" w:space="0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17A2F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.795</w:t>
            </w:r>
          </w:p>
        </w:tc>
        <w:tc>
          <w:tcPr>
            <w:tcW w:w="1368" w:type="pct"/>
            <w:tcBorders>
              <w:top w:val="nil"/>
              <w:left w:val="nil"/>
              <w:bottom w:val="single" w:color="404040" w:sz="8" w:space="0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4D502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404040" w:sz="8" w:space="0"/>
              <w:right w:val="nil"/>
              <w:insideH w:val="nil"/>
              <w:insideV w:val="nil"/>
            </w:tcBorders>
            <w:shd w:val="clear" w:color="auto" w:fill="auto"/>
            <w:tcMar>
              <w:top w:w="8" w:type="dxa"/>
              <w:left w:w="40" w:type="dxa"/>
              <w:bottom w:w="8" w:type="dxa"/>
              <w:right w:w="40" w:type="dxa"/>
            </w:tcMar>
            <w:vAlign w:val="center"/>
          </w:tcPr>
          <w:p w14:paraId="648E5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—</w:t>
            </w:r>
          </w:p>
        </w:tc>
      </w:tr>
    </w:tbl>
    <w:p w14:paraId="62F74C80">
      <w:pPr>
        <w:rPr>
          <w:rFonts w:hint="eastAsia"/>
        </w:rPr>
      </w:pPr>
      <w:r>
        <w:rPr>
          <w:rStyle w:val="9"/>
          <w:rFonts w:hint="eastAsia"/>
        </w:rPr>
        <w:endnoteReference w:id="0"/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2">
    <w:p/>
  </w:endnote>
  <w:endnote w:type="continuationSeparator" w:id="3">
    <w:p/>
  </w:endnote>
  <w:endnote w:id="0">
    <w:p w14:paraId="66E46B18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Times New Roman" w:hAnsi="Times New Roman" w:eastAsia="等线" w:cs="Times New Roman"/>
          <w:color w:val="000000"/>
          <w:kern w:val="0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4"/>
          <w:lang w:val="en-US" w:eastAsia="zh-CN" w:bidi="ar"/>
        </w:rPr>
        <w:t>OR, odds ratio; CI, confidence interval; BMI, body mass index; AFP, alpha-fetoprotein; CEA, carcinoembryonic antigen; CA15-3, carbohydrate antigen 15-3; CA19-9, carbohydrate antigen 19-9; CA125, carbohydrate antigen 125; NSE, neuron-specific enolase; LDH, lactate dehydrogenase; PLT, platelet count; Hb, hemoglobin; RBC, red blood cell count; TBil, total bilirubin; TC, total cholesterol.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2"/>
    <w:endnote w:id="3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68E"/>
    <w:rsid w:val="00026C25"/>
    <w:rsid w:val="0030124E"/>
    <w:rsid w:val="0067368E"/>
    <w:rsid w:val="00793CC1"/>
    <w:rsid w:val="00D12626"/>
    <w:rsid w:val="17BF8BD8"/>
    <w:rsid w:val="3DEB556C"/>
    <w:rsid w:val="5FDB9DF1"/>
    <w:rsid w:val="669FC7D4"/>
    <w:rsid w:val="75AFC758"/>
    <w:rsid w:val="775D63B1"/>
    <w:rsid w:val="77E90195"/>
    <w:rsid w:val="79B78728"/>
    <w:rsid w:val="B36B9907"/>
    <w:rsid w:val="B7732EC9"/>
    <w:rsid w:val="C7DFBB3C"/>
    <w:rsid w:val="DFE37C70"/>
    <w:rsid w:val="EBCFE5EE"/>
    <w:rsid w:val="FF9E0589"/>
    <w:rsid w:val="FFFED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35"/>
    <w:rPr>
      <w:rFonts w:ascii="Arial" w:hAnsi="Arial" w:eastAsia="黑体"/>
      <w:sz w:val="20"/>
    </w:rPr>
  </w:style>
  <w:style w:type="paragraph" w:styleId="3">
    <w:name w:val="endnote text"/>
    <w:basedOn w:val="1"/>
    <w:semiHidden/>
    <w:unhideWhenUsed/>
    <w:uiPriority w:val="99"/>
    <w:pPr>
      <w:snapToGrid w:val="0"/>
      <w:jc w:val="left"/>
    </w:pPr>
  </w:style>
  <w:style w:type="paragraph" w:styleId="4">
    <w:name w:val="footer"/>
    <w:basedOn w:val="1"/>
    <w:link w:val="2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endnote reference"/>
    <w:basedOn w:val="7"/>
    <w:semiHidden/>
    <w:unhideWhenUsed/>
    <w:uiPriority w:val="99"/>
    <w:rPr>
      <w:vertAlign w:val="superscript"/>
    </w:rPr>
  </w:style>
  <w:style w:type="character" w:styleId="10">
    <w:name w:val="FollowedHyperlink"/>
    <w:basedOn w:val="7"/>
    <w:semiHidden/>
    <w:unhideWhenUsed/>
    <w:uiPriority w:val="99"/>
    <w:rPr>
      <w:color w:val="954F72"/>
      <w:u w:val="single"/>
    </w:rPr>
  </w:style>
  <w:style w:type="character" w:styleId="11">
    <w:name w:val="Hyperlink"/>
    <w:basedOn w:val="7"/>
    <w:semiHidden/>
    <w:unhideWhenUsed/>
    <w:uiPriority w:val="99"/>
    <w:rPr>
      <w:color w:val="0563C1"/>
      <w:u w:val="single"/>
    </w:rPr>
  </w:style>
  <w:style w:type="paragraph" w:customStyle="1" w:styleId="12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4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5">
    <w:name w:val="xl63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color w:val="000000"/>
      <w:kern w:val="0"/>
      <w:szCs w:val="21"/>
    </w:rPr>
  </w:style>
  <w:style w:type="paragraph" w:customStyle="1" w:styleId="16">
    <w:name w:val="xl64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kern w:val="0"/>
      <w:szCs w:val="21"/>
    </w:rPr>
  </w:style>
  <w:style w:type="paragraph" w:customStyle="1" w:styleId="17">
    <w:name w:val="xl65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66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67"/>
    <w:basedOn w:val="1"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0">
    <w:name w:val="xl68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1">
    <w:name w:val="xl69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0"/>
      <w:szCs w:val="20"/>
    </w:rPr>
  </w:style>
  <w:style w:type="paragraph" w:customStyle="1" w:styleId="22">
    <w:name w:val="xl70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3">
    <w:name w:val="xl71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4">
    <w:name w:val="xl72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0"/>
      <w:szCs w:val="20"/>
    </w:rPr>
  </w:style>
  <w:style w:type="paragraph" w:customStyle="1" w:styleId="25">
    <w:name w:val="xl73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6">
    <w:name w:val="xl74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0"/>
      <w:szCs w:val="20"/>
    </w:rPr>
  </w:style>
  <w:style w:type="character" w:customStyle="1" w:styleId="27">
    <w:name w:val="页眉 字符"/>
    <w:basedOn w:val="7"/>
    <w:link w:val="5"/>
    <w:uiPriority w:val="99"/>
    <w:rPr>
      <w:sz w:val="18"/>
      <w:szCs w:val="18"/>
    </w:rPr>
  </w:style>
  <w:style w:type="character" w:customStyle="1" w:styleId="28">
    <w:name w:val="页脚 字符"/>
    <w:basedOn w:val="7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574</Words>
  <Characters>3278</Characters>
  <Lines>27</Lines>
  <Paragraphs>7</Paragraphs>
  <TotalTime>4</TotalTime>
  <ScaleCrop>false</ScaleCrop>
  <LinksUpToDate>false</LinksUpToDate>
  <CharactersWithSpaces>3845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2023-03-10T13:54:00Z</dcterms:created>
  <dc:creator>石 富文</dc:creator>
  <cp:lastModifiedBy>Dr、Summer</cp:lastModifiedBy>
  <dcterms:modified xsi:type="dcterms:W3CDTF">2026-08-17T21:36:14Z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E7016281ADDC3B113ED6116A418DFC8D_43</vt:lpwstr>
  </property>
</Properties>
</file>