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Additional file 1. TRIPOD Checklist</w:t>
      </w:r>
    </w:p>
    <w:p>
      <w:r>
        <w:t>Manuscript: Timing-Aware Delta-Radiomics After Microwave Ablation of Hepatocellular Carcinoma: An Exploratory MRI Study</w:t>
      </w:r>
    </w:p>
    <w:p>
      <w:r>
        <w:t>TRIPOD type: Model development with internal validation (TRIPOD 2a)</w:t>
      </w:r>
    </w:p>
    <w:p>
      <w:r>
        <w:t>Date prepared: 17 August 2026</w:t>
      </w:r>
    </w:p>
    <w:p>
      <w:r>
        <w:t>Instructions: Locations refer to the main manuscript and additional files.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TRIPOD item</w:t>
            </w:r>
          </w:p>
        </w:tc>
        <w:tc>
          <w:tcPr>
            <w:tcW w:type="dxa" w:w="2160"/>
          </w:tcPr>
          <w:p>
            <w:r>
              <w:t>Reported</w:t>
            </w:r>
          </w:p>
        </w:tc>
        <w:tc>
          <w:tcPr>
            <w:tcW w:type="dxa" w:w="2160"/>
          </w:tcPr>
          <w:p>
            <w:r>
              <w:t>Location</w:t>
            </w:r>
          </w:p>
        </w:tc>
        <w:tc>
          <w:tcPr>
            <w:tcW w:type="dxa" w:w="2160"/>
          </w:tcPr>
          <w:p>
            <w:r>
              <w:t>Notes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Title; Abstract</w:t>
            </w:r>
          </w:p>
        </w:tc>
        <w:tc>
          <w:tcPr>
            <w:tcW w:type="dxa" w:w="2160"/>
          </w:tcPr>
          <w:p>
            <w:r>
              <w:t>Study identified as prediction model research in HCC after microwave ablation.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Partial</w:t>
            </w:r>
          </w:p>
        </w:tc>
        <w:tc>
          <w:tcPr>
            <w:tcW w:type="dxa" w:w="2160"/>
          </w:tcPr>
          <w:p>
            <w:r>
              <w:t>Abstract</w:t>
            </w:r>
          </w:p>
        </w:tc>
        <w:tc>
          <w:tcPr>
            <w:tcW w:type="dxa" w:w="2160"/>
          </w:tcPr>
          <w:p>
            <w:r>
              <w:t>Structured summary provided; technical details condensed to meet word limit.</w:t>
            </w:r>
          </w:p>
        </w:tc>
      </w:tr>
      <w:tr>
        <w:tc>
          <w:tcPr>
            <w:tcW w:type="dxa" w:w="2160"/>
          </w:tcPr>
          <w:p>
            <w:r>
              <w:t>3a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Introduction</w:t>
            </w:r>
          </w:p>
        </w:tc>
        <w:tc>
          <w:tcPr>
            <w:tcW w:type="dxa" w:w="2160"/>
          </w:tcPr>
          <w:p>
            <w:r>
              <w:t>Medical context and rationale for timing-aware delta-radiomics described.</w:t>
            </w:r>
          </w:p>
        </w:tc>
      </w:tr>
      <w:tr>
        <w:tc>
          <w:tcPr>
            <w:tcW w:type="dxa" w:w="2160"/>
          </w:tcPr>
          <w:p>
            <w:r>
              <w:t>3b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Introduction</w:t>
            </w:r>
          </w:p>
        </w:tc>
        <w:tc>
          <w:tcPr>
            <w:tcW w:type="dxa" w:w="2160"/>
          </w:tcPr>
          <w:p>
            <w:r>
              <w:t>Objectives specify exploratory model evaluation/internal validation and timing-window sensitivity analysis.</w:t>
            </w:r>
          </w:p>
        </w:tc>
      </w:tr>
      <w:tr>
        <w:tc>
          <w:tcPr>
            <w:tcW w:type="dxa" w:w="2160"/>
          </w:tcPr>
          <w:p>
            <w:r>
              <w:t>4a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Study design and reporting standards</w:t>
            </w:r>
          </w:p>
        </w:tc>
        <w:tc>
          <w:tcPr>
            <w:tcW w:type="dxa" w:w="2160"/>
          </w:tcPr>
          <w:p>
            <w:r>
              <w:t>Retrospective single-center observational prediction design described.</w:t>
            </w:r>
          </w:p>
        </w:tc>
      </w:tr>
      <w:tr>
        <w:tc>
          <w:tcPr>
            <w:tcW w:type="dxa" w:w="2160"/>
          </w:tcPr>
          <w:p>
            <w:r>
              <w:t>4b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Patient and lesion selection</w:t>
            </w:r>
          </w:p>
        </w:tc>
        <w:tc>
          <w:tcPr>
            <w:tcW w:type="dxa" w:w="2160"/>
          </w:tcPr>
          <w:p>
            <w:r>
              <w:t>Screening period January 2018–May 2025.</w:t>
            </w:r>
          </w:p>
        </w:tc>
      </w:tr>
      <w:tr>
        <w:tc>
          <w:tcPr>
            <w:tcW w:type="dxa" w:w="2160"/>
          </w:tcPr>
          <w:p>
            <w:r>
              <w:t>5a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Patient and lesion selection</w:t>
            </w:r>
          </w:p>
        </w:tc>
        <w:tc>
          <w:tcPr>
            <w:tcW w:type="dxa" w:w="2160"/>
          </w:tcPr>
          <w:p>
            <w:r>
              <w:t>Single-center tertiary referral setting.</w:t>
            </w:r>
          </w:p>
        </w:tc>
      </w:tr>
      <w:tr>
        <w:tc>
          <w:tcPr>
            <w:tcW w:type="dxa" w:w="2160"/>
          </w:tcPr>
          <w:p>
            <w:r>
              <w:t>5b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Patient and lesion selection; Endpoint definition and follow-up</w:t>
            </w:r>
          </w:p>
        </w:tc>
        <w:tc>
          <w:tcPr>
            <w:tcW w:type="dxa" w:w="2160"/>
          </w:tcPr>
          <w:p>
            <w:r>
              <w:t>Eligibility and exclusion criteria described.</w:t>
            </w:r>
          </w:p>
        </w:tc>
      </w:tr>
      <w:tr>
        <w:tc>
          <w:tcPr>
            <w:tcW w:type="dxa" w:w="2160"/>
          </w:tcPr>
          <w:p>
            <w:r>
              <w:t>5c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Microwave ablation procedure</w:t>
            </w:r>
          </w:p>
        </w:tc>
        <w:tc>
          <w:tcPr>
            <w:tcW w:type="dxa" w:w="2160"/>
          </w:tcPr>
          <w:p>
            <w:r>
              <w:t>Microwave ablation performed for all included lesions according to institutional practice.</w:t>
            </w:r>
          </w:p>
        </w:tc>
      </w:tr>
      <w:tr>
        <w:tc>
          <w:tcPr>
            <w:tcW w:type="dxa" w:w="2160"/>
          </w:tcPr>
          <w:p>
            <w:r>
              <w:t>6a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Endpoint definition and follow-up</w:t>
            </w:r>
          </w:p>
        </w:tc>
        <w:tc>
          <w:tcPr>
            <w:tcW w:type="dxa" w:w="2160"/>
          </w:tcPr>
          <w:p>
            <w:r>
              <w:t>LTP definition and timing described.</w:t>
            </w:r>
          </w:p>
        </w:tc>
      </w:tr>
      <w:tr>
        <w:tc>
          <w:tcPr>
            <w:tcW w:type="dxa" w:w="2160"/>
          </w:tcPr>
          <w:p>
            <w:r>
              <w:t>6b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Image segmentation and ablation margin assessment</w:t>
            </w:r>
          </w:p>
        </w:tc>
        <w:tc>
          <w:tcPr>
            <w:tcW w:type="dxa" w:w="2160"/>
          </w:tcPr>
          <w:p>
            <w:r>
              <w:t>Segmentation performed blinded to LTP outcome.</w:t>
            </w:r>
          </w:p>
        </w:tc>
      </w:tr>
      <w:tr>
        <w:tc>
          <w:tcPr>
            <w:tcW w:type="dxa" w:w="2160"/>
          </w:tcPr>
          <w:p>
            <w:r>
              <w:t>7a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Model development and internal validation; Additional file 2</w:t>
            </w:r>
          </w:p>
        </w:tc>
        <w:tc>
          <w:tcPr>
            <w:tcW w:type="dxa" w:w="2160"/>
          </w:tcPr>
          <w:p>
            <w:r>
              <w:t>Clinical and radiomics predictors described; coefficients in Additional file 2.</w:t>
            </w:r>
          </w:p>
        </w:tc>
      </w:tr>
      <w:tr>
        <w:tc>
          <w:tcPr>
            <w:tcW w:type="dxa" w:w="2160"/>
          </w:tcPr>
          <w:p>
            <w:r>
              <w:t>7b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Image segmentation and ablation margin assessment</w:t>
            </w:r>
          </w:p>
        </w:tc>
        <w:tc>
          <w:tcPr>
            <w:tcW w:type="dxa" w:w="2160"/>
          </w:tcPr>
          <w:p>
            <w:r>
              <w:t>Predictor assessment/segmentation blinded to outcome.</w:t>
            </w:r>
          </w:p>
        </w:tc>
      </w:tr>
      <w:tr>
        <w:tc>
          <w:tcPr>
            <w:tcW w:type="dxa" w:w="2160"/>
          </w:tcPr>
          <w:p>
            <w:r>
              <w:t>8</w:t>
            </w:r>
          </w:p>
        </w:tc>
        <w:tc>
          <w:tcPr>
            <w:tcW w:type="dxa" w:w="2160"/>
          </w:tcPr>
          <w:p>
            <w:r>
              <w:t>Partial</w:t>
            </w:r>
          </w:p>
        </w:tc>
        <w:tc>
          <w:tcPr>
            <w:tcW w:type="dxa" w:w="2160"/>
          </w:tcPr>
          <w:p>
            <w:r>
              <w:t>Limitations</w:t>
            </w:r>
          </w:p>
        </w:tc>
        <w:tc>
          <w:tcPr>
            <w:tcW w:type="dxa" w:w="2160"/>
          </w:tcPr>
          <w:p>
            <w:r>
              <w:t>No formal sample size calculation; sample size and event limitations discussed.</w:t>
            </w:r>
          </w:p>
        </w:tc>
      </w:tr>
      <w:tr>
        <w:tc>
          <w:tcPr>
            <w:tcW w:type="dxa" w:w="2160"/>
          </w:tcPr>
          <w:p>
            <w:r>
              <w:t>9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Statistical analysis</w:t>
            </w:r>
          </w:p>
        </w:tc>
        <w:tc>
          <w:tcPr>
            <w:tcW w:type="dxa" w:w="2160"/>
          </w:tcPr>
          <w:p>
            <w:r>
              <w:t>Complete-case evaluable analyses; no imputation.</w:t>
            </w:r>
          </w:p>
        </w:tc>
      </w:tr>
      <w:tr>
        <w:tc>
          <w:tcPr>
            <w:tcW w:type="dxa" w:w="2160"/>
          </w:tcPr>
          <w:p>
            <w:r>
              <w:t>10a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Model development and internal validation</w:t>
            </w:r>
          </w:p>
        </w:tc>
        <w:tc>
          <w:tcPr>
            <w:tcW w:type="dxa" w:w="2160"/>
          </w:tcPr>
          <w:p>
            <w:r>
              <w:t>Standardization and correlation pruning described.</w:t>
            </w:r>
          </w:p>
        </w:tc>
      </w:tr>
      <w:tr>
        <w:tc>
          <w:tcPr>
            <w:tcW w:type="dxa" w:w="2160"/>
          </w:tcPr>
          <w:p>
            <w:r>
              <w:t>10b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Materials and Methods – Model development and internal validation</w:t>
            </w:r>
          </w:p>
        </w:tc>
        <w:tc>
          <w:tcPr>
            <w:tcW w:type="dxa" w:w="2160"/>
          </w:tcPr>
          <w:p>
            <w:r>
              <w:t>Elastic-net logistic regression and patient-level grouped CV described.</w:t>
            </w:r>
          </w:p>
        </w:tc>
      </w:tr>
      <w:tr>
        <w:tc>
          <w:tcPr>
            <w:tcW w:type="dxa" w:w="2160"/>
          </w:tcPr>
          <w:p>
            <w:r>
              <w:t>10c</w:t>
            </w:r>
          </w:p>
        </w:tc>
        <w:tc>
          <w:tcPr>
            <w:tcW w:type="dxa" w:w="2160"/>
          </w:tcPr>
          <w:p>
            <w:r>
              <w:t>Partial</w:t>
            </w:r>
          </w:p>
        </w:tc>
        <w:tc>
          <w:tcPr>
            <w:tcW w:type="dxa" w:w="2160"/>
          </w:tcPr>
          <w:p>
            <w:r>
              <w:t>Materials and Methods – Model development and internal validation; Results</w:t>
            </w:r>
          </w:p>
        </w:tc>
        <w:tc>
          <w:tcPr>
            <w:tcW w:type="dxa" w:w="2160"/>
          </w:tcPr>
          <w:p>
            <w:r>
              <w:t>Out-of-fold predictions described; reproducibility coefficients in Additional file 2.</w:t>
            </w:r>
          </w:p>
        </w:tc>
      </w:tr>
      <w:tr>
        <w:tc>
          <w:tcPr>
            <w:tcW w:type="dxa" w:w="2160"/>
          </w:tcPr>
          <w:p>
            <w:r>
              <w:t>11</w:t>
            </w:r>
          </w:p>
        </w:tc>
        <w:tc>
          <w:tcPr>
            <w:tcW w:type="dxa" w:w="2160"/>
          </w:tcPr>
          <w:p>
            <w:r>
              <w:t>Not applicable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No risk groups were defined.</w:t>
            </w:r>
          </w:p>
        </w:tc>
      </w:tr>
      <w:tr>
        <w:tc>
          <w:tcPr>
            <w:tcW w:type="dxa" w:w="2160"/>
          </w:tcPr>
          <w:p>
            <w:r>
              <w:t>13a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Results – Study cohort and follow-up; Figure 1</w:t>
            </w:r>
          </w:p>
        </w:tc>
        <w:tc>
          <w:tcPr>
            <w:tcW w:type="dxa" w:w="2160"/>
          </w:tcPr>
          <w:p>
            <w:r>
              <w:t>Flow and analyzable sets reported.</w:t>
            </w:r>
          </w:p>
        </w:tc>
      </w:tr>
      <w:tr>
        <w:tc>
          <w:tcPr>
            <w:tcW w:type="dxa" w:w="2160"/>
          </w:tcPr>
          <w:p>
            <w:r>
              <w:t>13b</w:t>
            </w:r>
          </w:p>
        </w:tc>
        <w:tc>
          <w:tcPr>
            <w:tcW w:type="dxa" w:w="2160"/>
          </w:tcPr>
          <w:p>
            <w:r>
              <w:t>Partial</w:t>
            </w:r>
          </w:p>
        </w:tc>
        <w:tc>
          <w:tcPr>
            <w:tcW w:type="dxa" w:w="2160"/>
          </w:tcPr>
          <w:p>
            <w:r>
              <w:t>Table 1; Results</w:t>
            </w:r>
          </w:p>
        </w:tc>
        <w:tc>
          <w:tcPr>
            <w:tcW w:type="dxa" w:w="2160"/>
          </w:tcPr>
          <w:p>
            <w:r>
              <w:t>Baseline characteristics summarized.</w:t>
            </w:r>
          </w:p>
        </w:tc>
      </w:tr>
      <w:tr>
        <w:tc>
          <w:tcPr>
            <w:tcW w:type="dxa" w:w="2160"/>
          </w:tcPr>
          <w:p>
            <w:r>
              <w:t>14a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Results</w:t>
            </w:r>
          </w:p>
        </w:tc>
        <w:tc>
          <w:tcPr>
            <w:tcW w:type="dxa" w:w="2160"/>
          </w:tcPr>
          <w:p>
            <w:r>
              <w:t>Participant/lesion and event counts reported for each analysis.</w:t>
            </w:r>
          </w:p>
        </w:tc>
      </w:tr>
      <w:tr>
        <w:tc>
          <w:tcPr>
            <w:tcW w:type="dxa" w:w="2160"/>
          </w:tcPr>
          <w:p>
            <w:r>
              <w:t>14b</w:t>
            </w:r>
          </w:p>
        </w:tc>
        <w:tc>
          <w:tcPr>
            <w:tcW w:type="dxa" w:w="2160"/>
          </w:tcPr>
          <w:p>
            <w:r>
              <w:t>Partial</w:t>
            </w:r>
          </w:p>
        </w:tc>
        <w:tc>
          <w:tcPr>
            <w:tcW w:type="dxa" w:w="2160"/>
          </w:tcPr>
          <w:p>
            <w:r>
              <w:t>Results – Clinical Cox models</w:t>
            </w:r>
          </w:p>
        </w:tc>
        <w:tc>
          <w:tcPr>
            <w:tcW w:type="dxa" w:w="2160"/>
          </w:tcPr>
          <w:p>
            <w:r>
              <w:t>Parsimonious Cox models reported; univariable associations not separately tabulated.</w:t>
            </w:r>
          </w:p>
        </w:tc>
      </w:tr>
      <w:tr>
        <w:tc>
          <w:tcPr>
            <w:tcW w:type="dxa" w:w="2160"/>
          </w:tcPr>
          <w:p>
            <w:r>
              <w:t>15a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Additional file 2</w:t>
            </w:r>
          </w:p>
        </w:tc>
        <w:tc>
          <w:tcPr>
            <w:tcW w:type="dxa" w:w="2160"/>
          </w:tcPr>
          <w:p>
            <w:r>
              <w:t>Model intercept, selected features, and coefficients provided.</w:t>
            </w:r>
          </w:p>
        </w:tc>
      </w:tr>
      <w:tr>
        <w:tc>
          <w:tcPr>
            <w:tcW w:type="dxa" w:w="2160"/>
          </w:tcPr>
          <w:p>
            <w:r>
              <w:t>15b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Additional file 2</w:t>
            </w:r>
          </w:p>
        </w:tc>
        <w:tc>
          <w:tcPr>
            <w:tcW w:type="dxa" w:w="2160"/>
          </w:tcPr>
          <w:p>
            <w:r>
              <w:t>Scoring equation and scaling notes provided.</w:t>
            </w:r>
          </w:p>
        </w:tc>
      </w:tr>
      <w:tr>
        <w:tc>
          <w:tcPr>
            <w:tcW w:type="dxa" w:w="2160"/>
          </w:tcPr>
          <w:p>
            <w:r>
              <w:t>16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Results; Additional file 2</w:t>
            </w:r>
          </w:p>
        </w:tc>
        <w:tc>
          <w:tcPr>
            <w:tcW w:type="dxa" w:w="2160"/>
          </w:tcPr>
          <w:p>
            <w:r>
              <w:t>AUC with confidence intervals and calibration summaries reported.</w:t>
            </w:r>
          </w:p>
        </w:tc>
      </w:tr>
      <w:tr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Limitations</w:t>
            </w:r>
          </w:p>
        </w:tc>
        <w:tc>
          <w:tcPr>
            <w:tcW w:type="dxa" w:w="2160"/>
          </w:tcPr>
          <w:p>
            <w:r>
              <w:t>Sample size, internal validation, reproducibility, and generalizability discussed.</w:t>
            </w:r>
          </w:p>
        </w:tc>
      </w:tr>
      <w:tr>
        <w:tc>
          <w:tcPr>
            <w:tcW w:type="dxa" w:w="2160"/>
          </w:tcPr>
          <w:p>
            <w:r>
              <w:t>19a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Discussion</w:t>
            </w:r>
          </w:p>
        </w:tc>
        <w:tc>
          <w:tcPr>
            <w:tcW w:type="dxa" w:w="2160"/>
          </w:tcPr>
          <w:p>
            <w:r>
              <w:t>Overall interpretation provided in context of objectives and limitations.</w:t>
            </w:r>
          </w:p>
        </w:tc>
      </w:tr>
      <w:tr>
        <w:tc>
          <w:tcPr>
            <w:tcW w:type="dxa" w:w="2160"/>
          </w:tcPr>
          <w:p>
            <w:r>
              <w:t>19b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Discussion; Conclusion</w:t>
            </w:r>
          </w:p>
        </w:tc>
        <w:tc>
          <w:tcPr>
            <w:tcW w:type="dxa" w:w="2160"/>
          </w:tcPr>
          <w:p>
            <w:r>
              <w:t>Clinical research implications and external validation needs discussed.</w:t>
            </w:r>
          </w:p>
        </w:tc>
      </w:tr>
      <w:tr>
        <w:tc>
          <w:tcPr>
            <w:tcW w:type="dxa" w:w="2160"/>
          </w:tcPr>
          <w:p>
            <w:r>
              <w:t>20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Additional files 1 and 2; Data availability statement</w:t>
            </w:r>
          </w:p>
        </w:tc>
        <w:tc>
          <w:tcPr>
            <w:tcW w:type="dxa" w:w="2160"/>
          </w:tcPr>
          <w:p>
            <w:r>
              <w:t>Supplementary reporting and reproducibility materials provided.</w:t>
            </w:r>
          </w:p>
        </w:tc>
      </w:tr>
      <w:tr>
        <w:tc>
          <w:tcPr>
            <w:tcW w:type="dxa" w:w="2160"/>
          </w:tcPr>
          <w:p>
            <w:r>
              <w:t>21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Back matter</w:t>
            </w:r>
          </w:p>
        </w:tc>
        <w:tc>
          <w:tcPr>
            <w:tcW w:type="dxa" w:w="2160"/>
          </w:tcPr>
          <w:p>
            <w:r>
              <w:t>Funding statement provided.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Timing-Aware Delta-Radiomics After Microwave Ablation of Hepatocellular Carcinoma: An Exploratory MRI Study</dc:title>
  <dc:subject>BMC Medical Imaging submission</dc:subject>
  <dc:creator>Mehmet Taha Avci</dc:creator>
  <cp:keywords>hepatocellular carcinoma; microwave ablation; MRI; radiomics; delta-radiomics; local tumor progression</cp:keywords>
  <dc:description>generated by python-docx</dc:description>
  <cp:lastModifiedBy>Mehmet Taha Avci</cp:lastModifiedBy>
  <cp:revision>1</cp:revision>
  <dcterms:created xsi:type="dcterms:W3CDTF">2013-12-23T23:15:00Z</dcterms:created>
  <dcterms:modified xsi:type="dcterms:W3CDTF">2026-08-17T15:00:00Z</dcterms:modified>
  <cp:category/>
</cp:coreProperties>
</file>